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874" w:rsidRPr="005E4EE4" w:rsidRDefault="00783874" w:rsidP="002950EB">
      <w:pPr>
        <w:spacing w:line="360" w:lineRule="auto"/>
        <w:jc w:val="center"/>
        <w:rPr>
          <w:rFonts w:ascii="Times New Roman" w:hAnsi="Times New Roman" w:cs="Times New Roman"/>
          <w:b/>
          <w:sz w:val="28"/>
          <w:szCs w:val="28"/>
        </w:rPr>
      </w:pPr>
      <w:r w:rsidRPr="005E4EE4">
        <w:rPr>
          <w:rFonts w:ascii="Times New Roman" w:hAnsi="Times New Roman" w:cs="Times New Roman"/>
          <w:b/>
          <w:sz w:val="28"/>
          <w:szCs w:val="28"/>
        </w:rPr>
        <w:t>10. ΕΜΠΟΡΙΚΗ ΠΟΛΙΤΙΚΗ</w:t>
      </w:r>
    </w:p>
    <w:p w:rsidR="00783874" w:rsidRPr="005E4EE4" w:rsidRDefault="00783874" w:rsidP="00783874">
      <w:pPr>
        <w:spacing w:line="360" w:lineRule="auto"/>
        <w:jc w:val="both"/>
        <w:rPr>
          <w:rFonts w:ascii="Times New Roman" w:hAnsi="Times New Roman" w:cs="Times New Roman"/>
          <w:b/>
          <w:sz w:val="24"/>
          <w:szCs w:val="24"/>
        </w:rPr>
      </w:pPr>
      <w:r w:rsidRPr="005E4EE4">
        <w:rPr>
          <w:rFonts w:ascii="Times New Roman" w:hAnsi="Times New Roman" w:cs="Times New Roman"/>
          <w:b/>
          <w:sz w:val="24"/>
          <w:szCs w:val="24"/>
        </w:rPr>
        <w:t xml:space="preserve">(Μούση, σελ. 519-536) </w:t>
      </w:r>
    </w:p>
    <w:p w:rsidR="002950EB" w:rsidRPr="002950EB" w:rsidRDefault="002950EB" w:rsidP="002950EB">
      <w:pPr>
        <w:spacing w:line="360" w:lineRule="auto"/>
        <w:jc w:val="center"/>
        <w:rPr>
          <w:rFonts w:ascii="Times New Roman" w:hAnsi="Times New Roman" w:cs="Times New Roman"/>
          <w:b/>
          <w:i/>
          <w:sz w:val="26"/>
          <w:szCs w:val="26"/>
        </w:rPr>
      </w:pPr>
      <w:r w:rsidRPr="002950EB">
        <w:rPr>
          <w:rFonts w:ascii="Times New Roman" w:hAnsi="Times New Roman" w:cs="Times New Roman"/>
          <w:b/>
          <w:i/>
          <w:sz w:val="26"/>
          <w:szCs w:val="26"/>
        </w:rPr>
        <w:t>10.1. Γενικά</w:t>
      </w:r>
    </w:p>
    <w:p w:rsidR="00783874" w:rsidRPr="005E4EE4" w:rsidRDefault="00783874" w:rsidP="00783874">
      <w:pPr>
        <w:spacing w:line="360" w:lineRule="auto"/>
        <w:jc w:val="both"/>
        <w:rPr>
          <w:rFonts w:ascii="Times New Roman" w:hAnsi="Times New Roman" w:cs="Times New Roman"/>
          <w:sz w:val="24"/>
          <w:szCs w:val="24"/>
        </w:rPr>
      </w:pPr>
      <w:r w:rsidRPr="005E4EE4">
        <w:rPr>
          <w:rFonts w:ascii="Times New Roman" w:hAnsi="Times New Roman" w:cs="Times New Roman"/>
          <w:sz w:val="24"/>
          <w:szCs w:val="24"/>
        </w:rPr>
        <w:t>Η πραγματοποίηση της τελωνειακής ένωσης της Ευρωπαϊκής Οικονομικής Κοινότητας, το 1968, περιελάμβανε αφενός την εξάλειψη των τελωνειακών δασμών μεταξύ των κρατών μελών, των ποσοτικών περιορισμών και των μέτρων με αντίστοιχο αποτέλεσμα, και αφετέρου στο εξωτερικό πεδίο την εφαρμογή ενός κοινού τελωνειακού δασμολογίου και μίας κοινής εμπορικής πολιτικής. Δηλαδή τα εισαγόμενα προϊόντα από τρίτες χώρες έπρεπε να τυγχάνουν της ίδιας μεταχείρισης από τα κράτη μέλη ώστε να κυκλοφορούν ελεύθερα σε όλη την τελωνειακή ένωση. Αυτή η τελωνειακή ένωση έλαβε θέση μέσα σε μία προϋπάρχουσα διεθνή οικονομική τάξη η οποία ρυθμιζόταν από τη GATT, ήτοι τη Γενική Συμφωνία Δασμών και Εμπορίου του 1948.</w:t>
      </w:r>
    </w:p>
    <w:p w:rsidR="00783874" w:rsidRPr="005E4EE4" w:rsidRDefault="00783874" w:rsidP="00783874">
      <w:pPr>
        <w:spacing w:line="360" w:lineRule="auto"/>
        <w:jc w:val="both"/>
        <w:rPr>
          <w:rFonts w:ascii="Times New Roman" w:hAnsi="Times New Roman" w:cs="Times New Roman"/>
          <w:sz w:val="24"/>
          <w:szCs w:val="24"/>
        </w:rPr>
      </w:pPr>
      <w:r w:rsidRPr="002950EB">
        <w:rPr>
          <w:rFonts w:ascii="Times New Roman" w:hAnsi="Times New Roman" w:cs="Times New Roman"/>
          <w:b/>
          <w:sz w:val="24"/>
          <w:szCs w:val="24"/>
        </w:rPr>
        <w:t xml:space="preserve">Για αυτό και το άρθρο 110 της ΣΕΟΚ </w:t>
      </w:r>
      <w:r w:rsidRPr="002950EB">
        <w:rPr>
          <w:rFonts w:ascii="Times New Roman" w:hAnsi="Times New Roman" w:cs="Times New Roman"/>
          <w:b/>
        </w:rPr>
        <w:t>(νύν αρ. 206 ΣΛΕΕ)</w:t>
      </w:r>
      <w:r w:rsidRPr="002950EB">
        <w:rPr>
          <w:rFonts w:ascii="Times New Roman" w:hAnsi="Times New Roman" w:cs="Times New Roman"/>
          <w:b/>
          <w:sz w:val="24"/>
          <w:szCs w:val="24"/>
        </w:rPr>
        <w:t xml:space="preserve"> προέβλεπε ότι τα κράτη μέλη αποσκοπούσαν με τη δημιουργία της τελωνιακής ένωσης μεταξύ τους να συμβάλλουν προς το κοινό συμφέρον</w:t>
      </w:r>
      <w:r w:rsidRPr="005E4EE4">
        <w:rPr>
          <w:rFonts w:ascii="Times New Roman" w:hAnsi="Times New Roman" w:cs="Times New Roman"/>
          <w:sz w:val="24"/>
          <w:szCs w:val="24"/>
        </w:rPr>
        <w:t xml:space="preserve">  στην </w:t>
      </w:r>
      <w:r w:rsidRPr="005E4EE4">
        <w:rPr>
          <w:rFonts w:ascii="Times New Roman" w:hAnsi="Times New Roman" w:cs="Times New Roman"/>
          <w:b/>
          <w:sz w:val="24"/>
          <w:szCs w:val="24"/>
        </w:rPr>
        <w:t>αρμονική ανάπτυξη του παγκόσμιου εμπορίου</w:t>
      </w:r>
      <w:r w:rsidRPr="005E4EE4">
        <w:rPr>
          <w:rFonts w:ascii="Times New Roman" w:hAnsi="Times New Roman" w:cs="Times New Roman"/>
          <w:sz w:val="24"/>
          <w:szCs w:val="24"/>
        </w:rPr>
        <w:t xml:space="preserve"> , στην προοδευτική κατάργηση των περιορισμών στις διεθνείς συναλλαγές και στον περιορισμό των τελωνειακών φραγμών. Έτσι με την τελωνειακή ένωση αυξήθηκαν πάρα πολύ οι ενδοκοινοτικές συναλλαγές αλλά και οι διεθνείς συμφωνίες που συνάπτονται υπό την αιγίδα της αποτελούσαν τη νομική βάση των μέσων και δράσεων της εμπορικής πολιτικής της ΕΕ ιδίως όσον αφορά τους τελωνειακούς δασμούς, τα μέτρα διασφάλισης και τα μέτρα αντιντάμπινγκ.</w:t>
      </w:r>
    </w:p>
    <w:p w:rsidR="00783874" w:rsidRPr="00EE42A0" w:rsidRDefault="00EE42A0" w:rsidP="00EE42A0">
      <w:pPr>
        <w:spacing w:line="360" w:lineRule="auto"/>
        <w:jc w:val="center"/>
        <w:outlineLvl w:val="0"/>
        <w:rPr>
          <w:rFonts w:ascii="Times New Roman" w:hAnsi="Times New Roman" w:cs="Times New Roman"/>
          <w:b/>
          <w:i/>
          <w:sz w:val="26"/>
          <w:szCs w:val="26"/>
        </w:rPr>
      </w:pPr>
      <w:r w:rsidRPr="00EE42A0">
        <w:rPr>
          <w:rFonts w:ascii="Times New Roman" w:hAnsi="Times New Roman" w:cs="Times New Roman"/>
          <w:b/>
          <w:i/>
          <w:sz w:val="26"/>
          <w:szCs w:val="26"/>
        </w:rPr>
        <w:t xml:space="preserve">10.2. </w:t>
      </w:r>
      <w:r w:rsidR="00783874" w:rsidRPr="00EE42A0">
        <w:rPr>
          <w:rFonts w:ascii="Times New Roman" w:hAnsi="Times New Roman" w:cs="Times New Roman"/>
          <w:b/>
          <w:i/>
          <w:sz w:val="26"/>
          <w:szCs w:val="26"/>
        </w:rPr>
        <w:t>Οι στόχοι και τα μέσα εμπορικής πολίτικης</w:t>
      </w:r>
    </w:p>
    <w:p w:rsidR="00783874" w:rsidRPr="005E4EE4" w:rsidRDefault="00783874" w:rsidP="00783874">
      <w:pPr>
        <w:spacing w:line="360" w:lineRule="auto"/>
        <w:jc w:val="both"/>
        <w:rPr>
          <w:rFonts w:ascii="Times New Roman" w:hAnsi="Times New Roman" w:cs="Times New Roman"/>
          <w:sz w:val="24"/>
          <w:szCs w:val="24"/>
        </w:rPr>
      </w:pPr>
      <w:r w:rsidRPr="005E4EE4">
        <w:rPr>
          <w:rFonts w:ascii="Times New Roman" w:hAnsi="Times New Roman" w:cs="Times New Roman"/>
          <w:sz w:val="24"/>
          <w:szCs w:val="24"/>
        </w:rPr>
        <w:t xml:space="preserve">Η κοινή εμπορική πολιτική υπάγεται στην αρμοδιότητα της Ένωσης. Το Ευρωπαϊκό Κοινοβούλιο και το Συμβούλιο, αποφασίζοντας μέσω κανονισμών σύμφωνα με τη συνήθη νομοθετική διαδικασία, θεσπίζουν </w:t>
      </w:r>
      <w:r w:rsidRPr="005E4EE4">
        <w:rPr>
          <w:rFonts w:ascii="Times New Roman" w:hAnsi="Times New Roman" w:cs="Times New Roman"/>
          <w:b/>
          <w:sz w:val="24"/>
          <w:szCs w:val="24"/>
        </w:rPr>
        <w:t>μέτρα για τον καθορισμό του πλαισίου εφαρμογής</w:t>
      </w:r>
      <w:r w:rsidRPr="005E4EE4">
        <w:rPr>
          <w:rFonts w:ascii="Times New Roman" w:hAnsi="Times New Roman" w:cs="Times New Roman"/>
          <w:sz w:val="24"/>
          <w:szCs w:val="24"/>
        </w:rPr>
        <w:t xml:space="preserve"> της κοινής εμπορικής πολιτικής. Όταν πρόκειται να γίνουν διαπραγματεύσεις συμφωνιών με τρίτες χώρες, η Επιτροπή υποβάλλει προτάσεις στο Συμβούλιο το οποίο την εξουσιοδοτεί να αρχίσει τις αναγκαίες διαπραγμ</w:t>
      </w:r>
      <w:r w:rsidR="00EE42A0">
        <w:rPr>
          <w:rFonts w:ascii="Times New Roman" w:hAnsi="Times New Roman" w:cs="Times New Roman"/>
          <w:sz w:val="24"/>
          <w:szCs w:val="24"/>
        </w:rPr>
        <w:t>ατεύσεις. Η Επιτροπή διεξάγει τι</w:t>
      </w:r>
      <w:r w:rsidRPr="005E4EE4">
        <w:rPr>
          <w:rFonts w:ascii="Times New Roman" w:hAnsi="Times New Roman" w:cs="Times New Roman"/>
          <w:sz w:val="24"/>
          <w:szCs w:val="24"/>
        </w:rPr>
        <w:t xml:space="preserve">ς διαπραγματεύσεις σε συνεννόηση με ειδική επιτροπή που </w:t>
      </w:r>
      <w:r w:rsidRPr="005E4EE4">
        <w:rPr>
          <w:rFonts w:ascii="Times New Roman" w:hAnsi="Times New Roman" w:cs="Times New Roman"/>
          <w:sz w:val="24"/>
          <w:szCs w:val="24"/>
        </w:rPr>
        <w:lastRenderedPageBreak/>
        <w:t xml:space="preserve">ορίζεται από το Συμβούλιο για να το επικουρεί σε αυτό το έργο και δρα σύμφωνα με τις οδηγίες που της δίνει το Συμβούλιο. </w:t>
      </w:r>
    </w:p>
    <w:p w:rsidR="00783874" w:rsidRPr="005E4EE4" w:rsidRDefault="00783874" w:rsidP="00783874">
      <w:pPr>
        <w:spacing w:line="360" w:lineRule="auto"/>
        <w:jc w:val="both"/>
        <w:rPr>
          <w:rFonts w:ascii="Times New Roman" w:hAnsi="Times New Roman" w:cs="Times New Roman"/>
          <w:sz w:val="24"/>
          <w:szCs w:val="24"/>
        </w:rPr>
      </w:pPr>
      <w:r w:rsidRPr="005E4EE4">
        <w:rPr>
          <w:rFonts w:ascii="Times New Roman" w:hAnsi="Times New Roman" w:cs="Times New Roman"/>
          <w:sz w:val="24"/>
          <w:szCs w:val="24"/>
        </w:rPr>
        <w:t>Όσον αφορά τη συμμετοχή σε διεθνείς συμφωνίες η ΕΕ εκπροσωπούμενη από την Επιτροπή εμφανίζεται συχνά δίπλα στα κράτη μέλη, δηλαδή παίρνει μέρος στις διαπραγματεύσεις, υπογράφει τις συμφωνίες.  Στους τομείς όπου η Ένωση έχει αποκλειστική αρμοδιότητα (γεωργία, αλιεία), τα κράτη μέλη δεν παρεμβαίνουν καθόλου, αλλά η Επιτροπή διαπραγματεύεται και διαχειρίζεται τις συμφωνίες κατ’ εντολή του Συμβουλίου. Τα δικαιώματα και οι υποχρεώσεις που απορρέουν από τις συμβάσεις που συνήφθησαν με τα κράτη μέλη πριν από την ένταξή τους στην Ένωση δεν θίγονται από τις Συνθήκες αλλά εάν δεν συμβιβάζονται με αυτές, τα ενδιαφερόμενα κράτη πρέπει να προσφύγουν σε όλα τα πρόσφορα μέσα για να άρουν τα διαπιστωθέντα ασυμβίβαστα.</w:t>
      </w:r>
    </w:p>
    <w:p w:rsidR="00783874" w:rsidRPr="005E4EE4" w:rsidRDefault="00783874" w:rsidP="00783874">
      <w:pPr>
        <w:spacing w:line="360" w:lineRule="auto"/>
        <w:jc w:val="both"/>
        <w:rPr>
          <w:rFonts w:ascii="Times New Roman" w:hAnsi="Times New Roman" w:cs="Times New Roman"/>
          <w:sz w:val="24"/>
          <w:szCs w:val="24"/>
        </w:rPr>
      </w:pPr>
      <w:r w:rsidRPr="005E4EE4">
        <w:rPr>
          <w:rFonts w:ascii="Times New Roman" w:hAnsi="Times New Roman" w:cs="Times New Roman"/>
          <w:b/>
          <w:sz w:val="24"/>
          <w:szCs w:val="24"/>
        </w:rPr>
        <w:t>Το θεμέλιο της εμπορικής πολιτικής της ΕΕ είναι το κοινό τελωνειακό δασμολόγιο</w:t>
      </w:r>
      <w:r w:rsidRPr="005E4EE4">
        <w:rPr>
          <w:rFonts w:ascii="Times New Roman" w:hAnsi="Times New Roman" w:cs="Times New Roman"/>
          <w:sz w:val="24"/>
          <w:szCs w:val="24"/>
        </w:rPr>
        <w:t xml:space="preserve">. Η σύλληψη και η εξέλιξη αυτού έγινε μέσα στα πλαίσια της GATT. Η Επιτροπή ενεργώντας βάσει εντολών του Συμβουλίου είναι ο βασικός διαπραγματευτής της ΕΕ στην GATT και τώρα στον Παγκόσμιο Οργανισμό Εμπορίου. </w:t>
      </w:r>
    </w:p>
    <w:p w:rsidR="00783874" w:rsidRPr="00EE42A0" w:rsidRDefault="00EE42A0" w:rsidP="00EE42A0">
      <w:pPr>
        <w:spacing w:line="360" w:lineRule="auto"/>
        <w:jc w:val="center"/>
        <w:outlineLvl w:val="0"/>
        <w:rPr>
          <w:rFonts w:ascii="Times New Roman" w:hAnsi="Times New Roman" w:cs="Times New Roman"/>
          <w:b/>
          <w:i/>
          <w:sz w:val="26"/>
          <w:szCs w:val="26"/>
        </w:rPr>
      </w:pPr>
      <w:r w:rsidRPr="00EE42A0">
        <w:rPr>
          <w:rFonts w:ascii="Times New Roman" w:hAnsi="Times New Roman" w:cs="Times New Roman"/>
          <w:b/>
          <w:i/>
          <w:sz w:val="26"/>
          <w:szCs w:val="26"/>
        </w:rPr>
        <w:t xml:space="preserve">10.3. </w:t>
      </w:r>
      <w:r w:rsidR="00783874" w:rsidRPr="00EE42A0">
        <w:rPr>
          <w:rFonts w:ascii="Times New Roman" w:hAnsi="Times New Roman" w:cs="Times New Roman"/>
          <w:b/>
          <w:i/>
          <w:sz w:val="26"/>
          <w:szCs w:val="26"/>
        </w:rPr>
        <w:t>Κοινό καθεστώς εισαγωγών</w:t>
      </w:r>
    </w:p>
    <w:p w:rsidR="00783874" w:rsidRPr="005E4EE4" w:rsidRDefault="00783874" w:rsidP="00783874">
      <w:pPr>
        <w:spacing w:line="360" w:lineRule="auto"/>
        <w:jc w:val="both"/>
        <w:rPr>
          <w:rFonts w:ascii="Times New Roman" w:hAnsi="Times New Roman" w:cs="Times New Roman"/>
          <w:sz w:val="24"/>
          <w:szCs w:val="24"/>
        </w:rPr>
      </w:pPr>
      <w:r w:rsidRPr="005E4EE4">
        <w:rPr>
          <w:rFonts w:ascii="Times New Roman" w:hAnsi="Times New Roman" w:cs="Times New Roman"/>
          <w:sz w:val="24"/>
          <w:szCs w:val="24"/>
        </w:rPr>
        <w:t xml:space="preserve">Όπως αναφέραμε θεμέλιο της κοινής εμπορικής πολιτικής είναι η τελωνειακή ένωση. </w:t>
      </w:r>
      <w:r w:rsidRPr="005E4EE4">
        <w:rPr>
          <w:rFonts w:ascii="Times New Roman" w:hAnsi="Times New Roman" w:cs="Times New Roman"/>
          <w:b/>
          <w:sz w:val="24"/>
          <w:szCs w:val="24"/>
        </w:rPr>
        <w:t>Τα άλλα κύρια στοιχεία της κοινής εμπορικής πολιτικής είναι το κοινό καθεστώς που ισχύει για τις εισαγωγές και τα κοινά μέτρα εμπορικής άμυνας</w:t>
      </w:r>
      <w:r w:rsidRPr="005E4EE4">
        <w:rPr>
          <w:rFonts w:ascii="Times New Roman" w:hAnsi="Times New Roman" w:cs="Times New Roman"/>
          <w:sz w:val="24"/>
          <w:szCs w:val="24"/>
        </w:rPr>
        <w:t>. Όλα αυτά μαζί συμβάλλουν στην εξομοίωση των συνθηκών εισαγωγής των ευρωπαϊκών επιχειρήσεων γιατί φέρνουν στο ίδιο επίπεδο αφενός τις τιμές των εισαγόμενων πρώτων υλών και αφετέρου τις ποσότητες και τις τιμές των ανταγωνιστικών προϊόντων.</w:t>
      </w:r>
    </w:p>
    <w:p w:rsidR="00783874" w:rsidRPr="005E4EE4" w:rsidRDefault="00EE42A0" w:rsidP="00EE42A0">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10.3.1. </w:t>
      </w:r>
      <w:r w:rsidR="00783874" w:rsidRPr="005E4EE4">
        <w:rPr>
          <w:rFonts w:ascii="Times New Roman" w:hAnsi="Times New Roman" w:cs="Times New Roman"/>
          <w:b/>
          <w:i/>
          <w:sz w:val="24"/>
          <w:szCs w:val="24"/>
        </w:rPr>
        <w:t>Κοινοί κανόνες για τις εισαγωγές</w:t>
      </w:r>
    </w:p>
    <w:p w:rsidR="00783874" w:rsidRPr="005E4EE4" w:rsidRDefault="00783874" w:rsidP="00783874">
      <w:pPr>
        <w:spacing w:line="360" w:lineRule="auto"/>
        <w:jc w:val="both"/>
        <w:rPr>
          <w:rFonts w:ascii="Times New Roman" w:hAnsi="Times New Roman" w:cs="Times New Roman"/>
          <w:sz w:val="24"/>
          <w:szCs w:val="24"/>
        </w:rPr>
      </w:pPr>
      <w:r w:rsidRPr="005E4EE4">
        <w:rPr>
          <w:rFonts w:ascii="Times New Roman" w:hAnsi="Times New Roman" w:cs="Times New Roman"/>
          <w:sz w:val="24"/>
          <w:szCs w:val="24"/>
        </w:rPr>
        <w:t xml:space="preserve">Αναλυτικότερα, το κοινό καθεστώς εισαγωγών που ξεκίνησε το 1994 και κωδικοποιήθηκε το 2009 </w:t>
      </w:r>
      <w:r w:rsidRPr="005E4EE4">
        <w:rPr>
          <w:rFonts w:ascii="Times New Roman" w:hAnsi="Times New Roman" w:cs="Times New Roman"/>
          <w:b/>
        </w:rPr>
        <w:t>(Κανονισμός 260/2009)</w:t>
      </w:r>
      <w:r w:rsidRPr="005E4EE4">
        <w:rPr>
          <w:rFonts w:ascii="Times New Roman" w:hAnsi="Times New Roman" w:cs="Times New Roman"/>
          <w:sz w:val="24"/>
          <w:szCs w:val="24"/>
        </w:rPr>
        <w:t xml:space="preserve"> εφαρμόζεται στις εισαγωγές προϊόντων καταγωγής τρίτων χωρών, αποκλειόμενων των κλωστοϋφαντουργικών προϊόντων, που υπάγονται σε κοινό ειδικό καθεστώς εισαγωγής, και των  προϊόντων καταγωγής ορισμένων τρίτων χωρών συμπεριλαμβανομένων της Ρωσίας, Βόρειας </w:t>
      </w:r>
      <w:r w:rsidRPr="005E4EE4">
        <w:rPr>
          <w:rFonts w:ascii="Times New Roman" w:hAnsi="Times New Roman" w:cs="Times New Roman"/>
          <w:sz w:val="24"/>
          <w:szCs w:val="24"/>
        </w:rPr>
        <w:lastRenderedPageBreak/>
        <w:t xml:space="preserve">Κορέας, Λαϊκής Δημοκρατίας της Κίνας. Ο κανονισμός για το κοινό καθεστώς εισαγωγών επιδιώκει να επιφέρει μια </w:t>
      </w:r>
      <w:r w:rsidRPr="005E4EE4">
        <w:rPr>
          <w:rFonts w:ascii="Times New Roman" w:hAnsi="Times New Roman" w:cs="Times New Roman"/>
          <w:b/>
          <w:sz w:val="24"/>
          <w:szCs w:val="24"/>
        </w:rPr>
        <w:t xml:space="preserve">ισορροπία </w:t>
      </w:r>
      <w:r w:rsidRPr="005E4EE4">
        <w:rPr>
          <w:rFonts w:ascii="Times New Roman" w:hAnsi="Times New Roman" w:cs="Times New Roman"/>
          <w:sz w:val="24"/>
          <w:szCs w:val="24"/>
        </w:rPr>
        <w:t xml:space="preserve">μεταξύ της ευρωπαϊκής αγοράς ανοικτής στον κόσμο και αφετέρου πιο ταχέων και αποτελεσματικών διαδικασιών σε περίπτωση που υπάρχει </w:t>
      </w:r>
      <w:r w:rsidRPr="005E4EE4">
        <w:rPr>
          <w:rFonts w:ascii="Times New Roman" w:hAnsi="Times New Roman" w:cs="Times New Roman"/>
          <w:b/>
          <w:sz w:val="24"/>
          <w:szCs w:val="24"/>
        </w:rPr>
        <w:t>σοβαρός κίνδυνος</w:t>
      </w:r>
      <w:r w:rsidRPr="005E4EE4">
        <w:rPr>
          <w:rFonts w:ascii="Times New Roman" w:hAnsi="Times New Roman" w:cs="Times New Roman"/>
          <w:sz w:val="24"/>
          <w:szCs w:val="24"/>
        </w:rPr>
        <w:t xml:space="preserve"> για τους παραγωγούς της Ένωσης από τις εισαγωγές ενός προϊόντος. Αυτοί οι κίνδυνοι διαπιστώνονται αφού εξεταστεί η εξέλιξη των εισαγωγών όπως ο όγκος των εισαγωγών, οι τιμές εισαγωγής, η επίπτωση στους Ευρωπαίους παραγωγούς ομοειδών ή άμεσα ανταγωνιστικών προϊόντων που προκύπτει από τις τάσεις ορισμένων οικονομικών συντελεστών όπως η παραγωγή, τα αποθέματα, οι πωλήσεις, το μερίδιο αγοράς, οι τιμές κα.</w:t>
      </w:r>
    </w:p>
    <w:p w:rsidR="00783874" w:rsidRPr="005E4EE4" w:rsidRDefault="00783874" w:rsidP="00783874">
      <w:pPr>
        <w:spacing w:line="360" w:lineRule="auto"/>
        <w:jc w:val="both"/>
        <w:rPr>
          <w:rFonts w:ascii="Times New Roman" w:hAnsi="Times New Roman" w:cs="Times New Roman"/>
          <w:sz w:val="24"/>
          <w:szCs w:val="24"/>
        </w:rPr>
      </w:pPr>
      <w:r w:rsidRPr="005E4EE4">
        <w:rPr>
          <w:rFonts w:ascii="Times New Roman" w:hAnsi="Times New Roman" w:cs="Times New Roman"/>
          <w:sz w:val="24"/>
          <w:szCs w:val="24"/>
        </w:rPr>
        <w:t xml:space="preserve">Όταν η εξέλιξη των εισαγωγών ενός προϊόντος καταγωγής μιας τρίτης χώρας απειλεί να επιφέρει ζημία στον ευρωπαϊκό κλάδο παραγωγής, η εισαγωγή του μπορεί να τεθεί σε </w:t>
      </w:r>
      <w:r w:rsidRPr="005E4EE4">
        <w:rPr>
          <w:rFonts w:ascii="Times New Roman" w:hAnsi="Times New Roman" w:cs="Times New Roman"/>
          <w:b/>
          <w:sz w:val="24"/>
          <w:szCs w:val="24"/>
        </w:rPr>
        <w:t>ευρωπαϊκή επιτήρηση</w:t>
      </w:r>
      <w:r w:rsidRPr="005E4EE4">
        <w:rPr>
          <w:rFonts w:ascii="Times New Roman" w:hAnsi="Times New Roman" w:cs="Times New Roman"/>
          <w:sz w:val="24"/>
          <w:szCs w:val="24"/>
        </w:rPr>
        <w:t>.  Τα υπό προηγούμενη ευρωπαϊκή επιτήρηση προϊόντα τίθενται σε ελεύθερη κυκλοφορία μόνο εφόσον προσκομίζεται έγγραφο εισαγωγής το οποίο θεωρείται από την αρμόδια αρχή που ορίζουν τα κράτη μέλη και ισχύει σε όλη την ΕΕ. Η επιτήρηση μπορεί να αφορά γενικά την επικράτεια της ΕΕ ή μόνο μία περιφέρειά της.</w:t>
      </w:r>
    </w:p>
    <w:p w:rsidR="00783874" w:rsidRPr="005E4EE4" w:rsidRDefault="00783874" w:rsidP="00783874">
      <w:pPr>
        <w:spacing w:line="360" w:lineRule="auto"/>
        <w:jc w:val="both"/>
        <w:rPr>
          <w:rFonts w:ascii="Times New Roman" w:hAnsi="Times New Roman" w:cs="Times New Roman"/>
          <w:sz w:val="24"/>
          <w:szCs w:val="24"/>
        </w:rPr>
      </w:pPr>
      <w:r w:rsidRPr="005E4EE4">
        <w:rPr>
          <w:rFonts w:ascii="Times New Roman" w:hAnsi="Times New Roman" w:cs="Times New Roman"/>
          <w:sz w:val="24"/>
          <w:szCs w:val="24"/>
        </w:rPr>
        <w:t xml:space="preserve">Εάν ένα προϊόν εισάγεται στην ΕΕ σε αυξημένες ποσότητες και υπό συνθήκες τέτοιες ώστε να προκαλείται ή να απειλείται σοβαρή ζημία για τους παραγωγούς της Ένωσης, η Επιτροπή μπορεί μετά από αίτηση του κράτους μέλους ή κατόπιν πρωτοβουλίας της να λαμβάνει μέτρα διασφάλισης δηλαδή να </w:t>
      </w:r>
      <w:r w:rsidRPr="005E4EE4">
        <w:rPr>
          <w:rFonts w:ascii="Times New Roman" w:hAnsi="Times New Roman" w:cs="Times New Roman"/>
          <w:b/>
          <w:sz w:val="24"/>
          <w:szCs w:val="24"/>
        </w:rPr>
        <w:t>περιορίζει τη διάρκεια ισχύος των εγγράφων εισαγωγής</w:t>
      </w:r>
      <w:r w:rsidRPr="005E4EE4">
        <w:rPr>
          <w:rFonts w:ascii="Times New Roman" w:hAnsi="Times New Roman" w:cs="Times New Roman"/>
          <w:sz w:val="24"/>
          <w:szCs w:val="24"/>
        </w:rPr>
        <w:t xml:space="preserve"> που θεωρούνται μετά την έναρξη ισχύος του μέτρου αυτού, και να τροποποιεί τους κανόνες εισαγωγής για το εν  λόγω προϊόν προβλέποντας ότι μπορεί να κυκλοφορήσει μόνο μετά από προσκόμιση άδειας εισαγωγής την χορήγηση της οποίας αποφασίζει η Επιτροπή. Για τα μέλη του ΠΟΕ, τα μέτρα διασφάλισης μπορούν να ληφθούν μόνο αν συντρέχουν και οι ως άνω δύο όροι.</w:t>
      </w:r>
    </w:p>
    <w:p w:rsidR="00783874" w:rsidRPr="00EE42A0" w:rsidRDefault="00EE42A0" w:rsidP="00EE42A0">
      <w:pPr>
        <w:spacing w:line="360" w:lineRule="auto"/>
        <w:jc w:val="center"/>
        <w:outlineLvl w:val="0"/>
        <w:rPr>
          <w:rFonts w:ascii="Times New Roman" w:hAnsi="Times New Roman" w:cs="Times New Roman"/>
          <w:b/>
          <w:i/>
          <w:sz w:val="26"/>
          <w:szCs w:val="26"/>
        </w:rPr>
      </w:pPr>
      <w:r w:rsidRPr="00EE42A0">
        <w:rPr>
          <w:rFonts w:ascii="Times New Roman" w:hAnsi="Times New Roman" w:cs="Times New Roman"/>
          <w:b/>
          <w:i/>
          <w:sz w:val="26"/>
          <w:szCs w:val="26"/>
        </w:rPr>
        <w:t xml:space="preserve">10.4. </w:t>
      </w:r>
      <w:r w:rsidR="00783874" w:rsidRPr="00EE42A0">
        <w:rPr>
          <w:rFonts w:ascii="Times New Roman" w:hAnsi="Times New Roman" w:cs="Times New Roman"/>
          <w:b/>
          <w:i/>
          <w:sz w:val="26"/>
          <w:szCs w:val="26"/>
        </w:rPr>
        <w:t>Εμπορική άμυνα</w:t>
      </w:r>
    </w:p>
    <w:p w:rsidR="00783874" w:rsidRPr="005E4EE4" w:rsidRDefault="00783874" w:rsidP="00783874">
      <w:pPr>
        <w:spacing w:line="360" w:lineRule="auto"/>
        <w:jc w:val="both"/>
        <w:rPr>
          <w:rFonts w:ascii="Times New Roman" w:hAnsi="Times New Roman" w:cs="Times New Roman"/>
          <w:sz w:val="24"/>
          <w:szCs w:val="24"/>
        </w:rPr>
      </w:pPr>
      <w:r w:rsidRPr="005E4EE4">
        <w:rPr>
          <w:rFonts w:ascii="Times New Roman" w:hAnsi="Times New Roman" w:cs="Times New Roman"/>
          <w:sz w:val="24"/>
          <w:szCs w:val="24"/>
        </w:rPr>
        <w:t xml:space="preserve">Στα πλαίσια των κοινών καθεστώτων εισαγωγής, η ΕΕ μπορεί να παίρνει </w:t>
      </w:r>
      <w:r w:rsidRPr="005E4EE4">
        <w:rPr>
          <w:rFonts w:ascii="Times New Roman" w:hAnsi="Times New Roman" w:cs="Times New Roman"/>
          <w:b/>
          <w:sz w:val="24"/>
          <w:szCs w:val="24"/>
        </w:rPr>
        <w:t>μέτρα επιτήρησης</w:t>
      </w:r>
      <w:r w:rsidRPr="005E4EE4">
        <w:rPr>
          <w:rFonts w:ascii="Times New Roman" w:hAnsi="Times New Roman" w:cs="Times New Roman"/>
          <w:sz w:val="24"/>
          <w:szCs w:val="24"/>
        </w:rPr>
        <w:t xml:space="preserve"> και </w:t>
      </w:r>
      <w:r w:rsidRPr="005E4EE4">
        <w:rPr>
          <w:rFonts w:ascii="Times New Roman" w:hAnsi="Times New Roman" w:cs="Times New Roman"/>
          <w:b/>
          <w:sz w:val="24"/>
          <w:szCs w:val="24"/>
        </w:rPr>
        <w:t>μέτρα διασφάλισης</w:t>
      </w:r>
      <w:r w:rsidRPr="005E4EE4">
        <w:rPr>
          <w:rFonts w:ascii="Times New Roman" w:hAnsi="Times New Roman" w:cs="Times New Roman"/>
          <w:sz w:val="24"/>
          <w:szCs w:val="24"/>
        </w:rPr>
        <w:t xml:space="preserve"> </w:t>
      </w:r>
      <w:r w:rsidRPr="005E4EE4">
        <w:rPr>
          <w:rFonts w:ascii="Times New Roman" w:hAnsi="Times New Roman" w:cs="Times New Roman"/>
          <w:b/>
          <w:sz w:val="24"/>
          <w:szCs w:val="24"/>
        </w:rPr>
        <w:t>όταν</w:t>
      </w:r>
      <w:r w:rsidRPr="005E4EE4">
        <w:rPr>
          <w:rFonts w:ascii="Times New Roman" w:hAnsi="Times New Roman" w:cs="Times New Roman"/>
          <w:sz w:val="24"/>
          <w:szCs w:val="24"/>
        </w:rPr>
        <w:t xml:space="preserve"> προκαλείται ή κινδυνεύει να προκληθεί ζημία στους παραγωγούς της Ένωσης από τις εισαγωγές ορισμένων προϊόντων σε τιμές που θεωρούνται κανονικές. Στην περίπτωση όπου </w:t>
      </w:r>
      <w:r w:rsidRPr="005E4EE4">
        <w:rPr>
          <w:rFonts w:ascii="Times New Roman" w:hAnsi="Times New Roman" w:cs="Times New Roman"/>
          <w:b/>
          <w:sz w:val="24"/>
          <w:szCs w:val="24"/>
        </w:rPr>
        <w:t>η τιμή εξαγωγής</w:t>
      </w:r>
      <w:r w:rsidR="00EE42A0">
        <w:rPr>
          <w:rFonts w:ascii="Times New Roman" w:hAnsi="Times New Roman" w:cs="Times New Roman"/>
          <w:b/>
          <w:sz w:val="24"/>
          <w:szCs w:val="24"/>
        </w:rPr>
        <w:t xml:space="preserve"> στην Ευρωπαϊκή Ένωση</w:t>
      </w:r>
      <w:r w:rsidRPr="005E4EE4">
        <w:rPr>
          <w:rFonts w:ascii="Times New Roman" w:hAnsi="Times New Roman" w:cs="Times New Roman"/>
          <w:b/>
          <w:sz w:val="24"/>
          <w:szCs w:val="24"/>
        </w:rPr>
        <w:t xml:space="preserve"> είναι μικρότερη από την κανονική αξία ενός ομοειδούς </w:t>
      </w:r>
      <w:r w:rsidRPr="005E4EE4">
        <w:rPr>
          <w:rFonts w:ascii="Times New Roman" w:hAnsi="Times New Roman" w:cs="Times New Roman"/>
          <w:b/>
          <w:sz w:val="24"/>
          <w:szCs w:val="24"/>
        </w:rPr>
        <w:lastRenderedPageBreak/>
        <w:t>προϊόντος (ντάμπινγκ</w:t>
      </w:r>
      <w:r w:rsidRPr="005E4EE4">
        <w:rPr>
          <w:rStyle w:val="FootnoteReference"/>
          <w:rFonts w:ascii="Times New Roman" w:hAnsi="Times New Roman" w:cs="Times New Roman"/>
          <w:b/>
          <w:sz w:val="24"/>
          <w:szCs w:val="24"/>
        </w:rPr>
        <w:footnoteReference w:id="1"/>
      </w:r>
      <w:r w:rsidRPr="005E4EE4">
        <w:rPr>
          <w:rFonts w:ascii="Times New Roman" w:hAnsi="Times New Roman" w:cs="Times New Roman"/>
          <w:b/>
          <w:sz w:val="24"/>
          <w:szCs w:val="24"/>
        </w:rPr>
        <w:t>), η ΕΕ μπορεί να πάρει μέτρα άμυνας κυρίως με την επιβολή δασμών αντιντάμπινγκ</w:t>
      </w:r>
      <w:r w:rsidRPr="005E4EE4">
        <w:rPr>
          <w:rStyle w:val="FootnoteReference"/>
          <w:rFonts w:ascii="Times New Roman" w:hAnsi="Times New Roman" w:cs="Times New Roman"/>
          <w:b/>
          <w:sz w:val="24"/>
          <w:szCs w:val="24"/>
        </w:rPr>
        <w:footnoteReference w:id="2"/>
      </w:r>
      <w:r w:rsidRPr="005E4EE4">
        <w:rPr>
          <w:rFonts w:ascii="Times New Roman" w:hAnsi="Times New Roman" w:cs="Times New Roman"/>
          <w:b/>
          <w:sz w:val="24"/>
          <w:szCs w:val="24"/>
        </w:rPr>
        <w:t xml:space="preserve">. </w:t>
      </w:r>
    </w:p>
    <w:p w:rsidR="00783874" w:rsidRPr="005E4EE4" w:rsidRDefault="00783874" w:rsidP="00783874">
      <w:pPr>
        <w:spacing w:line="360" w:lineRule="auto"/>
        <w:jc w:val="both"/>
        <w:rPr>
          <w:rFonts w:ascii="Times New Roman" w:hAnsi="Times New Roman" w:cs="Times New Roman"/>
          <w:sz w:val="24"/>
          <w:szCs w:val="24"/>
        </w:rPr>
      </w:pPr>
      <w:r w:rsidRPr="005E4EE4">
        <w:rPr>
          <w:rFonts w:ascii="Times New Roman" w:hAnsi="Times New Roman" w:cs="Times New Roman"/>
          <w:sz w:val="24"/>
          <w:szCs w:val="24"/>
        </w:rPr>
        <w:t xml:space="preserve">Σύμφωνα με τον κανονισμό για την άμυνα κατά των εισαγωγών που αποτελούν αντικείμενο </w:t>
      </w:r>
      <w:r w:rsidRPr="005E4EE4">
        <w:rPr>
          <w:rFonts w:ascii="Times New Roman" w:hAnsi="Times New Roman" w:cs="Times New Roman"/>
          <w:b/>
          <w:sz w:val="24"/>
          <w:szCs w:val="24"/>
        </w:rPr>
        <w:t>ντάμπινγκ</w:t>
      </w:r>
      <w:r w:rsidRPr="005E4EE4">
        <w:rPr>
          <w:rFonts w:ascii="Times New Roman" w:hAnsi="Times New Roman" w:cs="Times New Roman"/>
          <w:sz w:val="24"/>
          <w:szCs w:val="24"/>
        </w:rPr>
        <w:t xml:space="preserve"> εκ μέρους τρίτων χώρων, ένας δασμός αντιντάμπινγκ μπορεί να επιβάλλεται σε κάθε προϊόν που αποτελεί αντικείμενο ντάμπινγκ, όταν η θέση του σε ελεύθερη κυκλοφορία μέσα στην ΕΕ προκαλεί ζημία. Για να προσδιοριστεί το ντάμπινγκ χρειάζεται να οριστεί τι σημαίνει κανονική αξία και τιμή εξαγωγής και κατόπιν να γίνει σύγκριση των δύο αξιών. Αυτοί οι ορισμοί καθώς και οι διαδικασίες αντιντάμπινγκ είναι (μετά το Γύρο της Ουρουγουάης) ολόιδιες στην ΕΕ και στις άλλες χώρες που είναι μέλη του Παγκόσμιου Οργανισμού Εμπορίου.</w:t>
      </w:r>
    </w:p>
    <w:p w:rsidR="00783874" w:rsidRPr="005E4EE4" w:rsidRDefault="00783874" w:rsidP="00783874">
      <w:pPr>
        <w:spacing w:line="360" w:lineRule="auto"/>
        <w:jc w:val="both"/>
        <w:rPr>
          <w:rFonts w:ascii="Times New Roman" w:hAnsi="Times New Roman" w:cs="Times New Roman"/>
          <w:sz w:val="24"/>
          <w:szCs w:val="24"/>
        </w:rPr>
      </w:pPr>
      <w:r w:rsidRPr="005E4EE4">
        <w:rPr>
          <w:rFonts w:ascii="Times New Roman" w:hAnsi="Times New Roman" w:cs="Times New Roman"/>
          <w:sz w:val="24"/>
          <w:szCs w:val="24"/>
        </w:rPr>
        <w:t>Μετά από διαβουλεύσεις με τα κράτη μέλη η Επιτροπή μπορεί να επιβάλλει προσωρινά μέτρα το νωρίτερο 60 ημέρες και το αργότερο 9 μήνες μετά την έναρξη της διαδικασίας.  Τα οριστικά συμπεράσματα της έρευνας πρέπει να εκδίδονται εντός 6 μηνών. Εάν ο εξαγωγέας αναλάβει ικανοποιητικές δεσμεύσεις με αντικείμενο την αναθεώρηση των τιμών που αυτός εφαρμόζει ή τη διακοπή των εξαγωγών προς την εκάστοτε περιοχή σε τιμές που απορρέουν από πρακτικές ντάμπινγκ, η έρευνα μπορεί να περατωθεί χωρίς να επιβληθούν προσωρινοί ή οριστικοί δασμοί.</w:t>
      </w:r>
    </w:p>
    <w:p w:rsidR="00783874" w:rsidRPr="005E4EE4" w:rsidRDefault="00783874" w:rsidP="00783874">
      <w:pPr>
        <w:spacing w:line="360" w:lineRule="auto"/>
        <w:jc w:val="both"/>
        <w:rPr>
          <w:rFonts w:ascii="Times New Roman" w:hAnsi="Times New Roman" w:cs="Times New Roman"/>
          <w:sz w:val="24"/>
          <w:szCs w:val="24"/>
        </w:rPr>
      </w:pPr>
      <w:r w:rsidRPr="005E4EE4">
        <w:rPr>
          <w:rFonts w:ascii="Times New Roman" w:hAnsi="Times New Roman" w:cs="Times New Roman"/>
          <w:sz w:val="24"/>
          <w:szCs w:val="24"/>
        </w:rPr>
        <w:t>Το Συμβούλιο αποφασίζει εάν πρέπει να επιβληθεί οριστικός δασμός αντιντάμπινγκ και σε τι ύψος. Οι δασμοί αντιντάμπινγκ επιβάλλονται με Κανονισμό και αυτός ορίζει πως θα το εισπράξουν τα κράτη, το ύψος του και τις λοιπές λεπτομέρειες.</w:t>
      </w:r>
    </w:p>
    <w:p w:rsidR="00783874" w:rsidRPr="005E4EE4" w:rsidRDefault="00783874" w:rsidP="00783874">
      <w:pPr>
        <w:spacing w:line="360" w:lineRule="auto"/>
        <w:jc w:val="both"/>
        <w:rPr>
          <w:rFonts w:ascii="Times New Roman" w:hAnsi="Times New Roman" w:cs="Times New Roman"/>
          <w:sz w:val="24"/>
          <w:szCs w:val="24"/>
        </w:rPr>
      </w:pPr>
      <w:r w:rsidRPr="005E4EE4">
        <w:rPr>
          <w:rFonts w:ascii="Times New Roman" w:hAnsi="Times New Roman" w:cs="Times New Roman"/>
          <w:sz w:val="24"/>
          <w:szCs w:val="24"/>
        </w:rPr>
        <w:lastRenderedPageBreak/>
        <w:t xml:space="preserve">Παράλληλα, υπάρχουν και πρακτικές άμυνας από τη ΕΕ κατά των </w:t>
      </w:r>
      <w:r w:rsidRPr="005E4EE4">
        <w:rPr>
          <w:rFonts w:ascii="Times New Roman" w:hAnsi="Times New Roman" w:cs="Times New Roman"/>
          <w:b/>
          <w:sz w:val="24"/>
          <w:szCs w:val="24"/>
        </w:rPr>
        <w:t xml:space="preserve">εισαγωγών που αποτελούν αντικείμενο επιδοτήσεων από τρίτες χώρες </w:t>
      </w:r>
      <w:r w:rsidRPr="005E4EE4">
        <w:rPr>
          <w:rFonts w:ascii="Times New Roman" w:hAnsi="Times New Roman" w:cs="Times New Roman"/>
          <w:sz w:val="24"/>
          <w:szCs w:val="24"/>
        </w:rPr>
        <w:t xml:space="preserve">οι οποίοι είναι καθορισμένοι με Κανονισμό </w:t>
      </w:r>
      <w:r w:rsidRPr="005E4EE4">
        <w:rPr>
          <w:rFonts w:ascii="Times New Roman" w:hAnsi="Times New Roman" w:cs="Times New Roman"/>
        </w:rPr>
        <w:t>(Κανονισμός 597/2009)</w:t>
      </w:r>
      <w:r w:rsidRPr="005E4EE4">
        <w:rPr>
          <w:rFonts w:ascii="Times New Roman" w:hAnsi="Times New Roman" w:cs="Times New Roman"/>
          <w:sz w:val="24"/>
          <w:szCs w:val="24"/>
        </w:rPr>
        <w:t xml:space="preserve">. Η ευρωπαϊκή νομοθεσία είναι συμβατή με τους κανόνες του ΠΟΕ. Ένας </w:t>
      </w:r>
      <w:r w:rsidRPr="005E4EE4">
        <w:rPr>
          <w:rFonts w:ascii="Times New Roman" w:hAnsi="Times New Roman" w:cs="Times New Roman"/>
          <w:b/>
          <w:sz w:val="24"/>
          <w:szCs w:val="24"/>
        </w:rPr>
        <w:t>αντισταθμιστικός δασμός</w:t>
      </w:r>
      <w:r w:rsidRPr="005E4EE4">
        <w:rPr>
          <w:rFonts w:ascii="Times New Roman" w:hAnsi="Times New Roman" w:cs="Times New Roman"/>
          <w:sz w:val="24"/>
          <w:szCs w:val="24"/>
        </w:rPr>
        <w:t xml:space="preserve"> μπορεί να επιβάλλεται για την εξουδετέρωση των συνεπειών μιας επιδότησης που έχει χορηγηθεί άμεσα ή έμμεσα για την κατασκευή, παραγωγή, εξαγωγή ή μεταφορά οποιουδήποτε προϊόντος του οποίου η θέση σε κυκλοφορία μέσα στην ΕΕ προκαλεί ζημία. Επιδότηση υπάρχει όταν παρέχεται χρηματοδότηση από της δημόσιες αρχές ή από </w:t>
      </w:r>
      <w:r w:rsidR="00EE42A0">
        <w:rPr>
          <w:rFonts w:ascii="Times New Roman" w:hAnsi="Times New Roman" w:cs="Times New Roman"/>
          <w:sz w:val="24"/>
          <w:szCs w:val="24"/>
        </w:rPr>
        <w:t>έναν ιδιωτικό φορέα που ενεργεί</w:t>
      </w:r>
      <w:r w:rsidRPr="005E4EE4">
        <w:rPr>
          <w:rFonts w:ascii="Times New Roman" w:hAnsi="Times New Roman" w:cs="Times New Roman"/>
          <w:sz w:val="24"/>
          <w:szCs w:val="24"/>
        </w:rPr>
        <w:t xml:space="preserve"> κατ΄εντολή τους (δάνεια, φορολογικά κίνητρα κα) και με τον τρόπο αυτό παρέχεται όφελος. </w:t>
      </w:r>
    </w:p>
    <w:p w:rsidR="00783874" w:rsidRPr="005E4EE4" w:rsidRDefault="00783874" w:rsidP="00783874">
      <w:pPr>
        <w:spacing w:line="360" w:lineRule="auto"/>
        <w:jc w:val="both"/>
        <w:rPr>
          <w:rFonts w:ascii="Times New Roman" w:hAnsi="Times New Roman" w:cs="Times New Roman"/>
          <w:sz w:val="24"/>
          <w:szCs w:val="24"/>
        </w:rPr>
      </w:pPr>
      <w:r w:rsidRPr="005E4EE4">
        <w:rPr>
          <w:rFonts w:ascii="Times New Roman" w:hAnsi="Times New Roman" w:cs="Times New Roman"/>
          <w:sz w:val="24"/>
          <w:szCs w:val="24"/>
        </w:rPr>
        <w:t>Οι επιδοτήσεις υπόκεινται σε αντισταθμιστικά μέτρα μόνο εφόσον παρέχονται ατομικά προς συγκεκριμένη επιχείρηση ή ομάδα επιχειρήσεων ή προς συγκεκριμένο κλάδο παραγωγής. Εάν οι επιδοτήσεις παρέχονται για ερευνητικές δραστηριότητες, για προσαρμογή υφιστάμενων μονάδων σε νέες περιβαλλοντικές απαιτήσεις ή βάσει ενός πλαισίου περιφερειακής ανάπτυξης. Το ύψος των αντισταθμίσιμων επιδοτήσεων υπολογίζεται με βάση το όφελος που προκύπτει για τον αποδέκτη της επιδότησης και το οποίο θα προκύψει από την έρευνα. Οι διαδικασίες είναι παρόμοιες με εκείνες που ισχύουν για την επιβολή δασμών αντιντάμπινγκ.</w:t>
      </w:r>
    </w:p>
    <w:p w:rsidR="00783874" w:rsidRPr="00EE42A0" w:rsidRDefault="00EE42A0" w:rsidP="00EE42A0">
      <w:pPr>
        <w:spacing w:line="360" w:lineRule="auto"/>
        <w:jc w:val="center"/>
        <w:outlineLvl w:val="0"/>
        <w:rPr>
          <w:rFonts w:ascii="Times New Roman" w:hAnsi="Times New Roman" w:cs="Times New Roman"/>
          <w:b/>
          <w:i/>
          <w:sz w:val="26"/>
          <w:szCs w:val="26"/>
        </w:rPr>
      </w:pPr>
      <w:r w:rsidRPr="00EE42A0">
        <w:rPr>
          <w:rFonts w:ascii="Times New Roman" w:hAnsi="Times New Roman" w:cs="Times New Roman"/>
          <w:b/>
          <w:i/>
          <w:sz w:val="26"/>
          <w:szCs w:val="26"/>
        </w:rPr>
        <w:t xml:space="preserve">10.5. </w:t>
      </w:r>
      <w:r w:rsidR="00783874" w:rsidRPr="00EE42A0">
        <w:rPr>
          <w:rFonts w:ascii="Times New Roman" w:hAnsi="Times New Roman" w:cs="Times New Roman"/>
          <w:b/>
          <w:i/>
          <w:sz w:val="26"/>
          <w:szCs w:val="26"/>
        </w:rPr>
        <w:t>Κοινό καθεστώς εξαγωγών</w:t>
      </w:r>
    </w:p>
    <w:p w:rsidR="00783874" w:rsidRPr="005E4EE4" w:rsidRDefault="00783874" w:rsidP="00783874">
      <w:pPr>
        <w:spacing w:line="360" w:lineRule="auto"/>
        <w:jc w:val="both"/>
        <w:rPr>
          <w:rFonts w:ascii="Times New Roman" w:hAnsi="Times New Roman" w:cs="Times New Roman"/>
          <w:sz w:val="24"/>
          <w:szCs w:val="24"/>
        </w:rPr>
      </w:pPr>
      <w:r w:rsidRPr="005E4EE4">
        <w:rPr>
          <w:rFonts w:ascii="Times New Roman" w:hAnsi="Times New Roman" w:cs="Times New Roman"/>
          <w:sz w:val="24"/>
          <w:szCs w:val="24"/>
        </w:rPr>
        <w:t>Η Συνθήκη για τη λειτουργία της ΕΕ δηλώνει ότι η κοινή εμπορική πολιτική διαμορφώνεται βάσει ενιαίων αρχών όσον αφορά την πολιτική των εξαγωγών αλλά δεν προσδιορίζει αυτήν την πολιτική. Απομένει στο Ευρ. Κοινοβούλιο και στο Συμβούλιο, αποφασίζοντας μέσω κανονισμών σύμφωνα με τη συνήθη νομοθετική διαδικασία, να θεσπίσουν μέτρα για τον καθορισμό του πλαισίου εφαρμογής αυτής καθώς και της κοινής εμπορικής πολιτικής.</w:t>
      </w:r>
    </w:p>
    <w:p w:rsidR="00783874" w:rsidRPr="005E4EE4" w:rsidRDefault="00783874" w:rsidP="00783874">
      <w:pPr>
        <w:spacing w:line="360" w:lineRule="auto"/>
        <w:jc w:val="both"/>
        <w:rPr>
          <w:rFonts w:ascii="Times New Roman" w:hAnsi="Times New Roman" w:cs="Times New Roman"/>
          <w:sz w:val="24"/>
          <w:szCs w:val="24"/>
        </w:rPr>
      </w:pPr>
      <w:r w:rsidRPr="005E4EE4">
        <w:rPr>
          <w:rFonts w:ascii="Times New Roman" w:hAnsi="Times New Roman" w:cs="Times New Roman"/>
          <w:sz w:val="24"/>
          <w:szCs w:val="24"/>
        </w:rPr>
        <w:t xml:space="preserve">Οι εξαγωγές της ΕΕ προς τρίτες χώρες είναι ελεύθερες δηλαδή δεν υπάγονται σε ποσοτικούς περιορισμούς εκτός από εκείνες που αφορούν ορισμένα προϊόντα ορισμένων κρατών μελών  και εκείνες που  αφορούν το πετρέλαιο και το φυσικό αέριο από όλα τα κράτη μέλη. </w:t>
      </w:r>
    </w:p>
    <w:p w:rsidR="00896B53" w:rsidRPr="00A6536C" w:rsidRDefault="00896B53" w:rsidP="00783874">
      <w:pPr>
        <w:spacing w:line="360" w:lineRule="auto"/>
        <w:jc w:val="both"/>
        <w:outlineLvl w:val="0"/>
        <w:rPr>
          <w:rFonts w:ascii="Times New Roman" w:hAnsi="Times New Roman" w:cs="Times New Roman"/>
          <w:b/>
          <w:i/>
          <w:sz w:val="24"/>
          <w:szCs w:val="24"/>
        </w:rPr>
      </w:pPr>
    </w:p>
    <w:p w:rsidR="00896B53" w:rsidRPr="00A6536C" w:rsidRDefault="00896B53" w:rsidP="00783874">
      <w:pPr>
        <w:spacing w:line="360" w:lineRule="auto"/>
        <w:jc w:val="both"/>
        <w:outlineLvl w:val="0"/>
        <w:rPr>
          <w:rFonts w:ascii="Times New Roman" w:hAnsi="Times New Roman" w:cs="Times New Roman"/>
          <w:b/>
          <w:i/>
          <w:sz w:val="24"/>
          <w:szCs w:val="24"/>
        </w:rPr>
      </w:pPr>
    </w:p>
    <w:p w:rsidR="00783874" w:rsidRPr="00EE42A0" w:rsidRDefault="00EE42A0" w:rsidP="00EE42A0">
      <w:pPr>
        <w:spacing w:line="360" w:lineRule="auto"/>
        <w:jc w:val="center"/>
        <w:outlineLvl w:val="0"/>
        <w:rPr>
          <w:rFonts w:ascii="Times New Roman" w:hAnsi="Times New Roman" w:cs="Times New Roman"/>
          <w:b/>
          <w:i/>
          <w:sz w:val="26"/>
          <w:szCs w:val="26"/>
        </w:rPr>
      </w:pPr>
      <w:r w:rsidRPr="00EE42A0">
        <w:rPr>
          <w:rFonts w:ascii="Times New Roman" w:hAnsi="Times New Roman" w:cs="Times New Roman"/>
          <w:b/>
          <w:i/>
          <w:sz w:val="26"/>
          <w:szCs w:val="26"/>
        </w:rPr>
        <w:lastRenderedPageBreak/>
        <w:t xml:space="preserve">10.6. </w:t>
      </w:r>
      <w:r w:rsidR="00783874" w:rsidRPr="00EE42A0">
        <w:rPr>
          <w:rFonts w:ascii="Times New Roman" w:hAnsi="Times New Roman" w:cs="Times New Roman"/>
          <w:b/>
          <w:i/>
          <w:sz w:val="26"/>
          <w:szCs w:val="26"/>
        </w:rPr>
        <w:t>Συμπέρασμα</w:t>
      </w:r>
    </w:p>
    <w:p w:rsidR="00783874" w:rsidRPr="009E24C5" w:rsidRDefault="00783874" w:rsidP="00783874">
      <w:pPr>
        <w:spacing w:line="360" w:lineRule="auto"/>
        <w:jc w:val="both"/>
        <w:rPr>
          <w:rFonts w:ascii="Times New Roman" w:hAnsi="Times New Roman" w:cs="Times New Roman"/>
        </w:rPr>
      </w:pPr>
      <w:r w:rsidRPr="005E4EE4">
        <w:rPr>
          <w:rFonts w:ascii="Times New Roman" w:hAnsi="Times New Roman" w:cs="Times New Roman"/>
          <w:sz w:val="24"/>
          <w:szCs w:val="24"/>
        </w:rPr>
        <w:t>Τα κράτη μέλη της ΕΕ δεν έχουν πλέον ανεξάρτητη πολιτική εξωτερικού εμπορίου. Παραπάνω από το 60% του εμπορίου τους είναι ενδοευρωπαϊκό και επομένως υπόκειται στους κανόνες της ενιαίας αγοράς. Για τα υπόλοιπα 40% του εμπορίου, τα κύρια μέσα εμπορικής πολιτικής, το Κοινό Τελωνειακό Δασμολόγιο, το κοινό καθεστώς εισαγωγών και τα κοινά μέτρα προστασίας είναι στα χέρια των οργάνων της ΕΕ, του Συμβουλίου και της Επιτροπής. Αυτά πρέπει να συνεργάζονται για να εξασφαλίζουν ίσους όρους του ανταγωνισμού στις ευρωπαϊκές επιχειρήσεις να τους παρέχουν πρόσβαση σε εισαγόμενες πρώτες ύλες σε ίσες τιμές και να τις προστατεύουν εξίσου από παράνομες πρακτικές των ανταγωνιστών τους. Ταυτόχρονα, η κοινή εμπορική πολιτική διευκολύνει τις δραστηριότητες των Ευρωπαίων εισαγωγέων, οι οποίοι μπορούν να χρησιμοποιούν μια και μόνη άδεια εισαγωγής για όλες τις χώρες της ΕΕ</w:t>
      </w:r>
      <w:r w:rsidRPr="009E24C5">
        <w:rPr>
          <w:rFonts w:ascii="Times New Roman" w:hAnsi="Times New Roman" w:cs="Times New Roman"/>
        </w:rPr>
        <w:t xml:space="preserve">. </w:t>
      </w:r>
    </w:p>
    <w:p w:rsidR="00FC3E31" w:rsidRPr="00783874" w:rsidRDefault="00FC3E31" w:rsidP="00FC3E31">
      <w:pPr>
        <w:spacing w:line="360" w:lineRule="auto"/>
        <w:jc w:val="both"/>
        <w:rPr>
          <w:rFonts w:ascii="Times New Roman" w:hAnsi="Times New Roman" w:cs="Times New Roman"/>
          <w:sz w:val="24"/>
          <w:szCs w:val="24"/>
        </w:rPr>
      </w:pPr>
    </w:p>
    <w:p w:rsidR="00FC3E31" w:rsidRPr="00FC3E31" w:rsidRDefault="00FC3E31" w:rsidP="0060351F">
      <w:pPr>
        <w:spacing w:line="360" w:lineRule="auto"/>
        <w:jc w:val="both"/>
        <w:rPr>
          <w:rFonts w:ascii="Times New Roman" w:hAnsi="Times New Roman"/>
          <w:sz w:val="24"/>
          <w:szCs w:val="24"/>
        </w:rPr>
      </w:pPr>
    </w:p>
    <w:p w:rsidR="0060351F" w:rsidRPr="002D7023" w:rsidRDefault="0060351F" w:rsidP="0060351F"/>
    <w:p w:rsidR="00022CD3" w:rsidRPr="00D27D38" w:rsidRDefault="00022CD3" w:rsidP="00022CD3">
      <w:pPr>
        <w:spacing w:line="360" w:lineRule="auto"/>
        <w:jc w:val="both"/>
        <w:rPr>
          <w:rFonts w:ascii="Times New Roman" w:hAnsi="Times New Roman" w:cs="Times New Roman"/>
          <w:sz w:val="24"/>
          <w:szCs w:val="24"/>
        </w:rPr>
      </w:pPr>
    </w:p>
    <w:p w:rsidR="00022CD3" w:rsidRPr="00D27D38" w:rsidRDefault="00022CD3" w:rsidP="00022CD3">
      <w:pPr>
        <w:rPr>
          <w:rFonts w:ascii="Times New Roman" w:hAnsi="Times New Roman" w:cs="Times New Roman"/>
          <w:sz w:val="24"/>
          <w:szCs w:val="24"/>
        </w:rPr>
      </w:pPr>
    </w:p>
    <w:p w:rsidR="00022CD3" w:rsidRPr="004B1B27" w:rsidRDefault="00022CD3" w:rsidP="00485D8B">
      <w:pPr>
        <w:jc w:val="both"/>
        <w:rPr>
          <w:rFonts w:ascii="Times New Roman" w:hAnsi="Times New Roman" w:cs="Times New Roman"/>
          <w:sz w:val="24"/>
          <w:szCs w:val="24"/>
        </w:rPr>
      </w:pPr>
    </w:p>
    <w:p w:rsidR="00F82811" w:rsidRPr="00FC55C5" w:rsidRDefault="00F82811" w:rsidP="00485D8B">
      <w:pPr>
        <w:jc w:val="both"/>
        <w:rPr>
          <w:rFonts w:ascii="Times New Roman" w:hAnsi="Times New Roman" w:cs="Times New Roman"/>
          <w:sz w:val="24"/>
          <w:szCs w:val="24"/>
        </w:rPr>
      </w:pPr>
    </w:p>
    <w:sectPr w:rsidR="00F82811" w:rsidRPr="00FC55C5" w:rsidSect="00042E8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96" w:rsidRDefault="00100B96" w:rsidP="00D902C2">
      <w:pPr>
        <w:spacing w:after="0" w:line="240" w:lineRule="auto"/>
      </w:pPr>
      <w:r>
        <w:separator/>
      </w:r>
    </w:p>
  </w:endnote>
  <w:endnote w:type="continuationSeparator" w:id="0">
    <w:p w:rsidR="00100B96" w:rsidRDefault="00100B96" w:rsidP="00D902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4FC" w:rsidRDefault="00C424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47053"/>
      <w:docPartObj>
        <w:docPartGallery w:val="Page Numbers (Bottom of Page)"/>
        <w:docPartUnique/>
      </w:docPartObj>
    </w:sdtPr>
    <w:sdtContent>
      <w:p w:rsidR="00C424FC" w:rsidRDefault="00C424FC">
        <w:pPr>
          <w:pStyle w:val="Footer"/>
          <w:jc w:val="right"/>
        </w:pPr>
        <w:fldSimple w:instr=" PAGE   \* MERGEFORMAT ">
          <w:r w:rsidR="00EE42A0">
            <w:rPr>
              <w:noProof/>
            </w:rPr>
            <w:t>6</w:t>
          </w:r>
        </w:fldSimple>
      </w:p>
    </w:sdtContent>
  </w:sdt>
  <w:p w:rsidR="00C424FC" w:rsidRDefault="00C424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4FC" w:rsidRDefault="00C424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96" w:rsidRDefault="00100B96" w:rsidP="00D902C2">
      <w:pPr>
        <w:spacing w:after="0" w:line="240" w:lineRule="auto"/>
      </w:pPr>
      <w:r>
        <w:separator/>
      </w:r>
    </w:p>
  </w:footnote>
  <w:footnote w:type="continuationSeparator" w:id="0">
    <w:p w:rsidR="00100B96" w:rsidRDefault="00100B96" w:rsidP="00D902C2">
      <w:pPr>
        <w:spacing w:after="0" w:line="240" w:lineRule="auto"/>
      </w:pPr>
      <w:r>
        <w:continuationSeparator/>
      </w:r>
    </w:p>
  </w:footnote>
  <w:footnote w:id="1">
    <w:p w:rsidR="00C424FC" w:rsidRPr="009E24C5" w:rsidRDefault="00C424FC" w:rsidP="00783874">
      <w:pPr>
        <w:pStyle w:val="FootnoteText"/>
        <w:jc w:val="both"/>
        <w:rPr>
          <w:rFonts w:ascii="Times New Roman" w:hAnsi="Times New Roman" w:cs="Times New Roman"/>
          <w:sz w:val="18"/>
          <w:szCs w:val="18"/>
        </w:rPr>
      </w:pPr>
      <w:r w:rsidRPr="009E24C5">
        <w:rPr>
          <w:rStyle w:val="FootnoteReference"/>
          <w:rFonts w:ascii="Times New Roman" w:hAnsi="Times New Roman" w:cs="Times New Roman"/>
          <w:sz w:val="18"/>
          <w:szCs w:val="18"/>
        </w:rPr>
        <w:footnoteRef/>
      </w:r>
      <w:r w:rsidRPr="009E24C5">
        <w:rPr>
          <w:rFonts w:ascii="Times New Roman" w:hAnsi="Times New Roman" w:cs="Times New Roman"/>
          <w:sz w:val="18"/>
          <w:szCs w:val="18"/>
        </w:rPr>
        <w:t xml:space="preserve"> </w:t>
      </w:r>
      <w:r w:rsidRPr="009E24C5">
        <w:rPr>
          <w:rFonts w:ascii="Times New Roman" w:hAnsi="Times New Roman" w:cs="Times New Roman"/>
          <w:color w:val="252525"/>
          <w:sz w:val="18"/>
          <w:szCs w:val="18"/>
          <w:shd w:val="clear" w:color="auto" w:fill="FFFFFF"/>
        </w:rPr>
        <w:t>Η εξαγωγή και πώληση προϊόντων σε τιμή χαμηλότερη (ή ακόμη και κάτω του</w:t>
      </w:r>
      <w:r w:rsidRPr="009E24C5">
        <w:rPr>
          <w:rStyle w:val="apple-converted-space"/>
          <w:rFonts w:ascii="Times New Roman" w:hAnsi="Times New Roman" w:cs="Times New Roman"/>
          <w:color w:val="252525"/>
          <w:sz w:val="18"/>
          <w:szCs w:val="18"/>
          <w:shd w:val="clear" w:color="auto" w:fill="FFFFFF"/>
        </w:rPr>
        <w:t> </w:t>
      </w:r>
      <w:hyperlink r:id="rId1" w:tooltip="κόστος" w:history="1">
        <w:r w:rsidRPr="009E24C5">
          <w:rPr>
            <w:rStyle w:val="Hyperlink"/>
            <w:rFonts w:ascii="Times New Roman" w:hAnsi="Times New Roman" w:cs="Times New Roman"/>
            <w:color w:val="0B0080"/>
            <w:sz w:val="18"/>
            <w:szCs w:val="18"/>
            <w:shd w:val="clear" w:color="auto" w:fill="FFFFFF"/>
          </w:rPr>
          <w:t>κόστους</w:t>
        </w:r>
      </w:hyperlink>
      <w:r w:rsidRPr="009E24C5">
        <w:rPr>
          <w:rFonts w:ascii="Times New Roman" w:hAnsi="Times New Roman" w:cs="Times New Roman"/>
          <w:color w:val="252525"/>
          <w:sz w:val="18"/>
          <w:szCs w:val="18"/>
          <w:shd w:val="clear" w:color="auto" w:fill="FFFFFF"/>
        </w:rPr>
        <w:t>) από ό,τι στην εγχώρια</w:t>
      </w:r>
      <w:r w:rsidRPr="009E24C5">
        <w:rPr>
          <w:rStyle w:val="apple-converted-space"/>
          <w:rFonts w:ascii="Times New Roman" w:hAnsi="Times New Roman" w:cs="Times New Roman"/>
          <w:color w:val="252525"/>
          <w:sz w:val="18"/>
          <w:szCs w:val="18"/>
          <w:shd w:val="clear" w:color="auto" w:fill="FFFFFF"/>
        </w:rPr>
        <w:t> </w:t>
      </w:r>
      <w:hyperlink r:id="rId2" w:tooltip="αγορά" w:history="1">
        <w:r w:rsidRPr="009E24C5">
          <w:rPr>
            <w:rStyle w:val="Hyperlink"/>
            <w:rFonts w:ascii="Times New Roman" w:hAnsi="Times New Roman" w:cs="Times New Roman"/>
            <w:color w:val="0B0080"/>
            <w:sz w:val="18"/>
            <w:szCs w:val="18"/>
            <w:shd w:val="clear" w:color="auto" w:fill="FFFFFF"/>
          </w:rPr>
          <w:t>αγορά</w:t>
        </w:r>
      </w:hyperlink>
      <w:r w:rsidRPr="009E24C5">
        <w:rPr>
          <w:rStyle w:val="apple-converted-space"/>
          <w:rFonts w:ascii="Times New Roman" w:hAnsi="Times New Roman" w:cs="Times New Roman"/>
          <w:color w:val="252525"/>
          <w:sz w:val="18"/>
          <w:szCs w:val="18"/>
          <w:shd w:val="clear" w:color="auto" w:fill="FFFFFF"/>
        </w:rPr>
        <w:t> </w:t>
      </w:r>
      <w:r w:rsidRPr="009E24C5">
        <w:rPr>
          <w:rFonts w:ascii="Times New Roman" w:hAnsi="Times New Roman" w:cs="Times New Roman"/>
          <w:color w:val="252525"/>
          <w:sz w:val="18"/>
          <w:szCs w:val="18"/>
          <w:shd w:val="clear" w:color="auto" w:fill="FFFFFF"/>
        </w:rPr>
        <w:t xml:space="preserve"> με σκοπό την εκμηδένιση των ανταγωνιστών.</w:t>
      </w:r>
    </w:p>
  </w:footnote>
  <w:footnote w:id="2">
    <w:p w:rsidR="00C424FC" w:rsidRPr="00F61F00" w:rsidRDefault="00C424FC" w:rsidP="00783874">
      <w:pPr>
        <w:pStyle w:val="FootnoteText"/>
        <w:jc w:val="both"/>
      </w:pPr>
      <w:r w:rsidRPr="009E24C5">
        <w:rPr>
          <w:rStyle w:val="FootnoteReference"/>
          <w:rFonts w:ascii="Times New Roman" w:hAnsi="Times New Roman" w:cs="Times New Roman"/>
          <w:sz w:val="18"/>
          <w:szCs w:val="18"/>
        </w:rPr>
        <w:footnoteRef/>
      </w:r>
      <w:r w:rsidRPr="009E24C5">
        <w:rPr>
          <w:rFonts w:ascii="Times New Roman" w:hAnsi="Times New Roman" w:cs="Times New Roman"/>
          <w:sz w:val="18"/>
          <w:szCs w:val="18"/>
        </w:rPr>
        <w:t xml:space="preserve"> Ο </w:t>
      </w:r>
      <w:r w:rsidRPr="009E24C5">
        <w:rPr>
          <w:rFonts w:ascii="Times New Roman" w:hAnsi="Times New Roman" w:cs="Times New Roman"/>
          <w:b/>
          <w:sz w:val="18"/>
          <w:szCs w:val="18"/>
        </w:rPr>
        <w:t>δασμός αντιντάμπινγκ</w:t>
      </w:r>
      <w:r w:rsidRPr="009E24C5">
        <w:rPr>
          <w:rFonts w:ascii="Times New Roman" w:hAnsi="Times New Roman" w:cs="Times New Roman"/>
          <w:sz w:val="18"/>
          <w:szCs w:val="18"/>
        </w:rPr>
        <w:t xml:space="preserve"> είναι πρόσθετος δασμός που επιβάλλεται κατά την υποβολή διασάφησης για θέση σε ελεύθερη κυκλοφορία προϊόντων στην Κοινότητα, των οποίων η τιμή εξαγωγής είναι χαμηλότερη από την τιμή του ομοειδούς προϊόντος όπως έχει καθοριστεί στη χώρα εξαγωγής κατά τις συνήθεις εμπορικές πράξεις. Η επιβολή του πρόσθετου αυτού δασμού σκοπεύει στο να υπάρχει δίκαιος ανταγωνισμός μεταξύ μη κοινοτικών εξαγωγέων και κοινοτικών βιομηχανιών και κατά συνέπεια να αποφεύγονται οι αρνητικές επιπτώσεις από τη χαμηλότερη μη πραγματική τιμή του εισαγόμενου με ντάμπινγκ προϊόντος. Ο δασμός αντιντάμπινγκ είναι ανεξάρτητος δασμός και δεν πρέπει να συγχέεται με τον εισαγωγικό δασμό. Επιβάλλεται σε συγκεκριμένα προϊόντα συγκεκριμένης χώρας εξαγωγής /καταγωγής ή σε προϊόντα προερχόμενα από συγκεκριμένους κατασκευαστές. Iσχύει, κατά κανόνα, για πέντε χρόνια. Ο </w:t>
      </w:r>
      <w:r w:rsidRPr="009E24C5">
        <w:rPr>
          <w:rFonts w:ascii="Times New Roman" w:hAnsi="Times New Roman" w:cs="Times New Roman"/>
          <w:b/>
          <w:sz w:val="18"/>
          <w:szCs w:val="18"/>
        </w:rPr>
        <w:t>αντισταθμιστικός δασμός</w:t>
      </w:r>
      <w:r w:rsidRPr="009E24C5">
        <w:rPr>
          <w:rFonts w:ascii="Times New Roman" w:hAnsi="Times New Roman" w:cs="Times New Roman"/>
          <w:sz w:val="18"/>
          <w:szCs w:val="18"/>
        </w:rPr>
        <w:t xml:space="preserve"> είναι πρόσθετος δασμός που επιβάλλεται κατά την υποβολή διασάφησης για θέση σε ελεύθερη κυκλοφορία προϊόντων τα οποία έτυχαν κρατικής επιδότησης στη χώρα εξαγωγής/ καταγωγής τους ώστε να εισάγονται στην κοινότητα με αξία χαμηλότερη από την τιμή του ομοειδούς προϊόντος, όπως έχει καθοριστεί στη χώρα εξαγωγής. Ο αντισταθμιστικός δασμός εφαρμόζεται όπως και ο δασμός αντιτάμπινγκ και έχει ισχύ πέντε χρόνια. Ο προσωρινός δασμός αντιντάμπινγκ και ο προσωρινός αντισταθμιστικός δασμός δύνανται να εφαρμοστούν προσωρινά με κανονισμούς, για περίοδο μέχρι εννέα και τέσσερεις μήνες αντίστοιχα, σε περιπτώσεις όπου αρχίζει διαδικασία διερεύνησης και εφόσον φαίνεται, από μια πρώτη μελέτη της καταγγελίας, ότι πράγματι γίνεται ντάμπινγκ. Μετά το πέρας της διερεύνησης τα προσωρινά μέτρα μπορεί να γίνουν οριστικά, ή να ανασταλούν ή να ακυρωθούν, ανάλογα με τα αποτελέσματα της έρευνας </w:t>
      </w:r>
      <w:r w:rsidRPr="009E24C5">
        <w:rPr>
          <w:sz w:val="18"/>
          <w:szCs w:val="18"/>
        </w:rPr>
        <w:t xml:space="preserve">(Κυπριακή Δημοκρατία, Υπουργείο Οικονομικών, Τμήμα Τελωνείων, Συνοπτικός Οδηγός του Τμήματος Τελωνείων, </w:t>
      </w:r>
      <w:r w:rsidRPr="009E24C5">
        <w:rPr>
          <w:rFonts w:ascii="Times New Roman" w:hAnsi="Times New Roman" w:cs="Times New Roman"/>
          <w:sz w:val="18"/>
          <w:szCs w:val="18"/>
        </w:rPr>
        <w:t>http://www.mof.gov.cy/mof/customs/Customs.nsf/0/2C1A4FBC6B837B10C22572CD0037B34D/$file/Antidumping%20Odigos.pdf?OpenElement).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4FC" w:rsidRDefault="00C424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4FC" w:rsidRDefault="00C424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4FC" w:rsidRDefault="00C424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3F18"/>
    <w:multiLevelType w:val="hybridMultilevel"/>
    <w:tmpl w:val="92985E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B727B52"/>
    <w:multiLevelType w:val="hybridMultilevel"/>
    <w:tmpl w:val="A440CF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D41605F"/>
    <w:multiLevelType w:val="hybridMultilevel"/>
    <w:tmpl w:val="D0B8C7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3E26844"/>
    <w:multiLevelType w:val="hybridMultilevel"/>
    <w:tmpl w:val="97DEAD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E605817"/>
    <w:multiLevelType w:val="hybridMultilevel"/>
    <w:tmpl w:val="69AEA1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8892A87"/>
    <w:multiLevelType w:val="hybridMultilevel"/>
    <w:tmpl w:val="55D42C5A"/>
    <w:lvl w:ilvl="0" w:tplc="1F0ECDD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6284E"/>
    <w:rsid w:val="0001062A"/>
    <w:rsid w:val="00010867"/>
    <w:rsid w:val="00011535"/>
    <w:rsid w:val="000157F0"/>
    <w:rsid w:val="00022CD3"/>
    <w:rsid w:val="0002322E"/>
    <w:rsid w:val="00030EBB"/>
    <w:rsid w:val="000375A9"/>
    <w:rsid w:val="00041226"/>
    <w:rsid w:val="00042E83"/>
    <w:rsid w:val="00073D97"/>
    <w:rsid w:val="00075CBF"/>
    <w:rsid w:val="00076A42"/>
    <w:rsid w:val="000811AD"/>
    <w:rsid w:val="00085B7A"/>
    <w:rsid w:val="00097FA0"/>
    <w:rsid w:val="000C1064"/>
    <w:rsid w:val="000C3372"/>
    <w:rsid w:val="000C5357"/>
    <w:rsid w:val="000D7494"/>
    <w:rsid w:val="000E6E6F"/>
    <w:rsid w:val="000E7DAD"/>
    <w:rsid w:val="00100B96"/>
    <w:rsid w:val="0012761A"/>
    <w:rsid w:val="00157CA8"/>
    <w:rsid w:val="001610EB"/>
    <w:rsid w:val="00167DE7"/>
    <w:rsid w:val="00170460"/>
    <w:rsid w:val="00175F81"/>
    <w:rsid w:val="00182A61"/>
    <w:rsid w:val="0018556D"/>
    <w:rsid w:val="00194D23"/>
    <w:rsid w:val="00197E61"/>
    <w:rsid w:val="001B1CB1"/>
    <w:rsid w:val="001B4400"/>
    <w:rsid w:val="001B78FD"/>
    <w:rsid w:val="001C63F9"/>
    <w:rsid w:val="001D29F1"/>
    <w:rsid w:val="00212768"/>
    <w:rsid w:val="00216ADE"/>
    <w:rsid w:val="00251829"/>
    <w:rsid w:val="00260D96"/>
    <w:rsid w:val="002950EB"/>
    <w:rsid w:val="002A366F"/>
    <w:rsid w:val="002B58C9"/>
    <w:rsid w:val="002C0E8D"/>
    <w:rsid w:val="002E4FFE"/>
    <w:rsid w:val="002F10BA"/>
    <w:rsid w:val="00317096"/>
    <w:rsid w:val="003354CC"/>
    <w:rsid w:val="00341042"/>
    <w:rsid w:val="00347860"/>
    <w:rsid w:val="003510C7"/>
    <w:rsid w:val="00375516"/>
    <w:rsid w:val="003811FE"/>
    <w:rsid w:val="0039573E"/>
    <w:rsid w:val="003A2226"/>
    <w:rsid w:val="003B4CF4"/>
    <w:rsid w:val="003C1B60"/>
    <w:rsid w:val="003C3C1F"/>
    <w:rsid w:val="003C4193"/>
    <w:rsid w:val="003D0B45"/>
    <w:rsid w:val="003D49A4"/>
    <w:rsid w:val="003F6248"/>
    <w:rsid w:val="00406F2B"/>
    <w:rsid w:val="00411A5B"/>
    <w:rsid w:val="004138BC"/>
    <w:rsid w:val="00416844"/>
    <w:rsid w:val="00423121"/>
    <w:rsid w:val="00431BF7"/>
    <w:rsid w:val="00447694"/>
    <w:rsid w:val="00450EBE"/>
    <w:rsid w:val="00454032"/>
    <w:rsid w:val="00456B75"/>
    <w:rsid w:val="00475238"/>
    <w:rsid w:val="00481071"/>
    <w:rsid w:val="00485D8B"/>
    <w:rsid w:val="004A5312"/>
    <w:rsid w:val="004A6F21"/>
    <w:rsid w:val="004B116E"/>
    <w:rsid w:val="004B1B27"/>
    <w:rsid w:val="004B2E6E"/>
    <w:rsid w:val="004D70DF"/>
    <w:rsid w:val="004E5C84"/>
    <w:rsid w:val="004F424C"/>
    <w:rsid w:val="00510F66"/>
    <w:rsid w:val="0051389D"/>
    <w:rsid w:val="00524B6E"/>
    <w:rsid w:val="00532944"/>
    <w:rsid w:val="00537ABA"/>
    <w:rsid w:val="005438FA"/>
    <w:rsid w:val="0055159A"/>
    <w:rsid w:val="0055592A"/>
    <w:rsid w:val="005574DD"/>
    <w:rsid w:val="0056458A"/>
    <w:rsid w:val="00567097"/>
    <w:rsid w:val="005766F0"/>
    <w:rsid w:val="00577498"/>
    <w:rsid w:val="00595038"/>
    <w:rsid w:val="005977BF"/>
    <w:rsid w:val="005B51A9"/>
    <w:rsid w:val="005D67F2"/>
    <w:rsid w:val="005E1E99"/>
    <w:rsid w:val="005E4DE2"/>
    <w:rsid w:val="005F68D3"/>
    <w:rsid w:val="0060351F"/>
    <w:rsid w:val="00617527"/>
    <w:rsid w:val="006348C2"/>
    <w:rsid w:val="00643F08"/>
    <w:rsid w:val="00656C35"/>
    <w:rsid w:val="00662D2A"/>
    <w:rsid w:val="006655D5"/>
    <w:rsid w:val="0069505F"/>
    <w:rsid w:val="006B054A"/>
    <w:rsid w:val="006B4464"/>
    <w:rsid w:val="006D55DB"/>
    <w:rsid w:val="006F2EB9"/>
    <w:rsid w:val="006F7F65"/>
    <w:rsid w:val="00702378"/>
    <w:rsid w:val="00713A8C"/>
    <w:rsid w:val="0073317F"/>
    <w:rsid w:val="007467EF"/>
    <w:rsid w:val="00771077"/>
    <w:rsid w:val="0077218A"/>
    <w:rsid w:val="007752E7"/>
    <w:rsid w:val="007770FE"/>
    <w:rsid w:val="007829F5"/>
    <w:rsid w:val="00783874"/>
    <w:rsid w:val="0079436F"/>
    <w:rsid w:val="007B4E54"/>
    <w:rsid w:val="007B7671"/>
    <w:rsid w:val="007C35D1"/>
    <w:rsid w:val="008078C4"/>
    <w:rsid w:val="00835B4E"/>
    <w:rsid w:val="00844E26"/>
    <w:rsid w:val="0085038B"/>
    <w:rsid w:val="00863966"/>
    <w:rsid w:val="00864833"/>
    <w:rsid w:val="008665A8"/>
    <w:rsid w:val="00891DD4"/>
    <w:rsid w:val="00896B53"/>
    <w:rsid w:val="008A5D31"/>
    <w:rsid w:val="008B3EB1"/>
    <w:rsid w:val="008B4F76"/>
    <w:rsid w:val="008C1000"/>
    <w:rsid w:val="008C1318"/>
    <w:rsid w:val="0090061E"/>
    <w:rsid w:val="00902257"/>
    <w:rsid w:val="00902B7D"/>
    <w:rsid w:val="00914367"/>
    <w:rsid w:val="009466CC"/>
    <w:rsid w:val="00947785"/>
    <w:rsid w:val="0095095C"/>
    <w:rsid w:val="009526E8"/>
    <w:rsid w:val="009610C5"/>
    <w:rsid w:val="0096284E"/>
    <w:rsid w:val="0097726F"/>
    <w:rsid w:val="00985056"/>
    <w:rsid w:val="00990F4E"/>
    <w:rsid w:val="00997C34"/>
    <w:rsid w:val="009A2798"/>
    <w:rsid w:val="009A5A5E"/>
    <w:rsid w:val="009A6E2E"/>
    <w:rsid w:val="009C49B2"/>
    <w:rsid w:val="009D0398"/>
    <w:rsid w:val="009D13D5"/>
    <w:rsid w:val="009F16EB"/>
    <w:rsid w:val="009F7CD8"/>
    <w:rsid w:val="00A0476C"/>
    <w:rsid w:val="00A151EA"/>
    <w:rsid w:val="00A26E7E"/>
    <w:rsid w:val="00A27953"/>
    <w:rsid w:val="00A30D75"/>
    <w:rsid w:val="00A33561"/>
    <w:rsid w:val="00A3500C"/>
    <w:rsid w:val="00A37B87"/>
    <w:rsid w:val="00A64E36"/>
    <w:rsid w:val="00A6536C"/>
    <w:rsid w:val="00A72DB1"/>
    <w:rsid w:val="00A91535"/>
    <w:rsid w:val="00AA0CA3"/>
    <w:rsid w:val="00AC5B28"/>
    <w:rsid w:val="00AF2A02"/>
    <w:rsid w:val="00B043E2"/>
    <w:rsid w:val="00B0506E"/>
    <w:rsid w:val="00B24410"/>
    <w:rsid w:val="00B3052C"/>
    <w:rsid w:val="00B31712"/>
    <w:rsid w:val="00B601AF"/>
    <w:rsid w:val="00B77EAF"/>
    <w:rsid w:val="00B81767"/>
    <w:rsid w:val="00B92F5E"/>
    <w:rsid w:val="00B97828"/>
    <w:rsid w:val="00BA7EDB"/>
    <w:rsid w:val="00BB7954"/>
    <w:rsid w:val="00BE150E"/>
    <w:rsid w:val="00BF0A50"/>
    <w:rsid w:val="00BF2978"/>
    <w:rsid w:val="00C05E6E"/>
    <w:rsid w:val="00C103D6"/>
    <w:rsid w:val="00C23C8B"/>
    <w:rsid w:val="00C251D2"/>
    <w:rsid w:val="00C25A39"/>
    <w:rsid w:val="00C32DC5"/>
    <w:rsid w:val="00C34944"/>
    <w:rsid w:val="00C424FC"/>
    <w:rsid w:val="00C600AF"/>
    <w:rsid w:val="00C7206E"/>
    <w:rsid w:val="00C754DF"/>
    <w:rsid w:val="00C86D55"/>
    <w:rsid w:val="00C907BC"/>
    <w:rsid w:val="00CA12D6"/>
    <w:rsid w:val="00CA4116"/>
    <w:rsid w:val="00CC0FDE"/>
    <w:rsid w:val="00CC3194"/>
    <w:rsid w:val="00CC3C02"/>
    <w:rsid w:val="00CD4E99"/>
    <w:rsid w:val="00CE15E4"/>
    <w:rsid w:val="00CE3EC1"/>
    <w:rsid w:val="00CF23A9"/>
    <w:rsid w:val="00D024A6"/>
    <w:rsid w:val="00D02723"/>
    <w:rsid w:val="00D034F4"/>
    <w:rsid w:val="00D10150"/>
    <w:rsid w:val="00D1023D"/>
    <w:rsid w:val="00D23DEC"/>
    <w:rsid w:val="00D531B9"/>
    <w:rsid w:val="00D57D99"/>
    <w:rsid w:val="00D60792"/>
    <w:rsid w:val="00D631F6"/>
    <w:rsid w:val="00D902C2"/>
    <w:rsid w:val="00D93DCA"/>
    <w:rsid w:val="00D97B53"/>
    <w:rsid w:val="00DA2A9C"/>
    <w:rsid w:val="00DB211B"/>
    <w:rsid w:val="00DB60FC"/>
    <w:rsid w:val="00DC2E73"/>
    <w:rsid w:val="00DC6FDF"/>
    <w:rsid w:val="00DF2708"/>
    <w:rsid w:val="00E10CAF"/>
    <w:rsid w:val="00E21BB2"/>
    <w:rsid w:val="00E234F1"/>
    <w:rsid w:val="00E3464A"/>
    <w:rsid w:val="00E45F5E"/>
    <w:rsid w:val="00E633C4"/>
    <w:rsid w:val="00E7311B"/>
    <w:rsid w:val="00E81E51"/>
    <w:rsid w:val="00E87B4A"/>
    <w:rsid w:val="00E9285D"/>
    <w:rsid w:val="00EA010D"/>
    <w:rsid w:val="00EC3925"/>
    <w:rsid w:val="00ED4A1C"/>
    <w:rsid w:val="00EE0968"/>
    <w:rsid w:val="00EE174D"/>
    <w:rsid w:val="00EE42A0"/>
    <w:rsid w:val="00F061E6"/>
    <w:rsid w:val="00F1226A"/>
    <w:rsid w:val="00F21AAC"/>
    <w:rsid w:val="00F22C77"/>
    <w:rsid w:val="00F375F0"/>
    <w:rsid w:val="00F62CFD"/>
    <w:rsid w:val="00F66432"/>
    <w:rsid w:val="00F66A4D"/>
    <w:rsid w:val="00F77D99"/>
    <w:rsid w:val="00F82811"/>
    <w:rsid w:val="00F831EF"/>
    <w:rsid w:val="00F87D68"/>
    <w:rsid w:val="00F91093"/>
    <w:rsid w:val="00F921A2"/>
    <w:rsid w:val="00F93BB7"/>
    <w:rsid w:val="00FB1EFA"/>
    <w:rsid w:val="00FC3E31"/>
    <w:rsid w:val="00FC55C5"/>
    <w:rsid w:val="00FD0592"/>
    <w:rsid w:val="00FE1282"/>
    <w:rsid w:val="00FF58F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E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592"/>
    <w:pPr>
      <w:ind w:left="720"/>
      <w:contextualSpacing/>
    </w:pPr>
  </w:style>
  <w:style w:type="paragraph" w:styleId="Header">
    <w:name w:val="header"/>
    <w:basedOn w:val="Normal"/>
    <w:link w:val="HeaderChar"/>
    <w:uiPriority w:val="99"/>
    <w:semiHidden/>
    <w:unhideWhenUsed/>
    <w:rsid w:val="00D902C2"/>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902C2"/>
  </w:style>
  <w:style w:type="paragraph" w:styleId="Footer">
    <w:name w:val="footer"/>
    <w:basedOn w:val="Normal"/>
    <w:link w:val="FooterChar"/>
    <w:uiPriority w:val="99"/>
    <w:unhideWhenUsed/>
    <w:rsid w:val="00D902C2"/>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02C2"/>
  </w:style>
  <w:style w:type="paragraph" w:styleId="FootnoteText">
    <w:name w:val="footnote text"/>
    <w:basedOn w:val="Normal"/>
    <w:link w:val="FootnoteTextChar"/>
    <w:uiPriority w:val="99"/>
    <w:semiHidden/>
    <w:unhideWhenUsed/>
    <w:rsid w:val="00FC3E31"/>
    <w:pPr>
      <w:spacing w:after="0" w:line="240" w:lineRule="auto"/>
    </w:pPr>
    <w:rPr>
      <w:rFonts w:eastAsiaTheme="minorEastAsia"/>
      <w:sz w:val="20"/>
      <w:szCs w:val="20"/>
      <w:lang w:eastAsia="el-GR"/>
    </w:rPr>
  </w:style>
  <w:style w:type="character" w:customStyle="1" w:styleId="FootnoteTextChar">
    <w:name w:val="Footnote Text Char"/>
    <w:basedOn w:val="DefaultParagraphFont"/>
    <w:link w:val="FootnoteText"/>
    <w:uiPriority w:val="99"/>
    <w:semiHidden/>
    <w:rsid w:val="00FC3E31"/>
    <w:rPr>
      <w:rFonts w:eastAsiaTheme="minorEastAsia"/>
      <w:sz w:val="20"/>
      <w:szCs w:val="20"/>
      <w:lang w:eastAsia="el-GR"/>
    </w:rPr>
  </w:style>
  <w:style w:type="character" w:styleId="FootnoteReference">
    <w:name w:val="footnote reference"/>
    <w:basedOn w:val="DefaultParagraphFont"/>
    <w:uiPriority w:val="99"/>
    <w:semiHidden/>
    <w:unhideWhenUsed/>
    <w:rsid w:val="00FC3E31"/>
    <w:rPr>
      <w:vertAlign w:val="superscript"/>
    </w:rPr>
  </w:style>
  <w:style w:type="character" w:styleId="Hyperlink">
    <w:name w:val="Hyperlink"/>
    <w:basedOn w:val="DefaultParagraphFont"/>
    <w:uiPriority w:val="99"/>
    <w:semiHidden/>
    <w:unhideWhenUsed/>
    <w:rsid w:val="00783874"/>
    <w:rPr>
      <w:color w:val="0000FF"/>
      <w:u w:val="single"/>
    </w:rPr>
  </w:style>
  <w:style w:type="character" w:customStyle="1" w:styleId="apple-converted-space">
    <w:name w:val="apple-converted-space"/>
    <w:basedOn w:val="DefaultParagraphFont"/>
    <w:rsid w:val="007838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l.wiktionary.org/wiki/%CE%B1%CE%B3%CE%BF%CF%81%CE%AC" TargetMode="External"/><Relationship Id="rId1" Type="http://schemas.openxmlformats.org/officeDocument/2006/relationships/hyperlink" Target="http://el.wiktionary.org/wiki/%CE%BA%CF%8C%CF%83%CF%84%CE%BF%CF%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1859</TotalTime>
  <Pages>6</Pages>
  <Words>1660</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10607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ΣΟΦΑΚΙ</dc:creator>
  <cp:lastModifiedBy>ΣΟΦΑΚΙ</cp:lastModifiedBy>
  <cp:revision>111</cp:revision>
  <dcterms:created xsi:type="dcterms:W3CDTF">2015-11-25T09:18:00Z</dcterms:created>
  <dcterms:modified xsi:type="dcterms:W3CDTF">2015-12-14T22:41:00Z</dcterms:modified>
</cp:coreProperties>
</file>