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01" w:rsidRDefault="003F7201" w:rsidP="003F7201">
      <w:pPr>
        <w:jc w:val="both"/>
        <w:rPr>
          <w:rFonts w:ascii="Palatino Linotype" w:hAnsi="Palatino Linotype"/>
        </w:rPr>
      </w:pPr>
    </w:p>
    <w:p w:rsidR="00611ECC" w:rsidRPr="00FD5231" w:rsidRDefault="00EF3B97" w:rsidP="00611ECC">
      <w:pPr>
        <w:rPr>
          <w:sz w:val="24"/>
          <w:szCs w:val="24"/>
          <w:lang w:val="el-GR"/>
        </w:rPr>
      </w:pPr>
      <w:r w:rsidRPr="00FD5231">
        <w:rPr>
          <w:iCs/>
          <w:sz w:val="24"/>
          <w:szCs w:val="24"/>
          <w:lang w:val="el-GR"/>
        </w:rPr>
        <w:t>ΝΙΚΗΤΑΣ ΧΩΝΙΑΤΗΣ</w:t>
      </w:r>
      <w:r w:rsidR="007D6801" w:rsidRPr="00FD5231">
        <w:rPr>
          <w:iCs/>
          <w:sz w:val="24"/>
          <w:szCs w:val="24"/>
          <w:lang w:val="el-GR"/>
        </w:rPr>
        <w:t xml:space="preserve">, </w:t>
      </w:r>
      <w:proofErr w:type="spellStart"/>
      <w:r w:rsidR="007D6801" w:rsidRPr="00FD5231">
        <w:rPr>
          <w:i/>
          <w:iCs/>
          <w:sz w:val="24"/>
          <w:szCs w:val="24"/>
          <w:lang w:val="el-GR"/>
        </w:rPr>
        <w:t>Χρονικὴ</w:t>
      </w:r>
      <w:proofErr w:type="spellEnd"/>
      <w:r w:rsidR="007D6801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7D6801" w:rsidRPr="00FD5231">
        <w:rPr>
          <w:i/>
          <w:iCs/>
          <w:sz w:val="24"/>
          <w:szCs w:val="24"/>
          <w:lang w:val="el-GR"/>
        </w:rPr>
        <w:t>διήγησις</w:t>
      </w:r>
      <w:proofErr w:type="spellEnd"/>
      <w:r w:rsidR="007D6801" w:rsidRPr="00FD5231">
        <w:rPr>
          <w:iCs/>
          <w:sz w:val="24"/>
          <w:szCs w:val="24"/>
          <w:lang w:val="el-GR"/>
        </w:rPr>
        <w:t xml:space="preserve">, </w:t>
      </w:r>
      <w:r w:rsidR="00DD4FE8">
        <w:rPr>
          <w:iCs/>
          <w:sz w:val="24"/>
          <w:szCs w:val="24"/>
          <w:lang w:val="el-GR"/>
        </w:rPr>
        <w:t>ε</w:t>
      </w:r>
      <w:bookmarkStart w:id="0" w:name="_GoBack"/>
      <w:bookmarkEnd w:id="0"/>
      <w:r w:rsidR="007D6801" w:rsidRPr="00FD5231">
        <w:rPr>
          <w:iCs/>
          <w:sz w:val="24"/>
          <w:szCs w:val="24"/>
          <w:lang w:val="el-GR"/>
        </w:rPr>
        <w:t xml:space="preserve">κδ. </w:t>
      </w:r>
      <w:r w:rsidR="007D6801" w:rsidRPr="00FD5231">
        <w:rPr>
          <w:iCs/>
          <w:sz w:val="24"/>
          <w:szCs w:val="24"/>
        </w:rPr>
        <w:t>J</w:t>
      </w:r>
      <w:r w:rsidR="007D6801" w:rsidRPr="00FD5231">
        <w:rPr>
          <w:iCs/>
          <w:sz w:val="24"/>
          <w:szCs w:val="24"/>
          <w:lang w:val="el-GR"/>
        </w:rPr>
        <w:t>.-</w:t>
      </w:r>
      <w:r w:rsidR="007D6801" w:rsidRPr="00FD5231">
        <w:rPr>
          <w:iCs/>
          <w:sz w:val="24"/>
          <w:szCs w:val="24"/>
        </w:rPr>
        <w:t>L</w:t>
      </w:r>
      <w:r w:rsidR="007D6801" w:rsidRPr="00FD5231">
        <w:rPr>
          <w:iCs/>
          <w:sz w:val="24"/>
          <w:szCs w:val="24"/>
          <w:lang w:val="el-GR"/>
        </w:rPr>
        <w:t xml:space="preserve">. </w:t>
      </w:r>
      <w:r w:rsidR="007D6801" w:rsidRPr="00FD5231">
        <w:rPr>
          <w:iCs/>
          <w:sz w:val="24"/>
          <w:szCs w:val="24"/>
        </w:rPr>
        <w:t>Van</w:t>
      </w:r>
      <w:r w:rsidR="007D6801" w:rsidRPr="00FD5231">
        <w:rPr>
          <w:iCs/>
          <w:sz w:val="24"/>
          <w:szCs w:val="24"/>
          <w:lang w:val="el-GR"/>
        </w:rPr>
        <w:t xml:space="preserve"> </w:t>
      </w:r>
      <w:proofErr w:type="spellStart"/>
      <w:r w:rsidR="007D6801" w:rsidRPr="00FD5231">
        <w:rPr>
          <w:iCs/>
          <w:sz w:val="24"/>
          <w:szCs w:val="24"/>
        </w:rPr>
        <w:t>Dieten</w:t>
      </w:r>
      <w:proofErr w:type="spellEnd"/>
      <w:r w:rsidR="007D6801" w:rsidRPr="00FD5231">
        <w:rPr>
          <w:iCs/>
          <w:sz w:val="24"/>
          <w:szCs w:val="24"/>
          <w:lang w:val="el-GR"/>
        </w:rPr>
        <w:t xml:space="preserve">, </w:t>
      </w:r>
      <w:proofErr w:type="spellStart"/>
      <w:r w:rsidR="007D6801" w:rsidRPr="00FD5231">
        <w:rPr>
          <w:i/>
          <w:iCs/>
          <w:sz w:val="24"/>
          <w:szCs w:val="24"/>
        </w:rPr>
        <w:t>Nicetas</w:t>
      </w:r>
      <w:proofErr w:type="spellEnd"/>
      <w:r w:rsidR="007D6801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7D6801" w:rsidRPr="00FD5231">
        <w:rPr>
          <w:i/>
          <w:iCs/>
          <w:sz w:val="24"/>
          <w:szCs w:val="24"/>
        </w:rPr>
        <w:t>Choniates</w:t>
      </w:r>
      <w:proofErr w:type="spellEnd"/>
      <w:r w:rsidR="007D6801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7D6801" w:rsidRPr="00FD5231">
        <w:rPr>
          <w:i/>
          <w:iCs/>
          <w:sz w:val="24"/>
          <w:szCs w:val="24"/>
        </w:rPr>
        <w:t>Historia</w:t>
      </w:r>
      <w:proofErr w:type="spellEnd"/>
      <w:r w:rsidR="007D6801" w:rsidRPr="00FD5231">
        <w:rPr>
          <w:iCs/>
          <w:sz w:val="24"/>
          <w:szCs w:val="24"/>
          <w:lang w:val="el-GR"/>
        </w:rPr>
        <w:t xml:space="preserve"> </w:t>
      </w:r>
      <w:proofErr w:type="gramStart"/>
      <w:r w:rsidR="007D6801" w:rsidRPr="00FD5231">
        <w:rPr>
          <w:iCs/>
          <w:sz w:val="24"/>
          <w:szCs w:val="24"/>
          <w:lang w:val="el-GR"/>
        </w:rPr>
        <w:t xml:space="preserve">[ </w:t>
      </w:r>
      <w:r w:rsidR="007D6801" w:rsidRPr="00FD5231">
        <w:rPr>
          <w:iCs/>
          <w:sz w:val="24"/>
          <w:szCs w:val="24"/>
        </w:rPr>
        <w:t>CFHB</w:t>
      </w:r>
      <w:proofErr w:type="gramEnd"/>
      <w:r w:rsidR="007D6801" w:rsidRPr="00FD5231">
        <w:rPr>
          <w:iCs/>
          <w:sz w:val="24"/>
          <w:szCs w:val="24"/>
          <w:lang w:val="el-GR"/>
        </w:rPr>
        <w:t xml:space="preserve"> </w:t>
      </w:r>
      <w:r w:rsidR="007D6801" w:rsidRPr="00FD5231">
        <w:rPr>
          <w:iCs/>
          <w:sz w:val="24"/>
          <w:szCs w:val="24"/>
        </w:rPr>
        <w:t>XI</w:t>
      </w:r>
      <w:r w:rsidR="007D6801" w:rsidRPr="00FD5231">
        <w:rPr>
          <w:iCs/>
          <w:sz w:val="24"/>
          <w:szCs w:val="24"/>
          <w:lang w:val="el-GR"/>
        </w:rPr>
        <w:t xml:space="preserve">/1], </w:t>
      </w:r>
      <w:r w:rsidR="007D6801" w:rsidRPr="00FD5231">
        <w:rPr>
          <w:iCs/>
          <w:sz w:val="24"/>
          <w:szCs w:val="24"/>
        </w:rPr>
        <w:t>Berlin</w:t>
      </w:r>
      <w:r w:rsidR="007D6801" w:rsidRPr="00FD5231">
        <w:rPr>
          <w:iCs/>
          <w:sz w:val="24"/>
          <w:szCs w:val="24"/>
          <w:lang w:val="el-GR"/>
        </w:rPr>
        <w:t>-</w:t>
      </w:r>
      <w:r w:rsidR="007D6801" w:rsidRPr="00FD5231">
        <w:rPr>
          <w:iCs/>
          <w:sz w:val="24"/>
          <w:szCs w:val="24"/>
        </w:rPr>
        <w:t>New</w:t>
      </w:r>
      <w:r w:rsidR="007D6801" w:rsidRPr="00FD5231">
        <w:rPr>
          <w:iCs/>
          <w:sz w:val="24"/>
          <w:szCs w:val="24"/>
          <w:lang w:val="el-GR"/>
        </w:rPr>
        <w:t xml:space="preserve"> </w:t>
      </w:r>
      <w:r w:rsidR="007D6801" w:rsidRPr="00FD5231">
        <w:rPr>
          <w:iCs/>
          <w:sz w:val="24"/>
          <w:szCs w:val="24"/>
        </w:rPr>
        <w:t>York</w:t>
      </w:r>
      <w:r w:rsidR="007D6801" w:rsidRPr="00FD5231">
        <w:rPr>
          <w:iCs/>
          <w:sz w:val="24"/>
          <w:szCs w:val="24"/>
          <w:lang w:val="el-GR"/>
        </w:rPr>
        <w:t xml:space="preserve"> 1975, σελ. </w:t>
      </w:r>
      <w:r w:rsidR="00FD5231" w:rsidRPr="00FD5231">
        <w:rPr>
          <w:iCs/>
          <w:sz w:val="24"/>
          <w:szCs w:val="24"/>
          <w:lang w:val="el-GR"/>
        </w:rPr>
        <w:t>99</w:t>
      </w:r>
      <w:r w:rsidR="00FD5231">
        <w:rPr>
          <w:iCs/>
          <w:sz w:val="24"/>
          <w:szCs w:val="24"/>
          <w:lang w:val="el-GR"/>
        </w:rPr>
        <w:t xml:space="preserve"> </w:t>
      </w:r>
      <w:r w:rsidR="00FD5231" w:rsidRPr="00FD5231">
        <w:rPr>
          <w:iCs/>
          <w:sz w:val="24"/>
          <w:szCs w:val="24"/>
          <w:vertAlign w:val="subscript"/>
          <w:lang w:val="el-GR"/>
        </w:rPr>
        <w:t>17-20</w:t>
      </w:r>
      <w:r w:rsidR="00FD5231" w:rsidRPr="00FD5231">
        <w:rPr>
          <w:iCs/>
          <w:sz w:val="24"/>
          <w:szCs w:val="24"/>
          <w:lang w:val="el-GR"/>
        </w:rPr>
        <w:t>:</w:t>
      </w:r>
      <w:r w:rsidR="007D6801" w:rsidRPr="00FD5231">
        <w:rPr>
          <w:iCs/>
          <w:sz w:val="24"/>
          <w:szCs w:val="24"/>
          <w:lang w:val="el-GR"/>
        </w:rPr>
        <w:t xml:space="preserve">  </w:t>
      </w:r>
      <w:r w:rsidR="00FD5231">
        <w:rPr>
          <w:iCs/>
          <w:sz w:val="24"/>
          <w:szCs w:val="24"/>
          <w:lang w:val="el-GR"/>
        </w:rPr>
        <w:t>(</w:t>
      </w:r>
      <w:r w:rsidR="00FD5231" w:rsidRPr="00FD5231">
        <w:rPr>
          <w:sz w:val="24"/>
          <w:szCs w:val="24"/>
          <w:lang w:val="el-GR"/>
        </w:rPr>
        <w:t xml:space="preserve">κατά τη διάρκεια ναυτικής επίδειξης ισχύος  στο </w:t>
      </w:r>
      <w:proofErr w:type="spellStart"/>
      <w:r w:rsidR="00FD5231" w:rsidRPr="00FD5231">
        <w:rPr>
          <w:sz w:val="24"/>
          <w:szCs w:val="24"/>
          <w:lang w:val="el-GR"/>
        </w:rPr>
        <w:t>Αγαίο</w:t>
      </w:r>
      <w:proofErr w:type="spellEnd"/>
      <w:r w:rsidR="00FD5231" w:rsidRPr="00FD5231">
        <w:rPr>
          <w:sz w:val="24"/>
          <w:szCs w:val="24"/>
          <w:lang w:val="el-GR"/>
        </w:rPr>
        <w:t xml:space="preserve"> το 1157</w:t>
      </w:r>
      <w:r w:rsidR="00FD5231">
        <w:rPr>
          <w:sz w:val="24"/>
          <w:szCs w:val="24"/>
          <w:lang w:val="el-GR"/>
        </w:rPr>
        <w:t xml:space="preserve">) … </w:t>
      </w:r>
      <w:proofErr w:type="spellStart"/>
      <w:r w:rsidR="00FD5231" w:rsidRPr="00FD5231">
        <w:rPr>
          <w:i/>
          <w:iCs/>
          <w:sz w:val="24"/>
          <w:szCs w:val="24"/>
          <w:lang w:val="el-GR"/>
        </w:rPr>
        <w:t>καὶ</w:t>
      </w:r>
      <w:proofErr w:type="spellEnd"/>
      <w:r w:rsidR="00FD5231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FD5231" w:rsidRPr="00FD5231">
        <w:rPr>
          <w:i/>
          <w:iCs/>
          <w:sz w:val="24"/>
          <w:szCs w:val="24"/>
          <w:lang w:val="el-GR"/>
        </w:rPr>
        <w:t>αὐτὸν</w:t>
      </w:r>
      <w:proofErr w:type="spellEnd"/>
      <w:r w:rsidR="00FD5231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FD5231" w:rsidRPr="00FD5231">
        <w:rPr>
          <w:i/>
          <w:iCs/>
          <w:sz w:val="24"/>
          <w:szCs w:val="24"/>
          <w:lang w:val="el-GR"/>
        </w:rPr>
        <w:t>μὲν</w:t>
      </w:r>
      <w:proofErr w:type="spellEnd"/>
      <w:r w:rsidR="00FD5231" w:rsidRPr="00FD5231">
        <w:rPr>
          <w:i/>
          <w:iCs/>
          <w:sz w:val="24"/>
          <w:szCs w:val="24"/>
          <w:lang w:val="el-GR"/>
        </w:rPr>
        <w:t xml:space="preserve"> </w:t>
      </w:r>
      <w:r w:rsidR="00FD5231" w:rsidRPr="00FD5231">
        <w:rPr>
          <w:iCs/>
          <w:sz w:val="24"/>
          <w:szCs w:val="24"/>
          <w:lang w:val="el-GR"/>
        </w:rPr>
        <w:t xml:space="preserve">(τον Γουλιέλμο Β¨) </w:t>
      </w:r>
      <w:proofErr w:type="spellStart"/>
      <w:r w:rsidR="00FD5231" w:rsidRPr="00FD5231">
        <w:rPr>
          <w:i/>
          <w:iCs/>
          <w:sz w:val="24"/>
          <w:szCs w:val="24"/>
          <w:lang w:val="el-GR"/>
        </w:rPr>
        <w:t>ἀναγορεῦσαι</w:t>
      </w:r>
      <w:proofErr w:type="spellEnd"/>
      <w:r w:rsidR="00FD5231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Σικελίας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και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Ἀκυλίας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Καπύης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τε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καὶ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Καλαβρίας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καὶ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τῶν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μεταξὺ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τούτων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χωρῶν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καὶ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νήσων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ὅλων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κύριόν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τε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καὶ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b/>
          <w:i/>
          <w:iCs/>
          <w:sz w:val="24"/>
          <w:szCs w:val="24"/>
          <w:lang w:val="el-GR"/>
        </w:rPr>
        <w:t>βασιλέα</w:t>
      </w:r>
      <w:proofErr w:type="spellEnd"/>
      <w:r w:rsidR="00611ECC" w:rsidRPr="00FD5231">
        <w:rPr>
          <w:b/>
          <w:bCs/>
          <w:i/>
          <w:iCs/>
          <w:sz w:val="24"/>
          <w:szCs w:val="24"/>
          <w:lang w:val="el-GR"/>
        </w:rPr>
        <w:t>,</w:t>
      </w:r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βασιλέα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δ'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ἐκφαυλίσαι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Ῥωμαίων</w:t>
      </w:r>
      <w:proofErr w:type="spellEnd"/>
      <w:r w:rsidR="00611ECC" w:rsidRPr="00FD5231">
        <w:rPr>
          <w:sz w:val="24"/>
          <w:szCs w:val="24"/>
          <w:lang w:val="el-GR"/>
        </w:rPr>
        <w:t>.</w:t>
      </w:r>
    </w:p>
    <w:p w:rsidR="00611ECC" w:rsidRPr="00FD5231" w:rsidRDefault="005775C8" w:rsidP="005775C8">
      <w:pPr>
        <w:jc w:val="both"/>
        <w:rPr>
          <w:sz w:val="24"/>
          <w:szCs w:val="24"/>
          <w:lang w:val="el-GR"/>
        </w:rPr>
      </w:pPr>
      <w:r w:rsidRPr="00FD5231">
        <w:rPr>
          <w:iCs/>
          <w:sz w:val="24"/>
          <w:szCs w:val="24"/>
          <w:lang w:val="el-GR"/>
        </w:rPr>
        <w:t>356</w:t>
      </w:r>
      <w:r w:rsidRPr="00FD5231">
        <w:rPr>
          <w:iCs/>
          <w:sz w:val="24"/>
          <w:szCs w:val="24"/>
          <w:vertAlign w:val="subscript"/>
          <w:lang w:val="el-GR"/>
        </w:rPr>
        <w:t>24-28</w:t>
      </w:r>
      <w:r w:rsidRPr="00FD5231">
        <w:rPr>
          <w:iCs/>
          <w:sz w:val="24"/>
          <w:szCs w:val="24"/>
          <w:lang w:val="el-GR"/>
        </w:rPr>
        <w:t xml:space="preserve">: 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οἳ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r w:rsidR="00611ECC" w:rsidRPr="00FD5231">
        <w:rPr>
          <w:sz w:val="24"/>
          <w:szCs w:val="24"/>
          <w:lang w:val="el-GR"/>
        </w:rPr>
        <w:t>(οι Νορμανδοί</w:t>
      </w:r>
      <w:r w:rsidR="00FD5231">
        <w:rPr>
          <w:sz w:val="24"/>
          <w:szCs w:val="24"/>
          <w:lang w:val="el-GR"/>
        </w:rPr>
        <w:t>, το 1185)</w:t>
      </w:r>
      <w:r w:rsidR="00611ECC" w:rsidRPr="00FD5231">
        <w:rPr>
          <w:i/>
          <w:iCs/>
          <w:sz w:val="24"/>
          <w:szCs w:val="24"/>
          <w:lang w:val="el-GR"/>
        </w:rPr>
        <w:t xml:space="preserve"> ...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καταθρασυνόμενοι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ἀναίδην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καὶ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αὐτῆς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τῆς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περιωνύμου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μεγαλοπόλεως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καὶ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μεγαλαυχοῦντες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τῷ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κατά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τε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γῆν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κατά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τε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θάλασσαν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αὐτὴν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διαλαβεῖν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ῥαόνως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ὡς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ἐρήμην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καταλήψεσθαι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νοσσιὰν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καὶ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σκυλεύσειν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ἀταλαιπώρως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βραχυημέρῳ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πάνυ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καιρῷ</w:t>
      </w:r>
      <w:proofErr w:type="spellEnd"/>
      <w:r w:rsidR="00611ECC" w:rsidRPr="00FD5231">
        <w:rPr>
          <w:sz w:val="24"/>
          <w:szCs w:val="24"/>
          <w:lang w:val="el-GR"/>
        </w:rPr>
        <w:t xml:space="preserve">, </w:t>
      </w:r>
      <w:r w:rsidRPr="00FD5231">
        <w:rPr>
          <w:sz w:val="24"/>
          <w:szCs w:val="24"/>
          <w:lang w:val="el-GR"/>
        </w:rPr>
        <w:t xml:space="preserve">και </w:t>
      </w:r>
      <w:r w:rsidR="00611ECC" w:rsidRPr="00FD5231">
        <w:rPr>
          <w:sz w:val="24"/>
          <w:szCs w:val="24"/>
          <w:lang w:val="el-GR"/>
        </w:rPr>
        <w:t>35</w:t>
      </w:r>
      <w:r w:rsidR="007D6801" w:rsidRPr="00FD5231">
        <w:rPr>
          <w:sz w:val="24"/>
          <w:szCs w:val="24"/>
          <w:lang w:val="el-GR"/>
        </w:rPr>
        <w:t>6</w:t>
      </w:r>
      <w:r w:rsidR="00611ECC" w:rsidRPr="00FD5231">
        <w:rPr>
          <w:sz w:val="24"/>
          <w:szCs w:val="24"/>
          <w:vertAlign w:val="subscript"/>
          <w:lang w:val="el-GR"/>
        </w:rPr>
        <w:t>54-58</w:t>
      </w:r>
      <w:r w:rsidRPr="00FD5231">
        <w:rPr>
          <w:sz w:val="24"/>
          <w:szCs w:val="24"/>
          <w:lang w:val="el-GR"/>
        </w:rPr>
        <w:t>:</w:t>
      </w:r>
      <w:r w:rsidR="00611ECC" w:rsidRPr="00FD5231">
        <w:rPr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Αὐτὸ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μέντοι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τὸ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ἐκ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Σικελίας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ἀντίμαχον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, ... ,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εὐθαρσῶς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τε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τῆς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εἰς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τὰ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πρὀσω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πορείας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εἴχετο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πέρας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τῆς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ὁδοιπορίας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τὴν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Κωνσταντίνου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θέσθαι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διανοούμενον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·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καὶ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ὁ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στόλος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δὲ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ἀναπλ</w:t>
      </w:r>
      <w:r w:rsidR="00FD5231">
        <w:rPr>
          <w:i/>
          <w:iCs/>
          <w:sz w:val="24"/>
          <w:szCs w:val="24"/>
          <w:lang w:val="el-GR"/>
        </w:rPr>
        <w:t>εύ</w:t>
      </w:r>
      <w:r w:rsidR="00611ECC" w:rsidRPr="00FD5231">
        <w:rPr>
          <w:i/>
          <w:iCs/>
          <w:sz w:val="24"/>
          <w:szCs w:val="24"/>
          <w:lang w:val="el-GR"/>
        </w:rPr>
        <w:t>σας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ταῖς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νήσοις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προσώκειλεν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,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αἳ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ἄγχιστα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τῆς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πόλεως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ἀμφιρρέονται</w:t>
      </w:r>
      <w:proofErr w:type="spellEnd"/>
      <w:r w:rsidRPr="00FD5231">
        <w:rPr>
          <w:sz w:val="24"/>
          <w:szCs w:val="24"/>
          <w:lang w:val="el-GR"/>
        </w:rPr>
        <w:t>.</w:t>
      </w:r>
    </w:p>
    <w:p w:rsidR="00611ECC" w:rsidRPr="00FD5231" w:rsidRDefault="00611ECC" w:rsidP="005775C8">
      <w:pPr>
        <w:jc w:val="both"/>
        <w:rPr>
          <w:sz w:val="24"/>
          <w:szCs w:val="24"/>
          <w:lang w:val="el-GR"/>
        </w:rPr>
      </w:pPr>
    </w:p>
    <w:p w:rsidR="00611ECC" w:rsidRPr="00FD5231" w:rsidRDefault="00EF3B97" w:rsidP="005775C8">
      <w:pPr>
        <w:jc w:val="both"/>
        <w:rPr>
          <w:sz w:val="24"/>
          <w:szCs w:val="24"/>
          <w:lang w:val="el-GR"/>
        </w:rPr>
      </w:pPr>
      <w:r w:rsidRPr="00FD5231">
        <w:rPr>
          <w:sz w:val="24"/>
          <w:szCs w:val="24"/>
          <w:lang w:val="el-GR"/>
        </w:rPr>
        <w:t>ΕΥΣΤΑΘΙΟΣ ΘΕΣΣΑΛΟΝΙΚΗΣ</w:t>
      </w:r>
      <w:r w:rsidR="00611ECC" w:rsidRPr="00FD5231">
        <w:rPr>
          <w:sz w:val="24"/>
          <w:szCs w:val="24"/>
          <w:lang w:val="el-GR"/>
        </w:rPr>
        <w:t xml:space="preserve">, </w:t>
      </w:r>
      <w:proofErr w:type="spellStart"/>
      <w:r w:rsidR="00611ECC" w:rsidRPr="00FD5231">
        <w:rPr>
          <w:i/>
          <w:sz w:val="24"/>
          <w:szCs w:val="24"/>
          <w:lang w:val="el-GR"/>
        </w:rPr>
        <w:t>Ἅλωσις</w:t>
      </w:r>
      <w:proofErr w:type="spellEnd"/>
      <w:r w:rsidR="00611ECC" w:rsidRPr="00FD5231">
        <w:rPr>
          <w:i/>
          <w:sz w:val="24"/>
          <w:szCs w:val="24"/>
          <w:lang w:val="el-GR"/>
        </w:rPr>
        <w:t xml:space="preserve"> Θεσσαλονίκης</w:t>
      </w:r>
      <w:r w:rsidR="00611ECC" w:rsidRPr="00FD5231">
        <w:rPr>
          <w:sz w:val="24"/>
          <w:szCs w:val="24"/>
          <w:lang w:val="el-GR"/>
        </w:rPr>
        <w:t xml:space="preserve">,  </w:t>
      </w:r>
      <w:proofErr w:type="spellStart"/>
      <w:r w:rsidR="00611ECC" w:rsidRPr="00FD5231">
        <w:rPr>
          <w:sz w:val="24"/>
          <w:szCs w:val="24"/>
          <w:lang w:val="el-GR"/>
        </w:rPr>
        <w:t>εκδ</w:t>
      </w:r>
      <w:proofErr w:type="spellEnd"/>
      <w:r w:rsidR="00611ECC" w:rsidRPr="00FD5231">
        <w:rPr>
          <w:sz w:val="24"/>
          <w:szCs w:val="24"/>
          <w:lang w:val="el-GR"/>
        </w:rPr>
        <w:t xml:space="preserve">. </w:t>
      </w:r>
      <w:r w:rsidR="00611ECC" w:rsidRPr="00FD5231">
        <w:rPr>
          <w:sz w:val="24"/>
          <w:szCs w:val="24"/>
        </w:rPr>
        <w:t>St</w:t>
      </w:r>
      <w:r w:rsidR="00611ECC" w:rsidRPr="00FD5231">
        <w:rPr>
          <w:sz w:val="24"/>
          <w:szCs w:val="24"/>
          <w:lang w:val="el-GR"/>
        </w:rPr>
        <w:t xml:space="preserve">. </w:t>
      </w:r>
      <w:proofErr w:type="spellStart"/>
      <w:r w:rsidR="00611ECC" w:rsidRPr="00FD5231">
        <w:rPr>
          <w:sz w:val="24"/>
          <w:szCs w:val="24"/>
        </w:rPr>
        <w:t>Kyriakides</w:t>
      </w:r>
      <w:proofErr w:type="spellEnd"/>
      <w:r w:rsidR="00611ECC" w:rsidRPr="00FD5231">
        <w:rPr>
          <w:sz w:val="24"/>
          <w:szCs w:val="24"/>
          <w:lang w:val="el-GR"/>
        </w:rPr>
        <w:t xml:space="preserve">, </w:t>
      </w:r>
      <w:proofErr w:type="spellStart"/>
      <w:r w:rsidR="00611ECC" w:rsidRPr="00FD5231">
        <w:rPr>
          <w:i/>
          <w:sz w:val="24"/>
          <w:szCs w:val="24"/>
        </w:rPr>
        <w:t>Estazio</w:t>
      </w:r>
      <w:proofErr w:type="spellEnd"/>
      <w:r w:rsidR="00611ECC" w:rsidRPr="00FD5231">
        <w:rPr>
          <w:i/>
          <w:sz w:val="24"/>
          <w:szCs w:val="24"/>
          <w:lang w:val="el-GR"/>
        </w:rPr>
        <w:t xml:space="preserve"> </w:t>
      </w:r>
      <w:r w:rsidR="00611ECC" w:rsidRPr="00FD5231">
        <w:rPr>
          <w:i/>
          <w:sz w:val="24"/>
          <w:szCs w:val="24"/>
        </w:rPr>
        <w:t>di</w:t>
      </w:r>
      <w:r w:rsidR="00611ECC" w:rsidRPr="00FD5231">
        <w:rPr>
          <w:i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sz w:val="24"/>
          <w:szCs w:val="24"/>
        </w:rPr>
        <w:t>Tessalonica</w:t>
      </w:r>
      <w:proofErr w:type="spellEnd"/>
      <w:r w:rsidR="00611ECC" w:rsidRPr="00FD5231">
        <w:rPr>
          <w:i/>
          <w:sz w:val="24"/>
          <w:szCs w:val="24"/>
          <w:lang w:val="el-GR"/>
        </w:rPr>
        <w:t xml:space="preserve"> </w:t>
      </w:r>
      <w:r w:rsidR="00611ECC" w:rsidRPr="00FD5231">
        <w:rPr>
          <w:i/>
          <w:sz w:val="24"/>
          <w:szCs w:val="24"/>
        </w:rPr>
        <w:t>La</w:t>
      </w:r>
      <w:r w:rsidR="00611ECC" w:rsidRPr="00FD5231">
        <w:rPr>
          <w:i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sz w:val="24"/>
          <w:szCs w:val="24"/>
        </w:rPr>
        <w:t>espugnazione</w:t>
      </w:r>
      <w:proofErr w:type="spellEnd"/>
      <w:r w:rsidR="00611ECC" w:rsidRPr="00FD5231">
        <w:rPr>
          <w:i/>
          <w:sz w:val="24"/>
          <w:szCs w:val="24"/>
          <w:lang w:val="el-GR"/>
        </w:rPr>
        <w:t xml:space="preserve"> </w:t>
      </w:r>
      <w:r w:rsidR="00611ECC" w:rsidRPr="00FD5231">
        <w:rPr>
          <w:i/>
          <w:sz w:val="24"/>
          <w:szCs w:val="24"/>
        </w:rPr>
        <w:t>di</w:t>
      </w:r>
      <w:r w:rsidR="00611ECC" w:rsidRPr="00FD5231">
        <w:rPr>
          <w:i/>
          <w:sz w:val="24"/>
          <w:szCs w:val="24"/>
          <w:lang w:val="el-GR"/>
        </w:rPr>
        <w:t xml:space="preserve"> </w:t>
      </w:r>
      <w:proofErr w:type="spellStart"/>
      <w:proofErr w:type="gramStart"/>
      <w:r w:rsidR="00611ECC" w:rsidRPr="00FD5231">
        <w:rPr>
          <w:i/>
          <w:sz w:val="24"/>
          <w:szCs w:val="24"/>
        </w:rPr>
        <w:t>Tessalonica</w:t>
      </w:r>
      <w:proofErr w:type="spellEnd"/>
      <w:r w:rsidR="00611ECC" w:rsidRPr="00FD5231">
        <w:rPr>
          <w:i/>
          <w:sz w:val="24"/>
          <w:szCs w:val="24"/>
          <w:lang w:val="el-GR"/>
        </w:rPr>
        <w:t xml:space="preserve"> </w:t>
      </w:r>
      <w:r w:rsidR="00611ECC" w:rsidRPr="00FD5231">
        <w:rPr>
          <w:sz w:val="24"/>
          <w:szCs w:val="24"/>
          <w:lang w:val="el-GR"/>
        </w:rPr>
        <w:t>,</w:t>
      </w:r>
      <w:proofErr w:type="gramEnd"/>
      <w:r w:rsidR="00611ECC" w:rsidRPr="00FD5231">
        <w:rPr>
          <w:sz w:val="24"/>
          <w:szCs w:val="24"/>
          <w:lang w:val="el-GR"/>
        </w:rPr>
        <w:t xml:space="preserve"> </w:t>
      </w:r>
      <w:r w:rsidR="00611ECC" w:rsidRPr="00FD5231">
        <w:rPr>
          <w:sz w:val="24"/>
          <w:szCs w:val="24"/>
        </w:rPr>
        <w:t>Palermo</w:t>
      </w:r>
      <w:r w:rsidR="00611ECC" w:rsidRPr="00FD5231">
        <w:rPr>
          <w:sz w:val="24"/>
          <w:szCs w:val="24"/>
          <w:lang w:val="el-GR"/>
        </w:rPr>
        <w:t xml:space="preserve">  1961, σελ. 58</w:t>
      </w:r>
      <w:r w:rsidR="00611ECC" w:rsidRPr="00FD5231">
        <w:rPr>
          <w:sz w:val="24"/>
          <w:szCs w:val="24"/>
          <w:vertAlign w:val="subscript"/>
          <w:lang w:val="el-GR"/>
        </w:rPr>
        <w:t>17-23</w:t>
      </w:r>
      <w:r w:rsidR="00611ECC" w:rsidRPr="00FD5231">
        <w:rPr>
          <w:sz w:val="24"/>
          <w:szCs w:val="24"/>
          <w:lang w:val="el-GR"/>
        </w:rPr>
        <w:t xml:space="preserve"> </w:t>
      </w:r>
      <w:r w:rsidR="005775C8" w:rsidRPr="00FD5231">
        <w:rPr>
          <w:sz w:val="24"/>
          <w:szCs w:val="24"/>
          <w:lang w:val="el-GR"/>
        </w:rPr>
        <w:t xml:space="preserve">: </w:t>
      </w:r>
      <w:r w:rsidR="00611ECC" w:rsidRPr="00FD5231">
        <w:rPr>
          <w:i/>
          <w:iCs/>
          <w:sz w:val="24"/>
          <w:szCs w:val="24"/>
          <w:lang w:val="el-GR"/>
        </w:rPr>
        <w:t xml:space="preserve">Ὁ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δὲ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οὖν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Γελίελμος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οὗτος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,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κότον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τε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οἶμαι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τρέφων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οἷς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ποτε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ὁ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Μανουὴλ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κατεστράτευσε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τοῖς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αὑτοῦ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καὶ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πολλὰ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καὶ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ἐλύπησε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καὶ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ἔβλαψε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καὶ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ἅμα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καὶ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ζηλῶν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πατρικὴν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διὰ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θαλάσσης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ὁρμήν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ποτε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παλαιὰν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κατὰ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τῆς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Κωνσταντινουπόλεως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,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ἣν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ὁ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πατὴρ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ἀνητυτον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ἐξετέλεσεν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,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ὁμοῦ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δὲ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καὶ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συνάψας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εἰς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νοῦν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τὴν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καὶ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διὰ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γῆς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καὶ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διὰ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θαλάττης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μελέτην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τοῦ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Μανουὴλ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κατὰ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τῆς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τῶν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Σικελῶν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, ...,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προσίεται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τὴν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πρεσβείαν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τῶν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τοῦ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Ἀνδρονίκου</w:t>
      </w:r>
      <w:proofErr w:type="spellEnd"/>
      <w:r w:rsidR="00611ECC" w:rsidRPr="00FD5231">
        <w:rPr>
          <w:i/>
          <w:iCs/>
          <w:sz w:val="24"/>
          <w:szCs w:val="24"/>
          <w:lang w:val="el-GR"/>
        </w:rPr>
        <w:t xml:space="preserve"> </w:t>
      </w:r>
      <w:proofErr w:type="spellStart"/>
      <w:r w:rsidR="00611ECC" w:rsidRPr="00FD5231">
        <w:rPr>
          <w:i/>
          <w:iCs/>
          <w:sz w:val="24"/>
          <w:szCs w:val="24"/>
          <w:lang w:val="el-GR"/>
        </w:rPr>
        <w:t>ἐχθρῶν</w:t>
      </w:r>
      <w:proofErr w:type="spellEnd"/>
      <w:r w:rsidR="00611ECC" w:rsidRPr="00FD5231">
        <w:rPr>
          <w:sz w:val="24"/>
          <w:szCs w:val="24"/>
          <w:lang w:val="el-GR"/>
        </w:rPr>
        <w:t>.</w:t>
      </w:r>
    </w:p>
    <w:p w:rsidR="003F7201" w:rsidRDefault="003F7201" w:rsidP="003F7201">
      <w:pPr>
        <w:jc w:val="both"/>
        <w:rPr>
          <w:rFonts w:ascii="Palatino Linotype" w:hAnsi="Palatino Linotype"/>
          <w:sz w:val="24"/>
          <w:szCs w:val="24"/>
          <w:lang w:val="el-GR"/>
        </w:rPr>
      </w:pPr>
    </w:p>
    <w:p w:rsidR="00FD5231" w:rsidRPr="00DD4FE8" w:rsidRDefault="00EF3B97" w:rsidP="003F7201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lang w:val="el-GR"/>
        </w:rPr>
        <w:t>ΒΙΒΛΙΟΓΡΑΦΙΑ</w:t>
      </w:r>
      <w:r w:rsidRPr="00DD4FE8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  <w:lang w:val="el-GR"/>
        </w:rPr>
        <w:t>ενδεικτική</w:t>
      </w:r>
    </w:p>
    <w:p w:rsidR="003F7201" w:rsidRPr="00FD5231" w:rsidRDefault="003F7201" w:rsidP="00E3457D">
      <w:pPr>
        <w:spacing w:after="0"/>
        <w:jc w:val="both"/>
        <w:rPr>
          <w:sz w:val="24"/>
          <w:szCs w:val="24"/>
          <w:lang w:val="fr-FR"/>
        </w:rPr>
      </w:pPr>
      <w:r w:rsidRPr="00FD5231">
        <w:rPr>
          <w:sz w:val="24"/>
          <w:szCs w:val="24"/>
          <w:lang w:val="fr-FR"/>
        </w:rPr>
        <w:t>F.</w:t>
      </w:r>
      <w:r w:rsidR="00E3457D" w:rsidRPr="00FD5231">
        <w:rPr>
          <w:sz w:val="24"/>
          <w:szCs w:val="24"/>
          <w:lang w:val="fr-FR"/>
        </w:rPr>
        <w:t xml:space="preserve"> CHALANDON</w:t>
      </w:r>
      <w:r w:rsidRPr="00FD5231">
        <w:rPr>
          <w:sz w:val="24"/>
          <w:szCs w:val="24"/>
          <w:lang w:val="fr-FR"/>
        </w:rPr>
        <w:t xml:space="preserve">, </w:t>
      </w:r>
      <w:r w:rsidRPr="00FD5231">
        <w:rPr>
          <w:i/>
          <w:sz w:val="24"/>
          <w:szCs w:val="24"/>
          <w:lang w:val="fr-FR"/>
        </w:rPr>
        <w:t>Histoire de la domination normande en Italie et en Sicile</w:t>
      </w:r>
      <w:r w:rsidRPr="00FD5231">
        <w:rPr>
          <w:iCs/>
          <w:sz w:val="24"/>
          <w:szCs w:val="24"/>
          <w:lang w:val="fr-FR"/>
        </w:rPr>
        <w:t>,</w:t>
      </w:r>
      <w:r w:rsidRPr="00FD5231">
        <w:rPr>
          <w:i/>
          <w:iCs/>
          <w:sz w:val="24"/>
          <w:szCs w:val="24"/>
          <w:lang w:val="fr-FR"/>
        </w:rPr>
        <w:t xml:space="preserve"> </w:t>
      </w:r>
      <w:r w:rsidRPr="00FD5231">
        <w:rPr>
          <w:sz w:val="24"/>
          <w:szCs w:val="24"/>
          <w:lang w:val="fr-FR"/>
        </w:rPr>
        <w:t xml:space="preserve"> vol. I, II, Paris 1907 [= New York 1960]  </w:t>
      </w:r>
    </w:p>
    <w:p w:rsidR="003F7201" w:rsidRPr="00FD5231" w:rsidRDefault="00E3457D" w:rsidP="00E3457D">
      <w:pPr>
        <w:spacing w:after="0"/>
        <w:jc w:val="both"/>
        <w:rPr>
          <w:sz w:val="24"/>
          <w:szCs w:val="24"/>
        </w:rPr>
      </w:pPr>
      <w:r w:rsidRPr="00FD5231">
        <w:rPr>
          <w:sz w:val="24"/>
          <w:szCs w:val="24"/>
          <w:lang w:val="de-DE"/>
        </w:rPr>
        <w:t xml:space="preserve">VERA </w:t>
      </w:r>
      <w:r w:rsidR="003F7201" w:rsidRPr="00FD5231">
        <w:rPr>
          <w:sz w:val="24"/>
          <w:szCs w:val="24"/>
          <w:lang w:val="de-DE"/>
        </w:rPr>
        <w:t xml:space="preserve">von </w:t>
      </w:r>
      <w:r w:rsidRPr="00FD5231">
        <w:rPr>
          <w:sz w:val="24"/>
          <w:szCs w:val="24"/>
          <w:lang w:val="de-DE"/>
        </w:rPr>
        <w:t>FALKENHAUSEN</w:t>
      </w:r>
      <w:r w:rsidR="003F7201" w:rsidRPr="00FD5231">
        <w:rPr>
          <w:sz w:val="24"/>
          <w:szCs w:val="24"/>
          <w:lang w:val="de-DE"/>
        </w:rPr>
        <w:t xml:space="preserve">, </w:t>
      </w:r>
      <w:r w:rsidR="003F7201" w:rsidRPr="00FD5231">
        <w:rPr>
          <w:i/>
          <w:iCs/>
          <w:sz w:val="24"/>
          <w:szCs w:val="24"/>
          <w:lang w:val="de-DE"/>
        </w:rPr>
        <w:t>Untersuchungen über die byzantinische Herrschaft in Süditalien vom 9. bis 11. Jh</w:t>
      </w:r>
      <w:r w:rsidR="003F7201" w:rsidRPr="00FD5231">
        <w:rPr>
          <w:sz w:val="24"/>
          <w:szCs w:val="24"/>
          <w:lang w:val="de-DE"/>
        </w:rPr>
        <w:t>., Wiesbaden 1967</w:t>
      </w:r>
    </w:p>
    <w:p w:rsidR="003F7201" w:rsidRPr="00FD5231" w:rsidRDefault="00E3457D" w:rsidP="00E3457D">
      <w:pPr>
        <w:spacing w:after="0"/>
        <w:jc w:val="both"/>
        <w:rPr>
          <w:sz w:val="24"/>
          <w:szCs w:val="24"/>
          <w:lang w:val="en-GB"/>
        </w:rPr>
      </w:pPr>
      <w:r w:rsidRPr="00FD5231">
        <w:rPr>
          <w:sz w:val="24"/>
          <w:szCs w:val="24"/>
          <w:lang w:val="en-GB"/>
        </w:rPr>
        <w:t>G.A. LOUD</w:t>
      </w:r>
      <w:r w:rsidR="003F7201" w:rsidRPr="00FD5231">
        <w:rPr>
          <w:sz w:val="24"/>
          <w:szCs w:val="24"/>
          <w:lang w:val="en-GB"/>
        </w:rPr>
        <w:t xml:space="preserve">, Byzantine Italy and the Normans, </w:t>
      </w:r>
      <w:proofErr w:type="spellStart"/>
      <w:r w:rsidR="003F7201" w:rsidRPr="00FD5231">
        <w:rPr>
          <w:sz w:val="24"/>
          <w:szCs w:val="24"/>
        </w:rPr>
        <w:t>στό</w:t>
      </w:r>
      <w:proofErr w:type="spellEnd"/>
      <w:r w:rsidR="003F7201" w:rsidRPr="00FD5231">
        <w:rPr>
          <w:sz w:val="24"/>
          <w:szCs w:val="24"/>
          <w:lang w:val="en-GB"/>
        </w:rPr>
        <w:t>: Howard J.D.-Johnston (</w:t>
      </w:r>
      <w:r w:rsidR="003F7201" w:rsidRPr="00FD5231">
        <w:rPr>
          <w:sz w:val="24"/>
          <w:szCs w:val="24"/>
        </w:rPr>
        <w:t>επ</w:t>
      </w:r>
      <w:proofErr w:type="spellStart"/>
      <w:r w:rsidR="003F7201" w:rsidRPr="00FD5231">
        <w:rPr>
          <w:sz w:val="24"/>
          <w:szCs w:val="24"/>
        </w:rPr>
        <w:t>ιμ</w:t>
      </w:r>
      <w:proofErr w:type="spellEnd"/>
      <w:r w:rsidR="003F7201" w:rsidRPr="00FD5231">
        <w:rPr>
          <w:sz w:val="24"/>
          <w:szCs w:val="24"/>
          <w:lang w:val="en-GB"/>
        </w:rPr>
        <w:t xml:space="preserve">.), </w:t>
      </w:r>
      <w:r w:rsidR="003F7201" w:rsidRPr="00FD5231">
        <w:rPr>
          <w:i/>
          <w:iCs/>
          <w:sz w:val="24"/>
          <w:szCs w:val="24"/>
          <w:lang w:val="en-GB"/>
        </w:rPr>
        <w:t>Byzantium and the West, c.850-c.1200</w:t>
      </w:r>
      <w:r w:rsidR="003F7201" w:rsidRPr="00FD5231">
        <w:rPr>
          <w:sz w:val="24"/>
          <w:szCs w:val="24"/>
          <w:lang w:val="en-GB"/>
        </w:rPr>
        <w:t xml:space="preserve">, </w:t>
      </w:r>
      <w:r w:rsidR="003F7201" w:rsidRPr="00FD5231">
        <w:rPr>
          <w:i/>
          <w:iCs/>
          <w:sz w:val="24"/>
          <w:szCs w:val="24"/>
          <w:lang w:val="en-GB"/>
        </w:rPr>
        <w:t xml:space="preserve">Proceedings of the XVIII Spring Symposium of Byzantine Studies, Oxford 30th March </w:t>
      </w:r>
      <w:smartTag w:uri="urn:schemas-microsoft-com:office:smarttags" w:element="date">
        <w:smartTagPr>
          <w:attr w:name="Month" w:val="4"/>
          <w:attr w:name="Day" w:val="1"/>
          <w:attr w:name="Year" w:val="1984"/>
        </w:smartTagPr>
        <w:r w:rsidR="003F7201" w:rsidRPr="00FD5231">
          <w:rPr>
            <w:i/>
            <w:iCs/>
            <w:sz w:val="24"/>
            <w:szCs w:val="24"/>
            <w:lang w:val="en-GB"/>
          </w:rPr>
          <w:t>- 1st April 1984</w:t>
        </w:r>
      </w:smartTag>
      <w:r w:rsidR="003F7201" w:rsidRPr="00FD5231">
        <w:rPr>
          <w:sz w:val="24"/>
          <w:szCs w:val="24"/>
          <w:lang w:val="en-GB"/>
        </w:rPr>
        <w:t xml:space="preserve"> = </w:t>
      </w:r>
      <w:proofErr w:type="spellStart"/>
      <w:proofErr w:type="gramStart"/>
      <w:r w:rsidR="003F7201" w:rsidRPr="00EF3B97">
        <w:rPr>
          <w:i/>
          <w:sz w:val="24"/>
          <w:szCs w:val="24"/>
          <w:lang w:val="en-GB"/>
        </w:rPr>
        <w:t>Byzantinische</w:t>
      </w:r>
      <w:proofErr w:type="spellEnd"/>
      <w:r w:rsidR="003F7201" w:rsidRPr="00EF3B97">
        <w:rPr>
          <w:i/>
          <w:sz w:val="24"/>
          <w:szCs w:val="24"/>
          <w:lang w:val="en-GB"/>
        </w:rPr>
        <w:t xml:space="preserve">  </w:t>
      </w:r>
      <w:proofErr w:type="spellStart"/>
      <w:r w:rsidR="003F7201" w:rsidRPr="00EF3B97">
        <w:rPr>
          <w:i/>
          <w:sz w:val="24"/>
          <w:szCs w:val="24"/>
          <w:lang w:val="en-GB"/>
        </w:rPr>
        <w:t>Forschungen</w:t>
      </w:r>
      <w:proofErr w:type="spellEnd"/>
      <w:proofErr w:type="gramEnd"/>
      <w:r w:rsidR="003F7201" w:rsidRPr="00FD5231">
        <w:rPr>
          <w:sz w:val="24"/>
          <w:szCs w:val="24"/>
          <w:lang w:val="en-GB"/>
        </w:rPr>
        <w:t xml:space="preserve"> 13 (1988) 215-233</w:t>
      </w:r>
    </w:p>
    <w:p w:rsidR="003F7201" w:rsidRPr="00FD5231" w:rsidRDefault="00E3457D" w:rsidP="00E3457D">
      <w:pPr>
        <w:jc w:val="both"/>
        <w:rPr>
          <w:sz w:val="24"/>
          <w:szCs w:val="24"/>
          <w:lang w:val="en-GB"/>
        </w:rPr>
      </w:pPr>
      <w:r w:rsidRPr="00FD5231">
        <w:rPr>
          <w:sz w:val="24"/>
          <w:szCs w:val="24"/>
          <w:lang w:val="en-GB"/>
        </w:rPr>
        <w:t xml:space="preserve">W. B. </w:t>
      </w:r>
      <w:proofErr w:type="spellStart"/>
      <w:r w:rsidRPr="00FD5231">
        <w:rPr>
          <w:sz w:val="24"/>
          <w:szCs w:val="24"/>
          <w:lang w:val="en-GB"/>
        </w:rPr>
        <w:t>McQ</w:t>
      </w:r>
      <w:r w:rsidRPr="00FD5231">
        <w:rPr>
          <w:caps/>
          <w:sz w:val="24"/>
          <w:szCs w:val="24"/>
          <w:lang w:val="en-GB"/>
        </w:rPr>
        <w:t>ueen</w:t>
      </w:r>
      <w:proofErr w:type="spellEnd"/>
      <w:r w:rsidRPr="00FD5231">
        <w:rPr>
          <w:sz w:val="24"/>
          <w:szCs w:val="24"/>
          <w:lang w:val="en-GB"/>
        </w:rPr>
        <w:t xml:space="preserve">, Relations between the Normans and Byzantium 1071-1112, </w:t>
      </w:r>
      <w:proofErr w:type="spellStart"/>
      <w:r w:rsidRPr="00EF3B97">
        <w:rPr>
          <w:i/>
          <w:iCs/>
          <w:sz w:val="24"/>
          <w:szCs w:val="24"/>
          <w:lang w:val="en-GB"/>
        </w:rPr>
        <w:t>Byzantion</w:t>
      </w:r>
      <w:proofErr w:type="spellEnd"/>
      <w:r w:rsidRPr="00FD5231">
        <w:rPr>
          <w:i/>
          <w:iCs/>
          <w:sz w:val="24"/>
          <w:szCs w:val="24"/>
          <w:lang w:val="en-GB"/>
        </w:rPr>
        <w:t xml:space="preserve"> </w:t>
      </w:r>
      <w:r w:rsidRPr="00FD5231">
        <w:rPr>
          <w:sz w:val="24"/>
          <w:szCs w:val="24"/>
          <w:lang w:val="en-GB"/>
        </w:rPr>
        <w:t>56 (1986) 427-476</w:t>
      </w:r>
    </w:p>
    <w:p w:rsidR="00E3457D" w:rsidRPr="00FD5231" w:rsidRDefault="00E3457D" w:rsidP="003F7201">
      <w:pPr>
        <w:jc w:val="both"/>
        <w:rPr>
          <w:sz w:val="24"/>
          <w:szCs w:val="24"/>
          <w:lang w:val="en-GB"/>
        </w:rPr>
      </w:pPr>
      <w:r w:rsidRPr="00FD5231">
        <w:rPr>
          <w:sz w:val="24"/>
          <w:szCs w:val="24"/>
          <w:lang w:val="it-IT"/>
        </w:rPr>
        <w:t xml:space="preserve">ATHINA </w:t>
      </w:r>
      <w:r w:rsidRPr="00FD5231">
        <w:rPr>
          <w:caps/>
          <w:sz w:val="24"/>
          <w:szCs w:val="24"/>
          <w:lang w:val="it-IT"/>
        </w:rPr>
        <w:t>Kolia-Dermitzaki</w:t>
      </w:r>
      <w:r w:rsidRPr="00FD5231">
        <w:rPr>
          <w:sz w:val="24"/>
          <w:szCs w:val="24"/>
          <w:lang w:val="it-IT"/>
        </w:rPr>
        <w:t xml:space="preserve">, Michael VII Doukas, Robert Guiscard and the Byzantine-Norman Marriage Negotiations, </w:t>
      </w:r>
      <w:r w:rsidRPr="00EF3B97">
        <w:rPr>
          <w:i/>
          <w:iCs/>
          <w:sz w:val="24"/>
          <w:szCs w:val="24"/>
          <w:lang w:val="it-IT"/>
        </w:rPr>
        <w:t>Byzantinoslavica</w:t>
      </w:r>
      <w:r w:rsidRPr="00FD5231">
        <w:rPr>
          <w:sz w:val="24"/>
          <w:szCs w:val="24"/>
          <w:lang w:val="it-IT"/>
        </w:rPr>
        <w:t xml:space="preserve"> 58 (1997) 251-268</w:t>
      </w:r>
    </w:p>
    <w:p w:rsidR="00E3457D" w:rsidRPr="00FD5231" w:rsidRDefault="00E3457D" w:rsidP="00E3457D">
      <w:pPr>
        <w:jc w:val="both"/>
        <w:rPr>
          <w:sz w:val="24"/>
          <w:szCs w:val="24"/>
          <w:lang w:val="it-IT"/>
        </w:rPr>
      </w:pPr>
      <w:r w:rsidRPr="00FD5231">
        <w:rPr>
          <w:sz w:val="24"/>
          <w:szCs w:val="24"/>
        </w:rPr>
        <w:lastRenderedPageBreak/>
        <w:t>ATHINA KOLIA-DERMITZAKI,</w:t>
      </w:r>
      <w:r w:rsidRPr="00FD5231">
        <w:rPr>
          <w:sz w:val="24"/>
          <w:szCs w:val="24"/>
          <w:lang w:val="en-GB"/>
        </w:rPr>
        <w:t xml:space="preserve"> </w:t>
      </w:r>
      <w:proofErr w:type="gramStart"/>
      <w:r w:rsidRPr="00FD5231">
        <w:rPr>
          <w:sz w:val="24"/>
          <w:szCs w:val="24"/>
        </w:rPr>
        <w:t>The</w:t>
      </w:r>
      <w:proofErr w:type="gramEnd"/>
      <w:r w:rsidRPr="00FD5231">
        <w:rPr>
          <w:sz w:val="24"/>
          <w:szCs w:val="24"/>
        </w:rPr>
        <w:t xml:space="preserve"> Norman factor in the gradual alienation of East and West, </w:t>
      </w:r>
      <w:r w:rsidRPr="00FD5231">
        <w:rPr>
          <w:sz w:val="24"/>
          <w:szCs w:val="24"/>
          <w:lang w:val="el-GR"/>
        </w:rPr>
        <w:t>στο</w:t>
      </w:r>
      <w:r w:rsidRPr="00FD5231">
        <w:rPr>
          <w:sz w:val="24"/>
          <w:szCs w:val="24"/>
          <w:lang w:val="en-GB"/>
        </w:rPr>
        <w:t>:</w:t>
      </w:r>
      <w:r w:rsidRPr="00FD5231">
        <w:rPr>
          <w:sz w:val="24"/>
          <w:szCs w:val="24"/>
        </w:rPr>
        <w:t xml:space="preserve"> </w:t>
      </w:r>
      <w:r w:rsidRPr="00FD5231">
        <w:rPr>
          <w:i/>
          <w:sz w:val="24"/>
          <w:szCs w:val="24"/>
        </w:rPr>
        <w:t xml:space="preserve">The Fourth Crusade Revisited. </w:t>
      </w:r>
      <w:r w:rsidRPr="00FD5231">
        <w:rPr>
          <w:i/>
          <w:sz w:val="24"/>
          <w:szCs w:val="24"/>
          <w:lang w:val="it-IT"/>
        </w:rPr>
        <w:t>Atti della Conferenza Internazionale nell’ottavo centenario della IV Crociata (Andros, 27 – 30 maggio 2004)</w:t>
      </w:r>
      <w:r w:rsidRPr="00FD5231">
        <w:rPr>
          <w:sz w:val="24"/>
          <w:szCs w:val="24"/>
          <w:lang w:val="it-IT"/>
        </w:rPr>
        <w:t xml:space="preserve"> [Pontifico Comitato di Scienze Storiche, Atti e Documenti 25], Città del Vaticano 2008, σ</w:t>
      </w:r>
      <w:r w:rsidRPr="00FD5231">
        <w:rPr>
          <w:sz w:val="24"/>
          <w:szCs w:val="24"/>
          <w:lang w:val="el-GR"/>
        </w:rPr>
        <w:t>ελ</w:t>
      </w:r>
      <w:r w:rsidRPr="00FD5231">
        <w:rPr>
          <w:sz w:val="24"/>
          <w:szCs w:val="24"/>
          <w:lang w:val="it-IT"/>
        </w:rPr>
        <w:t xml:space="preserve">. 32-53. </w:t>
      </w:r>
    </w:p>
    <w:p w:rsidR="003F7201" w:rsidRPr="00FD5231" w:rsidRDefault="003F7201" w:rsidP="003F7201">
      <w:pPr>
        <w:jc w:val="both"/>
        <w:rPr>
          <w:sz w:val="24"/>
          <w:szCs w:val="24"/>
          <w:lang w:val="it-IT"/>
        </w:rPr>
      </w:pPr>
    </w:p>
    <w:p w:rsidR="00DB603A" w:rsidRPr="003F7201" w:rsidRDefault="00DB603A">
      <w:pPr>
        <w:rPr>
          <w:rFonts w:ascii="Palatino Linotype" w:hAnsi="Palatino Linotype"/>
          <w:lang w:val="it-IT"/>
        </w:rPr>
      </w:pPr>
    </w:p>
    <w:sectPr w:rsidR="00DB603A" w:rsidRPr="003F72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469D7"/>
    <w:multiLevelType w:val="hybridMultilevel"/>
    <w:tmpl w:val="4B767EA2"/>
    <w:lvl w:ilvl="0" w:tplc="996A1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43"/>
    <w:rsid w:val="000E1B43"/>
    <w:rsid w:val="003F7201"/>
    <w:rsid w:val="005775C8"/>
    <w:rsid w:val="005B7A7F"/>
    <w:rsid w:val="00611ECC"/>
    <w:rsid w:val="007D6801"/>
    <w:rsid w:val="00D17B8B"/>
    <w:rsid w:val="00DB603A"/>
    <w:rsid w:val="00DD4FE8"/>
    <w:rsid w:val="00E3457D"/>
    <w:rsid w:val="00EF3B97"/>
    <w:rsid w:val="00FD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0E1B43"/>
    <w:pPr>
      <w:tabs>
        <w:tab w:val="right" w:pos="198"/>
        <w:tab w:val="left" w:pos="284"/>
      </w:tabs>
      <w:spacing w:after="0" w:line="220" w:lineRule="exact"/>
      <w:ind w:left="284" w:hanging="284"/>
      <w:jc w:val="both"/>
    </w:pPr>
    <w:rPr>
      <w:rFonts w:ascii="Times New Roman" w:eastAsia="Times New Roman" w:hAnsi="Times New Roman" w:cs="Times New Roman"/>
      <w:sz w:val="18"/>
      <w:szCs w:val="18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rsid w:val="000E1B43"/>
    <w:rPr>
      <w:rFonts w:ascii="Times New Roman" w:eastAsia="Times New Roman" w:hAnsi="Times New Roman" w:cs="Times New Roman"/>
      <w:sz w:val="18"/>
      <w:szCs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0E1B43"/>
    <w:pPr>
      <w:tabs>
        <w:tab w:val="right" w:pos="198"/>
        <w:tab w:val="left" w:pos="284"/>
      </w:tabs>
      <w:spacing w:after="0" w:line="220" w:lineRule="exact"/>
      <w:ind w:left="284" w:hanging="284"/>
      <w:jc w:val="both"/>
    </w:pPr>
    <w:rPr>
      <w:rFonts w:ascii="Times New Roman" w:eastAsia="Times New Roman" w:hAnsi="Times New Roman" w:cs="Times New Roman"/>
      <w:sz w:val="18"/>
      <w:szCs w:val="18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rsid w:val="000E1B43"/>
    <w:rPr>
      <w:rFonts w:ascii="Times New Roman" w:eastAsia="Times New Roman" w:hAnsi="Times New Roman" w:cs="Times New Roman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2013-05-27T19:14:00Z</dcterms:created>
  <dcterms:modified xsi:type="dcterms:W3CDTF">2013-05-27T19:14:00Z</dcterms:modified>
</cp:coreProperties>
</file>