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8F" w:rsidRPr="000B7550" w:rsidRDefault="000A1114">
      <w:pPr>
        <w:rPr>
          <w:rFonts w:ascii="Times New Roman" w:hAnsi="Times New Roman" w:cs="Times New Roman"/>
          <w:b/>
          <w:sz w:val="24"/>
          <w:szCs w:val="24"/>
        </w:rPr>
      </w:pPr>
      <w:r w:rsidRPr="000B7550">
        <w:rPr>
          <w:rFonts w:ascii="Times New Roman" w:hAnsi="Times New Roman" w:cs="Times New Roman"/>
          <w:b/>
          <w:sz w:val="24"/>
          <w:szCs w:val="24"/>
        </w:rPr>
        <w:t>ΟΛΓΑ ΠΑΛΑΓΓΙΑ</w:t>
      </w:r>
    </w:p>
    <w:p w:rsidR="000A1114" w:rsidRPr="000B7550" w:rsidRDefault="000A1114">
      <w:pPr>
        <w:rPr>
          <w:rFonts w:ascii="Times New Roman" w:hAnsi="Times New Roman" w:cs="Times New Roman"/>
          <w:sz w:val="24"/>
          <w:szCs w:val="24"/>
        </w:rPr>
      </w:pPr>
      <w:r w:rsidRPr="000B7550">
        <w:rPr>
          <w:rFonts w:ascii="Times New Roman" w:hAnsi="Times New Roman" w:cs="Times New Roman"/>
          <w:sz w:val="24"/>
          <w:szCs w:val="24"/>
        </w:rPr>
        <w:t>ΜΕΤΑΠΤΥΧΙΑΚΟ ΣΕΜΙΝΑΡΙΟ Α΄ΚΥΚΛΟΥ</w:t>
      </w:r>
    </w:p>
    <w:p w:rsidR="00AC546B" w:rsidRPr="000B7550" w:rsidRDefault="000A1114">
      <w:pPr>
        <w:rPr>
          <w:rFonts w:ascii="Times New Roman" w:hAnsi="Times New Roman" w:cs="Times New Roman"/>
          <w:sz w:val="24"/>
          <w:szCs w:val="24"/>
        </w:rPr>
      </w:pPr>
      <w:r w:rsidRPr="000B7550">
        <w:rPr>
          <w:rFonts w:ascii="Times New Roman" w:hAnsi="Times New Roman" w:cs="Times New Roman"/>
          <w:sz w:val="24"/>
          <w:szCs w:val="24"/>
        </w:rPr>
        <w:t>ΧΕΙΜΕΡΙΝΟ ΕΞΑΜΗΝΟ 2015-16</w:t>
      </w:r>
    </w:p>
    <w:p w:rsidR="00124BDA" w:rsidRPr="00D75741" w:rsidRDefault="00124B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546B" w:rsidRPr="00E308D7" w:rsidRDefault="00AC546B">
      <w:pPr>
        <w:rPr>
          <w:rFonts w:ascii="Times New Roman" w:hAnsi="Times New Roman" w:cs="Times New Roman"/>
          <w:b/>
          <w:sz w:val="24"/>
          <w:szCs w:val="24"/>
        </w:rPr>
      </w:pPr>
      <w:r w:rsidRPr="000B7550">
        <w:rPr>
          <w:rFonts w:ascii="Times New Roman" w:hAnsi="Times New Roman" w:cs="Times New Roman"/>
          <w:b/>
          <w:sz w:val="24"/>
          <w:szCs w:val="24"/>
        </w:rPr>
        <w:t>«Ο ΑΡΧΑΪΣΜΟΣ ΣΤΗ ΓΛΥΠΤΙΚΉ»</w:t>
      </w:r>
    </w:p>
    <w:p w:rsidR="00AC546B" w:rsidRDefault="000B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αρχαϊσμός στη γλυπτική των κλασσικών χρόνων πρωτοεμφανίζεται στα γλυπτά του Παρθενώνα, σε μια προσπάθεια να απεικονισθούν ξόανα παλαιοτέρων εποχών στο πλαίσιο αφηγήσεων όπως η άλωση της Τροίας και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κενταυρομαχία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Οι αρχαϊστικές τάσεις στη γλυπτική των κλασσικών χρόνων συμπίπτουν με περιόδους κρίσεων όπως ο πελοποννησιακός πόλεμος και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μακεδονοκρατία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Αθήνα. Στα ελληνιστικά χρόνια ο αρχαϊσμός έχει περισσότερο διακοσμητικό χαρακτήρα, ενώ στη ρωμαϊκή περίοδο έχει περισσότερο την έννοια της αναβίωσης</w:t>
      </w:r>
      <w:r w:rsidR="009B2D5F">
        <w:rPr>
          <w:rFonts w:ascii="Times New Roman" w:hAnsi="Times New Roman" w:cs="Times New Roman"/>
          <w:sz w:val="24"/>
          <w:szCs w:val="24"/>
        </w:rPr>
        <w:t>. Στο σεμινάριο θα εξεταστούν αρχαϊστικά γλυπτά, ολόγλυφα και ανάγλυφα, από την κλασσική ως και τη ρωμαϊκή εποχή.</w:t>
      </w:r>
    </w:p>
    <w:p w:rsidR="00E308D7" w:rsidRDefault="00E308D7">
      <w:pPr>
        <w:rPr>
          <w:rFonts w:ascii="Times New Roman" w:hAnsi="Times New Roman" w:cs="Times New Roman"/>
          <w:sz w:val="24"/>
          <w:szCs w:val="24"/>
        </w:rPr>
      </w:pPr>
    </w:p>
    <w:p w:rsidR="00E308D7" w:rsidRPr="00D75741" w:rsidRDefault="00E308D7" w:rsidP="00E308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5741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0B7550">
        <w:rPr>
          <w:rFonts w:ascii="Times New Roman" w:hAnsi="Times New Roman" w:cs="Times New Roman"/>
          <w:b/>
          <w:sz w:val="24"/>
          <w:szCs w:val="24"/>
          <w:lang w:val="en-US"/>
        </w:rPr>
        <w:t>ARCHAISTIC</w:t>
      </w:r>
      <w:r w:rsidRPr="00D757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7550">
        <w:rPr>
          <w:rFonts w:ascii="Times New Roman" w:hAnsi="Times New Roman" w:cs="Times New Roman"/>
          <w:b/>
          <w:sz w:val="24"/>
          <w:szCs w:val="24"/>
          <w:lang w:val="en-US"/>
        </w:rPr>
        <w:t>SCULPTURE</w:t>
      </w:r>
      <w:r w:rsidRPr="00D75741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E308D7" w:rsidRPr="00E308D7" w:rsidRDefault="00E308D7" w:rsidP="00E308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inception of archaistic tendencies in the sculpture of the classical period </w:t>
      </w:r>
      <w:r w:rsidR="00124BDA">
        <w:rPr>
          <w:rFonts w:ascii="Times New Roman" w:hAnsi="Times New Roman" w:cs="Times New Roman"/>
          <w:sz w:val="24"/>
          <w:szCs w:val="24"/>
          <w:lang w:val="en-US"/>
        </w:rPr>
        <w:t>can be placed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architectural sculptures of the Parthenon, where the narratives of the Fall of Troy and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centauromachy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entail the representation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xoana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Archaism in classical sculpture is stronger in periods of crisis, e.g., during the Peloponnesian War and the Macedonian occupation of Athens. In the Hellenistic period archaism in sculpture has a decorative quality, whereas </w:t>
      </w:r>
      <w:r w:rsidR="00DE3446">
        <w:rPr>
          <w:rFonts w:ascii="Times New Roman" w:hAnsi="Times New Roman" w:cs="Times New Roman"/>
          <w:sz w:val="24"/>
          <w:szCs w:val="24"/>
          <w:lang w:val="en-US"/>
        </w:rPr>
        <w:t xml:space="preserve">Roman archaism appears as a revival of archaic art.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2D5F" w:rsidRPr="00E308D7" w:rsidRDefault="009B2D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2D5F" w:rsidRPr="00124BDA" w:rsidRDefault="00124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:rsidR="00124BDA" w:rsidRDefault="00124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Bibliography</w:t>
      </w:r>
    </w:p>
    <w:p w:rsidR="00124BDA" w:rsidRDefault="00124B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24BDA">
        <w:rPr>
          <w:rFonts w:ascii="Times New Roman" w:hAnsi="Times New Roman" w:cs="Times New Roman"/>
          <w:b/>
          <w:sz w:val="24"/>
          <w:szCs w:val="24"/>
          <w:lang w:val="en-US"/>
        </w:rPr>
        <w:t>E. B. Harrison,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Athenian Agora XI, Archaic and Archaistic Sculpture, Princeton 196</w:t>
      </w:r>
      <w:r w:rsidR="00652688">
        <w:rPr>
          <w:rFonts w:ascii="Times New Roman" w:hAnsi="Times New Roman" w:cs="Times New Roman"/>
          <w:sz w:val="24"/>
          <w:szCs w:val="24"/>
          <w:lang w:val="en-US"/>
        </w:rPr>
        <w:t>5.</w:t>
      </w:r>
      <w:proofErr w:type="gramEnd"/>
    </w:p>
    <w:p w:rsidR="004B7C92" w:rsidRDefault="004B7C92" w:rsidP="004B7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Brommer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Parthenon, Mainz 1967.</w:t>
      </w:r>
    </w:p>
    <w:p w:rsidR="000243EF" w:rsidRPr="000243EF" w:rsidRDefault="000243EF" w:rsidP="004B7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Hofkes-Brukker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-Fries,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München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1975.</w:t>
      </w:r>
    </w:p>
    <w:p w:rsidR="00652688" w:rsidRDefault="006526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Willers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Anfängen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archaistischen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Griechenland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Berlin 1975.</w:t>
      </w:r>
    </w:p>
    <w:p w:rsidR="00652688" w:rsidRDefault="0065268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D. Fullerton,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archaistic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perirrhanteria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Attica,” Hesperia 55, 1986, 207-217.</w:t>
      </w:r>
      <w:proofErr w:type="gramEnd"/>
    </w:p>
    <w:p w:rsidR="00197D07" w:rsidRPr="00197D07" w:rsidRDefault="00197D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Bruskari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Αθηνά</w:t>
      </w:r>
      <w:r w:rsidRPr="00197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</w:t>
      </w:r>
      <w:r w:rsidRPr="00197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τύπου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Herculaneum</w:t>
      </w:r>
      <w:r w:rsidRPr="00197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στην</w:t>
      </w:r>
      <w:r w:rsidRPr="00197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Ακρόπολη</w:t>
      </w:r>
      <w:r w:rsidRPr="00197D07">
        <w:rPr>
          <w:rFonts w:ascii="Times New Roman" w:hAnsi="Times New Roman" w:cs="Times New Roman"/>
          <w:sz w:val="24"/>
          <w:szCs w:val="24"/>
          <w:lang w:val="en-US"/>
        </w:rPr>
        <w:t xml:space="preserve">,»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Kyrieleis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Archaische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klassische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griechische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II, 1986, 77-85.</w:t>
      </w:r>
    </w:p>
    <w:p w:rsidR="00652688" w:rsidRDefault="0065268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D. Fullerton,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location and archaism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Epipyrgidia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,” AA 1986, 669-675.</w:t>
      </w:r>
      <w:proofErr w:type="gramEnd"/>
    </w:p>
    <w:p w:rsidR="00DE1099" w:rsidRPr="00DE1099" w:rsidRDefault="00DE1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Μ. Τιβέριος, </w:t>
      </w:r>
      <w:r>
        <w:rPr>
          <w:rFonts w:ascii="Times New Roman" w:hAnsi="Times New Roman" w:cs="Times New Roman"/>
          <w:sz w:val="24"/>
          <w:szCs w:val="24"/>
        </w:rPr>
        <w:t xml:space="preserve">«Αρχαϊστικά Ι,» Πρακτικά ΧΙΙ διεθνούς συνεδρίου κλασικής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αρχαιολογιας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Αθήνα 1988, 271-273.</w:t>
      </w:r>
    </w:p>
    <w:p w:rsidR="00652688" w:rsidRPr="00652688" w:rsidRDefault="00652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M.-A.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Zagdoun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La sculpture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archaisante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l’art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hellénistique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268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l’art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688">
        <w:rPr>
          <w:rFonts w:ascii="Times New Roman" w:hAnsi="Times New Roman" w:cs="Times New Roman"/>
          <w:sz w:val="24"/>
          <w:szCs w:val="24"/>
          <w:lang w:val="en-US"/>
        </w:rPr>
        <w:t>romain</w:t>
      </w:r>
      <w:proofErr w:type="spellEnd"/>
      <w:r w:rsidRPr="00652688">
        <w:rPr>
          <w:rFonts w:ascii="Times New Roman" w:hAnsi="Times New Roman" w:cs="Times New Roman"/>
          <w:sz w:val="24"/>
          <w:szCs w:val="24"/>
          <w:lang w:val="en-US"/>
        </w:rPr>
        <w:t xml:space="preserve"> du haut-empire,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Paris 1989. </w:t>
      </w:r>
    </w:p>
    <w:p w:rsidR="00652688" w:rsidRDefault="006526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D. Fullerton,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Archaistic Style in Roman Statuary, Leiden 1990.</w:t>
      </w:r>
    </w:p>
    <w:p w:rsidR="000243EF" w:rsidRPr="000243EF" w:rsidRDefault="000243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Yalouris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Skulpturen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Asklepiostempels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Epidauros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AntPl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21, 1992.</w:t>
      </w:r>
    </w:p>
    <w:p w:rsidR="00AC546B" w:rsidRDefault="00124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4BDA">
        <w:rPr>
          <w:rFonts w:ascii="Times New Roman" w:hAnsi="Times New Roman" w:cs="Times New Roman"/>
          <w:b/>
          <w:sz w:val="24"/>
          <w:szCs w:val="24"/>
          <w:lang w:val="en-US"/>
        </w:rPr>
        <w:t>B. S. Ridgway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Archaic Style in Greek Sculpture, 2nd ed., Chicago 1993.</w:t>
      </w:r>
    </w:p>
    <w:p w:rsidR="000A10AA" w:rsidRPr="000A10AA" w:rsidRDefault="000A10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Θ</w:t>
      </w:r>
      <w:r w:rsidRPr="000A10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Σπυρόπουλος</w:t>
      </w:r>
      <w:r w:rsidRPr="000A10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Νέα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γλυπτά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αποκτήματα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Αρχαιολογικού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Μουσείου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Τριπόλεως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,»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Palagia</w:t>
      </w:r>
      <w:proofErr w:type="spellEnd"/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A10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Coulson, Sculpture from Arcadia and Laconia, Oxford 1993, 257-267.</w:t>
      </w:r>
    </w:p>
    <w:p w:rsidR="00236A56" w:rsidRDefault="006526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T. Brahms,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Archaismus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Frankfurt 1994.</w:t>
      </w:r>
    </w:p>
    <w:p w:rsidR="004B7C92" w:rsidRPr="004B7C92" w:rsidRDefault="004B7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L. Lawton,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Attic Document Reliefs, Oxford 1995. </w:t>
      </w:r>
    </w:p>
    <w:p w:rsidR="00236A56" w:rsidRPr="004B7C92" w:rsidRDefault="00236A5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Chanoux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Hermès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Propylaios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,” CRAI 1996, 37-55.</w:t>
      </w:r>
    </w:p>
    <w:p w:rsidR="004B7C92" w:rsidRDefault="004B7C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Palagia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“Classical encounters: Attic sculpture after Sulla,” in M. C. Hoff and S. 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Rotroff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The Romanization of Athens, Oxford</w:t>
      </w:r>
      <w:r w:rsidR="0097677B">
        <w:rPr>
          <w:rFonts w:ascii="Times New Roman" w:hAnsi="Times New Roman" w:cs="Times New Roman"/>
          <w:sz w:val="24"/>
          <w:szCs w:val="24"/>
          <w:lang w:val="en-US"/>
        </w:rPr>
        <w:t xml:space="preserve"> 1997</w:t>
      </w:r>
      <w:r>
        <w:rPr>
          <w:rFonts w:ascii="Times New Roman" w:hAnsi="Times New Roman" w:cs="Times New Roman"/>
          <w:sz w:val="24"/>
          <w:szCs w:val="24"/>
          <w:lang w:val="en-US"/>
        </w:rPr>
        <w:t>, 81-95.</w:t>
      </w:r>
    </w:p>
    <w:p w:rsidR="0097677B" w:rsidRPr="0097677B" w:rsidRDefault="009767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Mantis,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“Parthenon central south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metopes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new evidence,” in 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Buitron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-Oliver, The Interpretation of Architectural Sculpture in Greece and Rome, National Gallery of Art, Studies in the History of Art 29, 1997,  67-81.</w:t>
      </w:r>
    </w:p>
    <w:p w:rsidR="004B7C92" w:rsidRPr="00DE1099" w:rsidRDefault="004B7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</w:t>
      </w:r>
      <w:r w:rsidRPr="00DE1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Καλτσάς</w:t>
      </w:r>
      <w:proofErr w:type="spellEnd"/>
      <w:r w:rsidRPr="00DE10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7C92">
        <w:rPr>
          <w:rFonts w:ascii="Times New Roman" w:hAnsi="Times New Roman" w:cs="Times New Roman"/>
          <w:sz w:val="24"/>
          <w:szCs w:val="24"/>
        </w:rPr>
        <w:t>Εθνικό</w:t>
      </w:r>
      <w:r w:rsidRPr="00DE1099">
        <w:rPr>
          <w:rFonts w:ascii="Times New Roman" w:hAnsi="Times New Roman" w:cs="Times New Roman"/>
          <w:sz w:val="24"/>
          <w:szCs w:val="24"/>
        </w:rPr>
        <w:t xml:space="preserve"> </w:t>
      </w:r>
      <w:r w:rsidRPr="004B7C92">
        <w:rPr>
          <w:rFonts w:ascii="Times New Roman" w:hAnsi="Times New Roman" w:cs="Times New Roman"/>
          <w:sz w:val="24"/>
          <w:szCs w:val="24"/>
        </w:rPr>
        <w:t>Αρχαιολογικό</w:t>
      </w:r>
      <w:r w:rsidRPr="00DE1099">
        <w:rPr>
          <w:rFonts w:ascii="Times New Roman" w:hAnsi="Times New Roman" w:cs="Times New Roman"/>
          <w:sz w:val="24"/>
          <w:szCs w:val="24"/>
        </w:rPr>
        <w:t xml:space="preserve"> </w:t>
      </w:r>
      <w:r w:rsidRPr="004B7C92">
        <w:rPr>
          <w:rFonts w:ascii="Times New Roman" w:hAnsi="Times New Roman" w:cs="Times New Roman"/>
          <w:sz w:val="24"/>
          <w:szCs w:val="24"/>
        </w:rPr>
        <w:t>Μουσείο</w:t>
      </w:r>
      <w:r w:rsidRPr="00DE1099">
        <w:rPr>
          <w:rFonts w:ascii="Times New Roman" w:hAnsi="Times New Roman" w:cs="Times New Roman"/>
          <w:sz w:val="24"/>
          <w:szCs w:val="24"/>
        </w:rPr>
        <w:t xml:space="preserve">, </w:t>
      </w:r>
      <w:r w:rsidRPr="004B7C92">
        <w:rPr>
          <w:rFonts w:ascii="Times New Roman" w:hAnsi="Times New Roman" w:cs="Times New Roman"/>
          <w:sz w:val="24"/>
          <w:szCs w:val="24"/>
        </w:rPr>
        <w:t>τα</w:t>
      </w:r>
      <w:r w:rsidRPr="00DE1099">
        <w:rPr>
          <w:rFonts w:ascii="Times New Roman" w:hAnsi="Times New Roman" w:cs="Times New Roman"/>
          <w:sz w:val="24"/>
          <w:szCs w:val="24"/>
        </w:rPr>
        <w:t xml:space="preserve"> </w:t>
      </w:r>
      <w:r w:rsidRPr="004B7C92">
        <w:rPr>
          <w:rFonts w:ascii="Times New Roman" w:hAnsi="Times New Roman" w:cs="Times New Roman"/>
          <w:sz w:val="24"/>
          <w:szCs w:val="24"/>
        </w:rPr>
        <w:t>γλυπτά</w:t>
      </w:r>
      <w:r w:rsidRPr="00DE1099">
        <w:rPr>
          <w:rFonts w:ascii="Times New Roman" w:hAnsi="Times New Roman" w:cs="Times New Roman"/>
          <w:sz w:val="24"/>
          <w:szCs w:val="24"/>
        </w:rPr>
        <w:t>,</w:t>
      </w:r>
      <w:r w:rsidRPr="00DE1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Αθήνα</w:t>
      </w:r>
      <w:r w:rsidRPr="00DE1099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652688" w:rsidRPr="004B7C92" w:rsidRDefault="00236A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C.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Mattusch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Villa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Herculaneum, Malibu 2005.</w:t>
      </w:r>
      <w:proofErr w:type="gramEnd"/>
      <w:r w:rsidR="0065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7D07" w:rsidRPr="00197D07" w:rsidRDefault="00197D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C.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Mattusch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“Athens and Herculaneum: the case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Panathenaic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Athenas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,” in 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Palagia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Choremi-Spetsieri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Panathenaic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Games, Cambridge 2007, 159-164.</w:t>
      </w:r>
    </w:p>
    <w:p w:rsidR="00124BDA" w:rsidRPr="00124BDA" w:rsidRDefault="00124B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Palagia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“Archaism and the quest for immortality in Attic sculpture during the Peloponnesian War,” in 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Palagia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Art in Athens during the Peloponnesian War, Cambridge 2009, </w:t>
      </w:r>
      <w:r w:rsidR="00652688">
        <w:rPr>
          <w:rFonts w:ascii="Times New Roman" w:hAnsi="Times New Roman" w:cs="Times New Roman"/>
          <w:sz w:val="24"/>
          <w:szCs w:val="24"/>
          <w:lang w:val="en-US"/>
        </w:rPr>
        <w:t>24-51.</w:t>
      </w:r>
    </w:p>
    <w:p w:rsidR="00124BDA" w:rsidRPr="00124BDA" w:rsidRDefault="00124B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Marconi,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Choroi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theoriai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international ambitions,” in 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Palagia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B. 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Wescoat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(eds.),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Samothracian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Connections, Oxford 2010, 106-135</w:t>
      </w:r>
      <w:r w:rsidR="006526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4BDA" w:rsidRDefault="00D75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Γ. Ι.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Δεσπίνης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Άρτεμις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Βραυρωνία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</w:t>
      </w:r>
    </w:p>
    <w:p w:rsidR="00DE1099" w:rsidRPr="00DE1099" w:rsidRDefault="00DE10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M. Miles,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“Entering Demeter’s gateway: the Roman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propylon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Eleusinion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,” in B. 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Wescoat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R. G.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Ousterhout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Architecture of the Sacred, Cambridge 2012, 114-151.</w:t>
      </w:r>
    </w:p>
    <w:p w:rsidR="00AC546B" w:rsidRPr="00DE1099" w:rsidRDefault="00AC546B">
      <w:pPr>
        <w:rPr>
          <w:lang w:val="en-US"/>
        </w:rPr>
      </w:pPr>
    </w:p>
    <w:p w:rsidR="004E382C" w:rsidRPr="00365BE2" w:rsidRDefault="004E382C">
      <w:p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Θέματα</w:t>
      </w:r>
    </w:p>
    <w:p w:rsidR="004E382C" w:rsidRPr="00114060" w:rsidRDefault="004E382C" w:rsidP="004E38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 xml:space="preserve">Ο Ερμής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Προπύλαιος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 xml:space="preserve"> του Αλκαμένη</w:t>
      </w:r>
    </w:p>
    <w:p w:rsidR="00114060" w:rsidRPr="00365BE2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Hermes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Proyplaios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Alkamenes</w:t>
      </w:r>
      <w:proofErr w:type="spellEnd"/>
    </w:p>
    <w:p w:rsidR="004E382C" w:rsidRPr="00114060" w:rsidRDefault="004E382C" w:rsidP="004E38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Η τριπλή Εκάτη του Αλκαμένη</w:t>
      </w:r>
    </w:p>
    <w:p w:rsidR="00114060" w:rsidRPr="00365BE2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triple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Alkamenes</w:t>
      </w:r>
      <w:proofErr w:type="spellEnd"/>
    </w:p>
    <w:p w:rsidR="0058075E" w:rsidRPr="00365BE2" w:rsidRDefault="00CB0EA0" w:rsidP="004E38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Αρχαϊστικά ξόανα στα αρχιτεκτονικά γλυπτά του 5</w:t>
      </w:r>
      <w:r w:rsidRPr="00365BE2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365BE2">
        <w:rPr>
          <w:rFonts w:ascii="Times New Roman" w:hAnsi="Times New Roman" w:cs="Times New Roman"/>
          <w:sz w:val="24"/>
          <w:szCs w:val="24"/>
        </w:rPr>
        <w:t xml:space="preserve"> και 4</w:t>
      </w:r>
      <w:r w:rsidRPr="00365BE2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365BE2">
        <w:rPr>
          <w:rFonts w:ascii="Times New Roman" w:hAnsi="Times New Roman" w:cs="Times New Roman"/>
          <w:sz w:val="24"/>
          <w:szCs w:val="24"/>
        </w:rPr>
        <w:t xml:space="preserve"> αι.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 xml:space="preserve"> (</w:t>
      </w:r>
      <w:r w:rsidR="00C00D9B" w:rsidRPr="00365BE2">
        <w:rPr>
          <w:rFonts w:ascii="Times New Roman" w:hAnsi="Times New Roman" w:cs="Times New Roman"/>
          <w:sz w:val="24"/>
          <w:szCs w:val="24"/>
        </w:rPr>
        <w:t>βόρειες</w:t>
      </w:r>
    </w:p>
    <w:p w:rsidR="0058075E" w:rsidRDefault="00C00D9B" w:rsidP="0058075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365BE2">
        <w:rPr>
          <w:rFonts w:ascii="Times New Roman" w:hAnsi="Times New Roman" w:cs="Times New Roman"/>
          <w:sz w:val="24"/>
          <w:szCs w:val="24"/>
        </w:rPr>
        <w:t xml:space="preserve"> και νότιες </w:t>
      </w:r>
      <w:r w:rsidR="00CB0EA0" w:rsidRPr="00365BE2">
        <w:rPr>
          <w:rFonts w:ascii="Times New Roman" w:hAnsi="Times New Roman" w:cs="Times New Roman"/>
          <w:sz w:val="24"/>
          <w:szCs w:val="24"/>
        </w:rPr>
        <w:t>μετόπες του Παρθενώνα, ζωφόρος του ναού του Απόλλωνα στις Βάσσες, ανατολικό αέτωμα ναού του Ασκληπιού στην Επίδαυρο, αέτωμα του Ηραίου του Άργους)</w:t>
      </w:r>
      <w:r w:rsidR="0058075E" w:rsidRPr="00365BE2">
        <w:rPr>
          <w:rFonts w:ascii="Times New Roman" w:hAnsi="Times New Roman" w:cs="Times New Roman"/>
          <w:sz w:val="24"/>
          <w:szCs w:val="24"/>
        </w:rPr>
        <w:t>.</w:t>
      </w:r>
    </w:p>
    <w:p w:rsidR="00114060" w:rsidRPr="00114060" w:rsidRDefault="00114060" w:rsidP="0058075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Archaistic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xoana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represented in architectural sculpture of 5</w:t>
      </w:r>
      <w:r w:rsidRPr="001140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4</w:t>
      </w:r>
      <w:r w:rsidRPr="001140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B.C.</w:t>
      </w:r>
    </w:p>
    <w:p w:rsidR="0058075E" w:rsidRPr="00114060" w:rsidRDefault="00B30582" w:rsidP="005807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Αρχαϊστικές μορφές σε ανάγλυφα του 4</w:t>
      </w:r>
      <w:r w:rsidRPr="00365BE2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365BE2">
        <w:rPr>
          <w:rFonts w:ascii="Times New Roman" w:hAnsi="Times New Roman" w:cs="Times New Roman"/>
          <w:sz w:val="24"/>
          <w:szCs w:val="24"/>
        </w:rPr>
        <w:t xml:space="preserve"> αι.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 xml:space="preserve"> (βωμός Επιδαύρου, βωμός Βραυρώνας,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ψηφισματικό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 xml:space="preserve"> ανάγλυφο με την «Παρθένο» της Νεάπολης, ζωφόρος με χορεύτριες της Σαμοθράκης).</w:t>
      </w:r>
    </w:p>
    <w:p w:rsidR="00114060" w:rsidRPr="00114060" w:rsidRDefault="00114060" w:rsidP="0011406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Archaistic figures on reliefs of the 4</w:t>
      </w:r>
      <w:r w:rsidRPr="001140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B.C.</w:t>
      </w:r>
    </w:p>
    <w:p w:rsidR="00B30582" w:rsidRPr="00114060" w:rsidRDefault="00B30582" w:rsidP="005807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 xml:space="preserve">Η Αθηνά του </w:t>
      </w:r>
      <w:r w:rsidRPr="00365BE2">
        <w:rPr>
          <w:rFonts w:ascii="Times New Roman" w:hAnsi="Times New Roman" w:cs="Times New Roman"/>
          <w:sz w:val="24"/>
          <w:szCs w:val="24"/>
          <w:lang w:val="en-US"/>
        </w:rPr>
        <w:t>Herculaneum.</w:t>
      </w:r>
    </w:p>
    <w:p w:rsidR="00114060" w:rsidRPr="00365BE2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Athena of Herculaneum</w:t>
      </w:r>
    </w:p>
    <w:p w:rsidR="00B30582" w:rsidRPr="00114060" w:rsidRDefault="00B30582" w:rsidP="005807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 xml:space="preserve">Αρχαϊστικές καρυάτιδες (Μικρά Προπύλαια Ελευσίνας, Πρόπυλο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Ελευσινίου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 xml:space="preserve"> της Αγοράς με τύπο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Τράλλεων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>)</w:t>
      </w:r>
    </w:p>
    <w:p w:rsidR="00114060" w:rsidRPr="00365BE2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Archaistic caryatids</w:t>
      </w:r>
    </w:p>
    <w:p w:rsidR="00B30582" w:rsidRPr="00114060" w:rsidRDefault="00B30582" w:rsidP="005807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Το ανάγλυφο των τεσσάρων θεών</w:t>
      </w:r>
      <w:r w:rsidR="00197D07">
        <w:rPr>
          <w:rFonts w:ascii="Times New Roman" w:hAnsi="Times New Roman" w:cs="Times New Roman"/>
          <w:sz w:val="24"/>
          <w:szCs w:val="24"/>
        </w:rPr>
        <w:t xml:space="preserve"> από την Ακρόπολη και τα αντίγραφά του</w:t>
      </w:r>
      <w:r w:rsidRPr="00365BE2">
        <w:rPr>
          <w:rFonts w:ascii="Times New Roman" w:hAnsi="Times New Roman" w:cs="Times New Roman"/>
          <w:sz w:val="24"/>
          <w:szCs w:val="24"/>
        </w:rPr>
        <w:t>.</w:t>
      </w:r>
    </w:p>
    <w:p w:rsidR="00114060" w:rsidRPr="00114060" w:rsidRDefault="00114060" w:rsidP="0011406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reliefs of the four gods from the Athenian Acropolis and its copies</w:t>
      </w:r>
    </w:p>
    <w:p w:rsidR="00B30582" w:rsidRPr="00114060" w:rsidRDefault="00B30582" w:rsidP="005807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Αρχαϊστικές νύμφες σε ανάγλυφα.</w:t>
      </w:r>
    </w:p>
    <w:p w:rsidR="00114060" w:rsidRPr="00365BE2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Archaistic nymphs on reliefs</w:t>
      </w:r>
    </w:p>
    <w:p w:rsidR="00B30582" w:rsidRPr="00114060" w:rsidRDefault="00B30582" w:rsidP="005807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BE2">
        <w:rPr>
          <w:rFonts w:ascii="Times New Roman" w:hAnsi="Times New Roman" w:cs="Times New Roman"/>
          <w:sz w:val="24"/>
          <w:szCs w:val="24"/>
        </w:rPr>
        <w:t>Αρχαϊστικά περιρραντήρια.</w:t>
      </w:r>
    </w:p>
    <w:p w:rsidR="00114060" w:rsidRPr="00365BE2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Archaistic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perrirhanteria</w:t>
      </w:r>
      <w:proofErr w:type="spellEnd"/>
    </w:p>
    <w:p w:rsidR="00B30582" w:rsidRPr="00114060" w:rsidRDefault="00C873FB" w:rsidP="0058075E">
      <w:pPr>
        <w:pStyle w:val="a5"/>
        <w:numPr>
          <w:ilvl w:val="0"/>
          <w:numId w:val="1"/>
        </w:numPr>
      </w:pPr>
      <w:r w:rsidRPr="00365BE2">
        <w:rPr>
          <w:rFonts w:ascii="Times New Roman" w:hAnsi="Times New Roman" w:cs="Times New Roman"/>
          <w:sz w:val="24"/>
          <w:szCs w:val="24"/>
        </w:rPr>
        <w:t>Αρχαϊστικές πρισματικές βάσεις του 2</w:t>
      </w:r>
      <w:r w:rsidRPr="00365BE2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365BE2">
        <w:rPr>
          <w:rFonts w:ascii="Times New Roman" w:hAnsi="Times New Roman" w:cs="Times New Roman"/>
          <w:sz w:val="24"/>
          <w:szCs w:val="24"/>
        </w:rPr>
        <w:t xml:space="preserve"> αι. </w:t>
      </w:r>
      <w:proofErr w:type="spellStart"/>
      <w:r w:rsidRPr="00365BE2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365BE2">
        <w:rPr>
          <w:rFonts w:ascii="Times New Roman" w:hAnsi="Times New Roman" w:cs="Times New Roman"/>
          <w:sz w:val="24"/>
          <w:szCs w:val="24"/>
        </w:rPr>
        <w:t xml:space="preserve"> στην αρχαία Αγορά της Αθήνας και στα ανάγλυφα του Πειραιά</w:t>
      </w:r>
      <w:r>
        <w:t xml:space="preserve">. </w:t>
      </w:r>
    </w:p>
    <w:p w:rsidR="00114060" w:rsidRPr="00114060" w:rsidRDefault="00114060" w:rsidP="001140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Archaistic tripod bases</w:t>
      </w:r>
    </w:p>
    <w:p w:rsidR="004E382C" w:rsidRPr="004E382C" w:rsidRDefault="00CB0EA0" w:rsidP="0058075E">
      <w:r>
        <w:t xml:space="preserve"> </w:t>
      </w:r>
      <w:r w:rsidR="004E382C">
        <w:t xml:space="preserve"> </w:t>
      </w:r>
    </w:p>
    <w:p w:rsidR="004E382C" w:rsidRPr="00CB0EA0" w:rsidRDefault="004E382C"/>
    <w:p w:rsidR="004E382C" w:rsidRPr="00CB0EA0" w:rsidRDefault="004E382C"/>
    <w:sectPr w:rsidR="004E382C" w:rsidRPr="00CB0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16" w:rsidRDefault="00891E16" w:rsidP="000A1114">
      <w:pPr>
        <w:spacing w:after="0" w:line="240" w:lineRule="auto"/>
      </w:pPr>
      <w:r>
        <w:separator/>
      </w:r>
    </w:p>
  </w:endnote>
  <w:endnote w:type="continuationSeparator" w:id="0">
    <w:p w:rsidR="00891E16" w:rsidRDefault="00891E16" w:rsidP="000A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14" w:rsidRDefault="000A11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14" w:rsidRDefault="000A11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14" w:rsidRDefault="000A11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16" w:rsidRDefault="00891E16" w:rsidP="000A1114">
      <w:pPr>
        <w:spacing w:after="0" w:line="240" w:lineRule="auto"/>
      </w:pPr>
      <w:r>
        <w:separator/>
      </w:r>
    </w:p>
  </w:footnote>
  <w:footnote w:type="continuationSeparator" w:id="0">
    <w:p w:rsidR="00891E16" w:rsidRDefault="00891E16" w:rsidP="000A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14" w:rsidRDefault="000A11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239589"/>
      <w:docPartObj>
        <w:docPartGallery w:val="Page Numbers (Top of Page)"/>
        <w:docPartUnique/>
      </w:docPartObj>
    </w:sdtPr>
    <w:sdtEndPr/>
    <w:sdtContent>
      <w:p w:rsidR="000A1114" w:rsidRDefault="000A111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60">
          <w:rPr>
            <w:noProof/>
          </w:rPr>
          <w:t>1</w:t>
        </w:r>
        <w:r>
          <w:fldChar w:fldCharType="end"/>
        </w:r>
      </w:p>
    </w:sdtContent>
  </w:sdt>
  <w:p w:rsidR="000A1114" w:rsidRDefault="000A11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14" w:rsidRDefault="000A11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2DAB"/>
    <w:multiLevelType w:val="hybridMultilevel"/>
    <w:tmpl w:val="72B2A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14"/>
    <w:rsid w:val="000243EF"/>
    <w:rsid w:val="000A10AA"/>
    <w:rsid w:val="000A1114"/>
    <w:rsid w:val="000B7550"/>
    <w:rsid w:val="00114060"/>
    <w:rsid w:val="00124BDA"/>
    <w:rsid w:val="00197D07"/>
    <w:rsid w:val="001F1112"/>
    <w:rsid w:val="00236A56"/>
    <w:rsid w:val="00365BE2"/>
    <w:rsid w:val="0040008F"/>
    <w:rsid w:val="004B7C92"/>
    <w:rsid w:val="004E382C"/>
    <w:rsid w:val="00550F0F"/>
    <w:rsid w:val="005573A4"/>
    <w:rsid w:val="0058075E"/>
    <w:rsid w:val="00652688"/>
    <w:rsid w:val="006822BD"/>
    <w:rsid w:val="00737FF2"/>
    <w:rsid w:val="007D38C5"/>
    <w:rsid w:val="00891E16"/>
    <w:rsid w:val="0097677B"/>
    <w:rsid w:val="009B2D5F"/>
    <w:rsid w:val="00AC546B"/>
    <w:rsid w:val="00B30582"/>
    <w:rsid w:val="00C00D9B"/>
    <w:rsid w:val="00C11832"/>
    <w:rsid w:val="00C63069"/>
    <w:rsid w:val="00C873FB"/>
    <w:rsid w:val="00CB0EA0"/>
    <w:rsid w:val="00D75741"/>
    <w:rsid w:val="00DE1099"/>
    <w:rsid w:val="00DE3446"/>
    <w:rsid w:val="00E15ABE"/>
    <w:rsid w:val="00E308D7"/>
    <w:rsid w:val="00F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1114"/>
  </w:style>
  <w:style w:type="paragraph" w:styleId="a4">
    <w:name w:val="footer"/>
    <w:basedOn w:val="a"/>
    <w:link w:val="Char0"/>
    <w:uiPriority w:val="99"/>
    <w:unhideWhenUsed/>
    <w:rsid w:val="000A1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1114"/>
  </w:style>
  <w:style w:type="paragraph" w:styleId="a5">
    <w:name w:val="List Paragraph"/>
    <w:basedOn w:val="a"/>
    <w:uiPriority w:val="34"/>
    <w:qFormat/>
    <w:rsid w:val="004E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A1114"/>
  </w:style>
  <w:style w:type="paragraph" w:styleId="a4">
    <w:name w:val="footer"/>
    <w:basedOn w:val="a"/>
    <w:link w:val="Char0"/>
    <w:uiPriority w:val="99"/>
    <w:unhideWhenUsed/>
    <w:rsid w:val="000A1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A1114"/>
  </w:style>
  <w:style w:type="paragraph" w:styleId="a5">
    <w:name w:val="List Paragraph"/>
    <w:basedOn w:val="a"/>
    <w:uiPriority w:val="34"/>
    <w:qFormat/>
    <w:rsid w:val="004E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13</cp:revision>
  <cp:lastPrinted>2015-09-25T10:21:00Z</cp:lastPrinted>
  <dcterms:created xsi:type="dcterms:W3CDTF">2015-09-25T10:52:00Z</dcterms:created>
  <dcterms:modified xsi:type="dcterms:W3CDTF">2015-10-02T12:49:00Z</dcterms:modified>
</cp:coreProperties>
</file>