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375F9" w14:textId="77777777" w:rsidR="00382199" w:rsidRPr="00F529A5" w:rsidRDefault="00163696" w:rsidP="003476F9">
      <w:pPr>
        <w:pStyle w:val="Heading1"/>
        <w:jc w:val="both"/>
        <w:rPr>
          <w:rFonts w:ascii="Arial" w:hAnsi="Arial" w:cs="Arial"/>
          <w:b/>
          <w:bCs/>
          <w:sz w:val="36"/>
          <w:szCs w:val="36"/>
        </w:rPr>
      </w:pPr>
      <w:r w:rsidRPr="00F529A5">
        <w:rPr>
          <w:rFonts w:ascii="Arial" w:hAnsi="Arial" w:cs="Arial"/>
          <w:b/>
          <w:bCs/>
          <w:sz w:val="36"/>
          <w:szCs w:val="36"/>
        </w:rPr>
        <w:t>HANDOUT</w:t>
      </w:r>
    </w:p>
    <w:p w14:paraId="43CA39A4" w14:textId="77777777" w:rsidR="009D4F83" w:rsidRDefault="009D4F83" w:rsidP="003476F9">
      <w:pPr>
        <w:jc w:val="both"/>
        <w:rPr>
          <w:rFonts w:ascii="Arial" w:hAnsi="Arial" w:cs="Arial"/>
          <w:b/>
          <w:bCs/>
          <w:sz w:val="28"/>
          <w:szCs w:val="28"/>
        </w:rPr>
      </w:pPr>
    </w:p>
    <w:p w14:paraId="05C7436E" w14:textId="2774B82C" w:rsidR="00DC1B0F" w:rsidRPr="00382199" w:rsidRDefault="00163696" w:rsidP="003476F9">
      <w:pPr>
        <w:jc w:val="both"/>
        <w:rPr>
          <w:rFonts w:ascii="Arial" w:hAnsi="Arial" w:cs="Arial"/>
          <w:b/>
          <w:bCs/>
          <w:sz w:val="28"/>
          <w:szCs w:val="28"/>
        </w:rPr>
      </w:pPr>
      <w:r w:rsidRPr="00382199">
        <w:rPr>
          <w:rFonts w:ascii="Arial" w:hAnsi="Arial" w:cs="Arial"/>
          <w:b/>
          <w:bCs/>
          <w:sz w:val="28"/>
          <w:szCs w:val="28"/>
        </w:rPr>
        <w:t xml:space="preserve">Case Study : </w:t>
      </w:r>
      <w:r w:rsidR="00DC1B0F" w:rsidRPr="00382199">
        <w:rPr>
          <w:rFonts w:ascii="Arial" w:hAnsi="Arial" w:cs="Arial"/>
          <w:b/>
          <w:bCs/>
          <w:sz w:val="28"/>
          <w:szCs w:val="28"/>
        </w:rPr>
        <w:t>Energy Crisis Response in the EU: Navigating the Perfect Storm</w:t>
      </w:r>
    </w:p>
    <w:p w14:paraId="487291D3" w14:textId="77777777" w:rsidR="00DC1B0F" w:rsidRPr="003476F9" w:rsidRDefault="00DC1B0F" w:rsidP="003476F9">
      <w:pPr>
        <w:jc w:val="both"/>
        <w:rPr>
          <w:rFonts w:ascii="Arial" w:hAnsi="Arial" w:cs="Arial"/>
        </w:rPr>
      </w:pPr>
    </w:p>
    <w:p w14:paraId="6E5134B3" w14:textId="49C45BE1" w:rsidR="00DC1B0F" w:rsidRPr="003476F9" w:rsidRDefault="00DC1B0F" w:rsidP="003476F9">
      <w:pPr>
        <w:jc w:val="both"/>
        <w:rPr>
          <w:rFonts w:ascii="Arial" w:hAnsi="Arial" w:cs="Arial"/>
        </w:rPr>
      </w:pPr>
      <w:r w:rsidRPr="003476F9">
        <w:rPr>
          <w:rFonts w:ascii="Arial" w:hAnsi="Arial" w:cs="Arial"/>
        </w:rPr>
        <w:t xml:space="preserve">1: </w:t>
      </w:r>
      <w:r w:rsidRPr="003476F9">
        <w:rPr>
          <w:rFonts w:ascii="Arial" w:hAnsi="Arial" w:cs="Arial"/>
          <w:b/>
          <w:bCs/>
        </w:rPr>
        <w:t>Introduction</w:t>
      </w:r>
    </w:p>
    <w:p w14:paraId="5F536C38" w14:textId="2DA1332B" w:rsidR="00382199" w:rsidRDefault="00DC1B0F" w:rsidP="003476F9">
      <w:pPr>
        <w:jc w:val="both"/>
        <w:rPr>
          <w:rFonts w:ascii="Arial" w:hAnsi="Arial" w:cs="Arial"/>
        </w:rPr>
      </w:pPr>
      <w:r w:rsidRPr="003476F9">
        <w:rPr>
          <w:rFonts w:ascii="Arial" w:hAnsi="Arial" w:cs="Arial"/>
        </w:rPr>
        <w:t>The invasion of Ukraine by Russia in 2022 triggered an energy crisis in Europe, leading to soaring prices and supply disruptions. Despite these challenges, the EU</w:t>
      </w:r>
      <w:r w:rsidR="00163696" w:rsidRPr="003476F9">
        <w:rPr>
          <w:rFonts w:ascii="Arial" w:hAnsi="Arial" w:cs="Arial"/>
        </w:rPr>
        <w:t xml:space="preserve"> (and the member States</w:t>
      </w:r>
      <w:r w:rsidR="00163696" w:rsidRPr="003476F9">
        <w:rPr>
          <w:rStyle w:val="FootnoteReference"/>
          <w:rFonts w:ascii="Arial" w:hAnsi="Arial" w:cs="Arial"/>
        </w:rPr>
        <w:footnoteReference w:id="1"/>
      </w:r>
      <w:r w:rsidR="00163696" w:rsidRPr="003476F9">
        <w:rPr>
          <w:rFonts w:ascii="Arial" w:hAnsi="Arial" w:cs="Arial"/>
        </w:rPr>
        <w:t xml:space="preserve">), </w:t>
      </w:r>
      <w:r w:rsidRPr="003476F9">
        <w:rPr>
          <w:rFonts w:ascii="Arial" w:hAnsi="Arial" w:cs="Arial"/>
        </w:rPr>
        <w:t>responded by accelerating the clean energy transition and reducing dependence on Russian fossil fuels.</w:t>
      </w:r>
    </w:p>
    <w:p w14:paraId="7B093070" w14:textId="3645AAE2" w:rsidR="00163696" w:rsidRPr="003476F9" w:rsidRDefault="00163696" w:rsidP="003476F9">
      <w:pPr>
        <w:pStyle w:val="ListParagraph"/>
        <w:pBdr>
          <w:top w:val="single" w:sz="4" w:space="1" w:color="auto"/>
          <w:left w:val="single" w:sz="4" w:space="4" w:color="auto"/>
          <w:bottom w:val="single" w:sz="4" w:space="1" w:color="auto"/>
          <w:right w:val="single" w:sz="4" w:space="4" w:color="auto"/>
        </w:pBdr>
        <w:shd w:val="clear" w:color="auto" w:fill="E8E8E8" w:themeFill="background2"/>
        <w:jc w:val="both"/>
        <w:rPr>
          <w:rFonts w:ascii="Arial" w:hAnsi="Arial" w:cs="Arial"/>
        </w:rPr>
      </w:pPr>
      <w:r w:rsidRPr="003476F9">
        <w:rPr>
          <w:rFonts w:ascii="Arial" w:hAnsi="Arial" w:cs="Arial"/>
          <w:b/>
          <w:bCs/>
        </w:rPr>
        <w:t>Commission</w:t>
      </w:r>
      <w:r w:rsidRPr="003476F9">
        <w:rPr>
          <w:rFonts w:ascii="Arial" w:hAnsi="Arial" w:cs="Arial"/>
        </w:rPr>
        <w:t xml:space="preserve"> : ‘</w:t>
      </w:r>
      <w:r w:rsidRPr="003476F9">
        <w:rPr>
          <w:rFonts w:ascii="Arial" w:hAnsi="Arial" w:cs="Arial"/>
          <w:i/>
          <w:iCs/>
        </w:rPr>
        <w:t>The options for dealing with the impact of increased energy prices on our citizens and business, presented in this paper cover emergency time -bound interventions to limit the rise of energy prices, which should not jeopardise the long term objectives of the Green Deal, nor the functioning of the Single Market None of them is a silver bullet and all of them carry advantages and drawbacks’</w:t>
      </w:r>
      <w:r w:rsidRPr="003476F9">
        <w:rPr>
          <w:rFonts w:ascii="Arial" w:hAnsi="Arial" w:cs="Arial"/>
        </w:rPr>
        <w:t>.</w:t>
      </w:r>
    </w:p>
    <w:p w14:paraId="510D8404" w14:textId="77777777" w:rsidR="00D625E8" w:rsidRPr="003476F9" w:rsidRDefault="00D625E8" w:rsidP="003476F9">
      <w:pPr>
        <w:pStyle w:val="ListParagraph"/>
        <w:jc w:val="both"/>
        <w:rPr>
          <w:rFonts w:ascii="Arial" w:hAnsi="Arial" w:cs="Arial"/>
        </w:rPr>
      </w:pPr>
    </w:p>
    <w:p w14:paraId="3D10FAAF" w14:textId="7C5B2E56" w:rsidR="00DC1B0F" w:rsidRPr="003476F9" w:rsidRDefault="00163696" w:rsidP="003476F9">
      <w:pPr>
        <w:pStyle w:val="ListParagraph"/>
        <w:numPr>
          <w:ilvl w:val="0"/>
          <w:numId w:val="1"/>
        </w:numPr>
        <w:jc w:val="both"/>
        <w:rPr>
          <w:rFonts w:ascii="Arial" w:hAnsi="Arial" w:cs="Arial"/>
        </w:rPr>
      </w:pPr>
      <w:r w:rsidRPr="003476F9">
        <w:rPr>
          <w:rFonts w:ascii="Arial" w:hAnsi="Arial" w:cs="Arial"/>
        </w:rPr>
        <w:t xml:space="preserve"> Read the </w:t>
      </w:r>
      <w:hyperlink r:id="rId7" w:history="1">
        <w:r w:rsidRPr="003476F9">
          <w:rPr>
            <w:rStyle w:val="Hyperlink"/>
            <w:rFonts w:ascii="Arial" w:hAnsi="Arial" w:cs="Arial"/>
          </w:rPr>
          <w:t>Communication on Energy Prices</w:t>
        </w:r>
      </w:hyperlink>
      <w:r w:rsidRPr="003476F9">
        <w:rPr>
          <w:rFonts w:ascii="Arial" w:hAnsi="Arial" w:cs="Arial"/>
        </w:rPr>
        <w:t xml:space="preserve"> : What is the origin and the purpose of the so-called toolbox of measures to tackle exceptional situation ?</w:t>
      </w:r>
    </w:p>
    <w:p w14:paraId="4C24CE99" w14:textId="77777777" w:rsidR="009922B2" w:rsidRPr="003476F9" w:rsidRDefault="009922B2" w:rsidP="003476F9">
      <w:pPr>
        <w:pStyle w:val="ListParagraph"/>
        <w:jc w:val="both"/>
        <w:rPr>
          <w:rFonts w:ascii="Arial" w:hAnsi="Arial" w:cs="Arial"/>
        </w:rPr>
      </w:pPr>
    </w:p>
    <w:p w14:paraId="4F6DE018" w14:textId="0D05A60D" w:rsidR="00DC1B0F" w:rsidRPr="003476F9" w:rsidRDefault="00DC1B0F" w:rsidP="003476F9">
      <w:pPr>
        <w:jc w:val="both"/>
        <w:rPr>
          <w:rFonts w:ascii="Arial" w:hAnsi="Arial" w:cs="Arial"/>
        </w:rPr>
      </w:pPr>
      <w:r w:rsidRPr="003476F9">
        <w:rPr>
          <w:rFonts w:ascii="Arial" w:hAnsi="Arial" w:cs="Arial"/>
        </w:rPr>
        <w:t xml:space="preserve">2: </w:t>
      </w:r>
      <w:r w:rsidRPr="003476F9">
        <w:rPr>
          <w:rFonts w:ascii="Arial" w:hAnsi="Arial" w:cs="Arial"/>
          <w:b/>
          <w:bCs/>
        </w:rPr>
        <w:t>The EU's Response</w:t>
      </w:r>
    </w:p>
    <w:p w14:paraId="453ACE5D" w14:textId="60F83772" w:rsidR="00DC1B0F" w:rsidRPr="003476F9" w:rsidRDefault="00DC1B0F" w:rsidP="003476F9">
      <w:pPr>
        <w:jc w:val="both"/>
        <w:rPr>
          <w:rFonts w:ascii="Arial" w:hAnsi="Arial" w:cs="Arial"/>
        </w:rPr>
      </w:pPr>
      <w:r w:rsidRPr="003476F9">
        <w:rPr>
          <w:rFonts w:ascii="Arial" w:hAnsi="Arial" w:cs="Arial"/>
        </w:rPr>
        <w:t xml:space="preserve">The EU launched the </w:t>
      </w:r>
      <w:hyperlink r:id="rId8" w:history="1">
        <w:r w:rsidRPr="003476F9">
          <w:rPr>
            <w:rStyle w:val="Hyperlink"/>
            <w:rFonts w:ascii="Arial" w:hAnsi="Arial" w:cs="Arial"/>
          </w:rPr>
          <w:t>REPowerEU</w:t>
        </w:r>
      </w:hyperlink>
      <w:r w:rsidRPr="003476F9">
        <w:rPr>
          <w:rFonts w:ascii="Arial" w:hAnsi="Arial" w:cs="Arial"/>
        </w:rPr>
        <w:t xml:space="preserve"> strategy to promote renewable energy sources and increase energy efficiency measures. Member states revised renewable energy targets, leading to a significant increase in solar generation and a reduction in gas consumption. The shift towards LNG imports helped offset the shortfall from Russian supplies.</w:t>
      </w:r>
    </w:p>
    <w:p w14:paraId="7C6A43ED" w14:textId="28C84E0A" w:rsidR="00EE162D" w:rsidRDefault="007F6729" w:rsidP="003476F9">
      <w:pPr>
        <w:pStyle w:val="ListParagraph"/>
        <w:numPr>
          <w:ilvl w:val="0"/>
          <w:numId w:val="1"/>
        </w:numPr>
        <w:jc w:val="both"/>
        <w:rPr>
          <w:rFonts w:ascii="Arial" w:hAnsi="Arial" w:cs="Arial"/>
        </w:rPr>
      </w:pPr>
      <w:r w:rsidRPr="003476F9">
        <w:rPr>
          <w:rFonts w:ascii="Arial" w:hAnsi="Arial" w:cs="Arial"/>
        </w:rPr>
        <w:t xml:space="preserve">What is </w:t>
      </w:r>
      <w:hyperlink r:id="rId9" w:history="1">
        <w:r w:rsidRPr="003476F9">
          <w:rPr>
            <w:rStyle w:val="Hyperlink"/>
            <w:rFonts w:ascii="Arial" w:hAnsi="Arial" w:cs="Arial"/>
          </w:rPr>
          <w:t>the REPowerEU</w:t>
        </w:r>
      </w:hyperlink>
      <w:r w:rsidRPr="003476F9">
        <w:rPr>
          <w:rFonts w:ascii="Arial" w:hAnsi="Arial" w:cs="Arial"/>
        </w:rPr>
        <w:t xml:space="preserve"> plan, how is it financed and what was its effect ?  </w:t>
      </w:r>
      <w:r w:rsidR="001A1E29" w:rsidRPr="003476F9">
        <w:rPr>
          <w:rFonts w:ascii="Arial" w:hAnsi="Arial" w:cs="Arial"/>
        </w:rPr>
        <w:t xml:space="preserve">How do you assess it as an emergency </w:t>
      </w:r>
      <w:r w:rsidR="00BC4001">
        <w:rPr>
          <w:rFonts w:ascii="Arial" w:hAnsi="Arial" w:cs="Arial"/>
        </w:rPr>
        <w:t xml:space="preserve">tactical </w:t>
      </w:r>
      <w:r w:rsidR="001A1E29" w:rsidRPr="003476F9">
        <w:rPr>
          <w:rFonts w:ascii="Arial" w:hAnsi="Arial" w:cs="Arial"/>
        </w:rPr>
        <w:t>(sho</w:t>
      </w:r>
      <w:r w:rsidR="00BC4001">
        <w:rPr>
          <w:rFonts w:ascii="Arial" w:hAnsi="Arial" w:cs="Arial"/>
        </w:rPr>
        <w:t>r</w:t>
      </w:r>
      <w:r w:rsidR="001A1E29" w:rsidRPr="003476F9">
        <w:rPr>
          <w:rFonts w:ascii="Arial" w:hAnsi="Arial" w:cs="Arial"/>
        </w:rPr>
        <w:t>t-term) measure ?</w:t>
      </w:r>
      <w:r w:rsidR="00EE162D">
        <w:rPr>
          <w:rFonts w:ascii="Arial" w:hAnsi="Arial" w:cs="Arial"/>
        </w:rPr>
        <w:t xml:space="preserve"> (</w:t>
      </w:r>
      <w:r w:rsidR="00EE162D" w:rsidRPr="00EE162D">
        <w:rPr>
          <w:rFonts w:ascii="Arial" w:hAnsi="Arial" w:cs="Arial"/>
          <w:i/>
          <w:iCs/>
        </w:rPr>
        <w:t>see</w:t>
      </w:r>
      <w:r w:rsidR="00EE162D">
        <w:rPr>
          <w:rFonts w:ascii="Arial" w:hAnsi="Arial" w:cs="Arial"/>
        </w:rPr>
        <w:t xml:space="preserve"> also </w:t>
      </w:r>
      <w:hyperlink r:id="rId10" w:history="1">
        <w:r w:rsidR="00EE162D" w:rsidRPr="00BC4001">
          <w:rPr>
            <w:rStyle w:val="Hyperlink"/>
            <w:rFonts w:ascii="Arial" w:hAnsi="Arial" w:cs="Arial"/>
          </w:rPr>
          <w:t>REPowerEU-2 years on</w:t>
        </w:r>
      </w:hyperlink>
      <w:r w:rsidR="00EE162D">
        <w:rPr>
          <w:rFonts w:ascii="Arial" w:hAnsi="Arial" w:cs="Arial"/>
        </w:rPr>
        <w:t>)</w:t>
      </w:r>
    </w:p>
    <w:p w14:paraId="79359110" w14:textId="336C433A" w:rsidR="001A1E29" w:rsidRPr="003476F9" w:rsidRDefault="001A1E29" w:rsidP="003476F9">
      <w:pPr>
        <w:pStyle w:val="ListParagraph"/>
        <w:numPr>
          <w:ilvl w:val="0"/>
          <w:numId w:val="1"/>
        </w:numPr>
        <w:jc w:val="both"/>
        <w:rPr>
          <w:rFonts w:ascii="Arial" w:hAnsi="Arial" w:cs="Arial"/>
        </w:rPr>
      </w:pPr>
      <w:r w:rsidRPr="003476F9">
        <w:rPr>
          <w:rFonts w:ascii="Arial" w:hAnsi="Arial" w:cs="Arial"/>
        </w:rPr>
        <w:t xml:space="preserve"> What are the recent landmark initiatives on measures to increase renewable energy capacity, improve energy efficiency, and modernize energy infrastructure ?</w:t>
      </w:r>
      <w:r w:rsidR="00BC4001">
        <w:rPr>
          <w:rFonts w:ascii="Arial" w:hAnsi="Arial" w:cs="Arial"/>
        </w:rPr>
        <w:t xml:space="preserve"> </w:t>
      </w:r>
    </w:p>
    <w:p w14:paraId="2A39C9D0" w14:textId="77777777" w:rsidR="001A1E29" w:rsidRPr="003476F9" w:rsidRDefault="001A1E29" w:rsidP="003476F9">
      <w:pPr>
        <w:pStyle w:val="ListParagraph"/>
        <w:jc w:val="both"/>
        <w:rPr>
          <w:rFonts w:ascii="Arial" w:hAnsi="Arial" w:cs="Arial"/>
        </w:rPr>
      </w:pPr>
    </w:p>
    <w:p w14:paraId="6A888AC7" w14:textId="585E62CB" w:rsidR="001A1E29" w:rsidRPr="003476F9" w:rsidRDefault="001A1E29" w:rsidP="003476F9">
      <w:pPr>
        <w:pStyle w:val="ListParagraph"/>
        <w:pBdr>
          <w:top w:val="single" w:sz="4" w:space="1" w:color="auto"/>
          <w:left w:val="single" w:sz="4" w:space="4" w:color="auto"/>
          <w:bottom w:val="single" w:sz="4" w:space="1" w:color="auto"/>
          <w:right w:val="single" w:sz="4" w:space="4" w:color="auto"/>
        </w:pBdr>
        <w:shd w:val="clear" w:color="auto" w:fill="E8E8E8" w:themeFill="background2"/>
        <w:jc w:val="both"/>
        <w:rPr>
          <w:rFonts w:ascii="Arial" w:hAnsi="Arial" w:cs="Arial"/>
        </w:rPr>
      </w:pPr>
      <w:r w:rsidRPr="003476F9">
        <w:rPr>
          <w:rFonts w:ascii="Arial" w:hAnsi="Arial" w:cs="Arial"/>
          <w:b/>
          <w:bCs/>
        </w:rPr>
        <w:t>Example</w:t>
      </w:r>
      <w:r w:rsidRPr="003476F9">
        <w:rPr>
          <w:rFonts w:ascii="Arial" w:hAnsi="Arial" w:cs="Arial"/>
        </w:rPr>
        <w:t xml:space="preserve">: The crisis prompted the European Commission to revise and strengthen the </w:t>
      </w:r>
      <w:hyperlink r:id="rId11" w:history="1">
        <w:r w:rsidRPr="003476F9">
          <w:rPr>
            <w:rStyle w:val="Hyperlink"/>
            <w:rFonts w:ascii="Arial" w:hAnsi="Arial" w:cs="Arial"/>
          </w:rPr>
          <w:t>Renewable Energy Directive (RED</w:t>
        </w:r>
      </w:hyperlink>
      <w:r w:rsidRPr="003476F9">
        <w:rPr>
          <w:rFonts w:ascii="Arial" w:hAnsi="Arial" w:cs="Arial"/>
        </w:rPr>
        <w:t xml:space="preserve">) and the </w:t>
      </w:r>
      <w:hyperlink r:id="rId12" w:history="1">
        <w:r w:rsidRPr="003476F9">
          <w:rPr>
            <w:rStyle w:val="Hyperlink"/>
            <w:rFonts w:ascii="Arial" w:hAnsi="Arial" w:cs="Arial"/>
          </w:rPr>
          <w:t>Energy Efficiency Directive (EED</w:t>
        </w:r>
      </w:hyperlink>
      <w:r w:rsidRPr="003476F9">
        <w:rPr>
          <w:rFonts w:ascii="Arial" w:hAnsi="Arial" w:cs="Arial"/>
        </w:rPr>
        <w:t xml:space="preserve">). These directives set binding targets for renewable energy use and energy efficiency improvements in the EU member states. Additionally, the Commission introduced carbon pricing mechanisms, such as the EU </w:t>
      </w:r>
      <w:hyperlink r:id="rId13" w:history="1">
        <w:r w:rsidRPr="003476F9">
          <w:rPr>
            <w:rStyle w:val="Hyperlink"/>
            <w:rFonts w:ascii="Arial" w:hAnsi="Arial" w:cs="Arial"/>
          </w:rPr>
          <w:t>Emissions Trading System (ETS),</w:t>
        </w:r>
      </w:hyperlink>
      <w:r w:rsidRPr="003476F9">
        <w:rPr>
          <w:rFonts w:ascii="Arial" w:hAnsi="Arial" w:cs="Arial"/>
        </w:rPr>
        <w:t xml:space="preserve"> to incentivize emissions reductions.</w:t>
      </w:r>
    </w:p>
    <w:p w14:paraId="1F248F5B" w14:textId="77777777" w:rsidR="001A1E29" w:rsidRPr="003476F9" w:rsidRDefault="001A1E29" w:rsidP="003476F9">
      <w:pPr>
        <w:pStyle w:val="ListParagraph"/>
        <w:jc w:val="both"/>
        <w:rPr>
          <w:rFonts w:ascii="Arial" w:hAnsi="Arial" w:cs="Arial"/>
        </w:rPr>
      </w:pPr>
    </w:p>
    <w:p w14:paraId="7C0B90DC" w14:textId="1994B6CD" w:rsidR="00DC1B0F" w:rsidRPr="003476F9" w:rsidRDefault="001A1E29" w:rsidP="003476F9">
      <w:pPr>
        <w:pStyle w:val="ListParagraph"/>
        <w:numPr>
          <w:ilvl w:val="0"/>
          <w:numId w:val="1"/>
        </w:numPr>
        <w:jc w:val="both"/>
        <w:rPr>
          <w:rFonts w:ascii="Arial" w:hAnsi="Arial" w:cs="Arial"/>
        </w:rPr>
      </w:pPr>
      <w:r w:rsidRPr="003476F9">
        <w:rPr>
          <w:rFonts w:ascii="Arial" w:hAnsi="Arial" w:cs="Arial"/>
        </w:rPr>
        <w:t xml:space="preserve"> How do you assess those as structural (long-term) initiatives ? </w:t>
      </w:r>
    </w:p>
    <w:p w14:paraId="62C14846" w14:textId="2CBFF600" w:rsidR="00DC1B0F" w:rsidRPr="003476F9" w:rsidRDefault="00DC1B0F" w:rsidP="003476F9">
      <w:pPr>
        <w:jc w:val="both"/>
        <w:rPr>
          <w:rFonts w:ascii="Arial" w:hAnsi="Arial" w:cs="Arial"/>
        </w:rPr>
      </w:pPr>
      <w:r w:rsidRPr="003476F9">
        <w:rPr>
          <w:rFonts w:ascii="Arial" w:hAnsi="Arial" w:cs="Arial"/>
        </w:rPr>
        <w:t xml:space="preserve">3: </w:t>
      </w:r>
      <w:r w:rsidRPr="003476F9">
        <w:rPr>
          <w:rFonts w:ascii="Arial" w:hAnsi="Arial" w:cs="Arial"/>
          <w:b/>
          <w:bCs/>
        </w:rPr>
        <w:t>Challenges and Lessons Learned</w:t>
      </w:r>
    </w:p>
    <w:p w14:paraId="2BFE851D" w14:textId="79C46E8B" w:rsidR="00DC1B0F" w:rsidRPr="003476F9" w:rsidRDefault="00DC1B0F" w:rsidP="003476F9">
      <w:pPr>
        <w:jc w:val="both"/>
        <w:rPr>
          <w:rFonts w:ascii="Arial" w:hAnsi="Arial" w:cs="Arial"/>
        </w:rPr>
      </w:pPr>
      <w:r w:rsidRPr="003476F9">
        <w:rPr>
          <w:rFonts w:ascii="Arial" w:hAnsi="Arial" w:cs="Arial"/>
        </w:rPr>
        <w:lastRenderedPageBreak/>
        <w:t xml:space="preserve">The crisis highlighted the importance of policy interventions and price signals in changing consumer </w:t>
      </w:r>
      <w:r w:rsidR="001A1E29" w:rsidRPr="003476F9">
        <w:rPr>
          <w:rFonts w:ascii="Arial" w:hAnsi="Arial" w:cs="Arial"/>
        </w:rPr>
        <w:t>behaviour</w:t>
      </w:r>
      <w:r w:rsidRPr="003476F9">
        <w:rPr>
          <w:rFonts w:ascii="Arial" w:hAnsi="Arial" w:cs="Arial"/>
        </w:rPr>
        <w:t>. Challenges such as unintended consequences of national support measures and the risk of increased fossil fuel subsidies were addressed. Lessons included the need for targeted and socially just support measures and European governance of fiscal policies.</w:t>
      </w:r>
    </w:p>
    <w:p w14:paraId="5E4581A6" w14:textId="79D7847A" w:rsidR="00DC1B0F" w:rsidRPr="003476F9" w:rsidRDefault="00EE162D" w:rsidP="00EE162D">
      <w:pPr>
        <w:pStyle w:val="ListParagraph"/>
        <w:numPr>
          <w:ilvl w:val="0"/>
          <w:numId w:val="1"/>
        </w:numPr>
        <w:jc w:val="both"/>
        <w:rPr>
          <w:rFonts w:ascii="Arial" w:hAnsi="Arial" w:cs="Arial"/>
        </w:rPr>
      </w:pPr>
      <w:r>
        <w:rPr>
          <w:rFonts w:ascii="Arial" w:hAnsi="Arial" w:cs="Arial"/>
        </w:rPr>
        <w:t>Read the EPRS (Mario Damen) report ‘</w:t>
      </w:r>
      <w:hyperlink r:id="rId14" w:history="1">
        <w:r w:rsidRPr="00EE162D">
          <w:rPr>
            <w:rStyle w:val="Hyperlink"/>
            <w:rFonts w:ascii="Arial" w:hAnsi="Arial" w:cs="Arial"/>
          </w:rPr>
          <w:t>Four challenges of the energy crisis’</w:t>
        </w:r>
      </w:hyperlink>
      <w:r>
        <w:rPr>
          <w:rFonts w:ascii="Arial" w:hAnsi="Arial" w:cs="Arial"/>
        </w:rPr>
        <w:t xml:space="preserve">. What is the concept of EU strategic </w:t>
      </w:r>
      <w:r w:rsidR="00AE0893">
        <w:rPr>
          <w:rFonts w:ascii="Arial" w:hAnsi="Arial" w:cs="Arial"/>
        </w:rPr>
        <w:t>autonomy?</w:t>
      </w:r>
    </w:p>
    <w:p w14:paraId="2B8BAE86" w14:textId="5B4D1718" w:rsidR="00DC1B0F" w:rsidRPr="003476F9" w:rsidRDefault="00DC1B0F" w:rsidP="003476F9">
      <w:pPr>
        <w:jc w:val="both"/>
        <w:rPr>
          <w:rFonts w:ascii="Arial" w:hAnsi="Arial" w:cs="Arial"/>
        </w:rPr>
      </w:pPr>
      <w:r w:rsidRPr="003476F9">
        <w:rPr>
          <w:rFonts w:ascii="Arial" w:hAnsi="Arial" w:cs="Arial"/>
        </w:rPr>
        <w:t xml:space="preserve">4: </w:t>
      </w:r>
      <w:r w:rsidRPr="003476F9">
        <w:rPr>
          <w:rFonts w:ascii="Arial" w:hAnsi="Arial" w:cs="Arial"/>
          <w:b/>
          <w:bCs/>
        </w:rPr>
        <w:t>Evolution of Climate and Energy Governance</w:t>
      </w:r>
    </w:p>
    <w:p w14:paraId="0C4B1F35" w14:textId="33C86BF9" w:rsidR="00FB0677" w:rsidRDefault="00DC1B0F" w:rsidP="003476F9">
      <w:pPr>
        <w:jc w:val="both"/>
        <w:rPr>
          <w:rFonts w:ascii="Arial" w:hAnsi="Arial" w:cs="Arial"/>
        </w:rPr>
      </w:pPr>
      <w:r w:rsidRPr="003476F9">
        <w:rPr>
          <w:rFonts w:ascii="Arial" w:hAnsi="Arial" w:cs="Arial"/>
        </w:rPr>
        <w:t xml:space="preserve">The Energy Union and </w:t>
      </w:r>
      <w:hyperlink r:id="rId15" w:history="1">
        <w:r w:rsidRPr="003476F9">
          <w:rPr>
            <w:rStyle w:val="Hyperlink"/>
            <w:rFonts w:ascii="Arial" w:hAnsi="Arial" w:cs="Arial"/>
          </w:rPr>
          <w:t>European Green Deal</w:t>
        </w:r>
      </w:hyperlink>
      <w:r w:rsidRPr="003476F9">
        <w:rPr>
          <w:rFonts w:ascii="Arial" w:hAnsi="Arial" w:cs="Arial"/>
        </w:rPr>
        <w:t xml:space="preserve"> played critical roles in strengthening energy-climate policies</w:t>
      </w:r>
      <w:r w:rsidR="007F6729" w:rsidRPr="003476F9">
        <w:rPr>
          <w:rStyle w:val="FootnoteReference"/>
          <w:rFonts w:ascii="Arial" w:hAnsi="Arial" w:cs="Arial"/>
        </w:rPr>
        <w:footnoteReference w:id="2"/>
      </w:r>
      <w:r w:rsidRPr="003476F9">
        <w:rPr>
          <w:rFonts w:ascii="Arial" w:hAnsi="Arial" w:cs="Arial"/>
        </w:rPr>
        <w:t xml:space="preserve">. The framework focused on energy security, market integration, efficiency, emissions reduction, and research and innovation. </w:t>
      </w:r>
      <w:r w:rsidR="00AE0893" w:rsidRPr="00AE0893">
        <w:rPr>
          <w:rFonts w:ascii="Arial" w:hAnsi="Arial" w:cs="Arial"/>
        </w:rPr>
        <w:t xml:space="preserve">On 24 December 2018, the Regulation (EU) 2018/1999 </w:t>
      </w:r>
      <w:r w:rsidR="00AE0893">
        <w:rPr>
          <w:rFonts w:ascii="Arial" w:hAnsi="Arial" w:cs="Arial"/>
        </w:rPr>
        <w:t>(</w:t>
      </w:r>
      <w:r w:rsidR="00AE0893" w:rsidRPr="00AE0893">
        <w:rPr>
          <w:rFonts w:ascii="Arial" w:hAnsi="Arial" w:cs="Arial"/>
        </w:rPr>
        <w:t>Governance Regulation</w:t>
      </w:r>
      <w:r w:rsidR="00AE0893">
        <w:rPr>
          <w:rFonts w:ascii="Arial" w:hAnsi="Arial" w:cs="Arial"/>
        </w:rPr>
        <w:t xml:space="preserve">) </w:t>
      </w:r>
      <w:r w:rsidR="00AE0893" w:rsidRPr="00AE0893">
        <w:rPr>
          <w:rFonts w:ascii="Arial" w:hAnsi="Arial" w:cs="Arial"/>
        </w:rPr>
        <w:t>entered into force</w:t>
      </w:r>
      <w:r w:rsidR="00AE0893">
        <w:rPr>
          <w:rFonts w:ascii="Arial" w:hAnsi="Arial" w:cs="Arial"/>
        </w:rPr>
        <w:t xml:space="preserve">  and introduced the</w:t>
      </w:r>
      <w:r w:rsidR="00AE0893" w:rsidRPr="00AE0893">
        <w:rPr>
          <w:rFonts w:ascii="Arial" w:hAnsi="Arial" w:cs="Arial"/>
        </w:rPr>
        <w:t xml:space="preserve"> </w:t>
      </w:r>
      <w:hyperlink r:id="rId16" w:history="1">
        <w:r w:rsidR="00AE0893" w:rsidRPr="00AE0893">
          <w:rPr>
            <w:rStyle w:val="Hyperlink"/>
            <w:rFonts w:ascii="Arial" w:hAnsi="Arial" w:cs="Arial"/>
          </w:rPr>
          <w:t>governance system of the Energy Union and Climate Action</w:t>
        </w:r>
      </w:hyperlink>
      <w:r w:rsidR="00AE0893" w:rsidRPr="00AE0893">
        <w:rPr>
          <w:rFonts w:ascii="Arial" w:hAnsi="Arial" w:cs="Arial"/>
        </w:rPr>
        <w:t xml:space="preserve">. The Governance Regulation provides the European Union with a new regulatory regime for renewable energies and energy efficiency. It </w:t>
      </w:r>
      <w:r w:rsidR="00AE0893">
        <w:rPr>
          <w:rFonts w:ascii="Arial" w:hAnsi="Arial" w:cs="Arial"/>
        </w:rPr>
        <w:t>is deemed an</w:t>
      </w:r>
      <w:r w:rsidR="00AE0893" w:rsidRPr="00AE0893">
        <w:rPr>
          <w:rFonts w:ascii="Arial" w:hAnsi="Arial" w:cs="Arial"/>
        </w:rPr>
        <w:t xml:space="preserve"> ‘Umbrella Regulation’ </w:t>
      </w:r>
      <w:r w:rsidR="00AE0893">
        <w:rPr>
          <w:rFonts w:ascii="Arial" w:hAnsi="Arial" w:cs="Arial"/>
        </w:rPr>
        <w:t xml:space="preserve">aiming at the </w:t>
      </w:r>
      <w:r w:rsidR="008902C9">
        <w:rPr>
          <w:rFonts w:ascii="Arial" w:hAnsi="Arial" w:cs="Arial"/>
        </w:rPr>
        <w:t xml:space="preserve">alignment </w:t>
      </w:r>
      <w:r w:rsidR="008902C9" w:rsidRPr="00AE0893">
        <w:rPr>
          <w:rFonts w:ascii="Arial" w:hAnsi="Arial" w:cs="Arial"/>
        </w:rPr>
        <w:t>of</w:t>
      </w:r>
      <w:r w:rsidR="00AE0893" w:rsidRPr="00AE0893">
        <w:rPr>
          <w:rFonts w:ascii="Arial" w:hAnsi="Arial" w:cs="Arial"/>
        </w:rPr>
        <w:t xml:space="preserve"> energy and climate policies for the period 2021 to 2030. Its target is to implement the climate protection goals of the Paris Agreement. </w:t>
      </w:r>
      <w:r w:rsidR="00AE0893">
        <w:rPr>
          <w:rFonts w:ascii="Arial" w:hAnsi="Arial" w:cs="Arial"/>
        </w:rPr>
        <w:t>It has been noted that the Governance Regulation</w:t>
      </w:r>
      <w:r w:rsidR="00AE0893" w:rsidRPr="00AE0893">
        <w:rPr>
          <w:rFonts w:ascii="Arial" w:hAnsi="Arial" w:cs="Arial"/>
        </w:rPr>
        <w:t xml:space="preserve"> represents a compromise and compensation for the </w:t>
      </w:r>
      <w:r w:rsidR="00AE0893">
        <w:rPr>
          <w:rFonts w:ascii="Arial" w:hAnsi="Arial" w:cs="Arial"/>
        </w:rPr>
        <w:t>EU’s</w:t>
      </w:r>
      <w:r w:rsidR="00AE0893" w:rsidRPr="00AE0893">
        <w:rPr>
          <w:rFonts w:ascii="Arial" w:hAnsi="Arial" w:cs="Arial"/>
        </w:rPr>
        <w:t xml:space="preserve"> lack of competences in the area of energy supply, especially concerning the determination of the energy mix of the Member States. </w:t>
      </w:r>
    </w:p>
    <w:p w14:paraId="114617D4" w14:textId="39174EAC" w:rsidR="00AE0893" w:rsidRDefault="00FB0677" w:rsidP="00FB0677">
      <w:pPr>
        <w:pStyle w:val="ListParagraph"/>
        <w:numPr>
          <w:ilvl w:val="0"/>
          <w:numId w:val="1"/>
        </w:numPr>
        <w:jc w:val="both"/>
        <w:rPr>
          <w:rFonts w:ascii="Georgia" w:hAnsi="Georgia"/>
          <w:color w:val="000000"/>
          <w:sz w:val="27"/>
          <w:szCs w:val="27"/>
          <w:shd w:val="clear" w:color="auto" w:fill="FFFFFF"/>
        </w:rPr>
      </w:pPr>
      <w:r>
        <w:rPr>
          <w:rFonts w:ascii="Arial" w:hAnsi="Arial" w:cs="Arial"/>
        </w:rPr>
        <w:t>It is argued that d</w:t>
      </w:r>
      <w:r w:rsidR="00AE0893" w:rsidRPr="00AE0893">
        <w:rPr>
          <w:rFonts w:ascii="Arial" w:hAnsi="Arial" w:cs="Arial"/>
        </w:rPr>
        <w:t xml:space="preserve">espite </w:t>
      </w:r>
      <w:r w:rsidR="00AE0893">
        <w:rPr>
          <w:rFonts w:ascii="Arial" w:hAnsi="Arial" w:cs="Arial"/>
        </w:rPr>
        <w:t>the choice of a directly applicable act</w:t>
      </w:r>
      <w:r>
        <w:rPr>
          <w:rFonts w:ascii="Arial" w:hAnsi="Arial" w:cs="Arial"/>
        </w:rPr>
        <w:t xml:space="preserve"> (Regulation)</w:t>
      </w:r>
      <w:r w:rsidR="00AE0893" w:rsidRPr="00AE0893">
        <w:rPr>
          <w:rFonts w:ascii="Arial" w:hAnsi="Arial" w:cs="Arial"/>
        </w:rPr>
        <w:t>, its steering and sanctioning mechanisms are in this respect rather ‘soft’: The Regulation gives the Member States a wide scope of decision</w:t>
      </w:r>
      <w:r w:rsidR="00AE0893">
        <w:rPr>
          <w:rFonts w:ascii="Georgia" w:hAnsi="Georgia"/>
          <w:color w:val="000000"/>
          <w:sz w:val="27"/>
          <w:szCs w:val="27"/>
          <w:shd w:val="clear" w:color="auto" w:fill="FFFFFF"/>
        </w:rPr>
        <w:t>-</w:t>
      </w:r>
      <w:r w:rsidR="00AE0893" w:rsidRPr="00AE0893">
        <w:rPr>
          <w:rFonts w:ascii="Arial" w:hAnsi="Arial" w:cs="Arial"/>
        </w:rPr>
        <w:t>making.</w:t>
      </w:r>
      <w:r w:rsidR="00AE0893">
        <w:rPr>
          <w:rFonts w:ascii="Georgia" w:hAnsi="Georgia"/>
          <w:color w:val="000000"/>
          <w:sz w:val="27"/>
          <w:szCs w:val="27"/>
          <w:shd w:val="clear" w:color="auto" w:fill="FFFFFF"/>
        </w:rPr>
        <w:t> </w:t>
      </w:r>
      <w:r w:rsidRPr="00FB0677">
        <w:rPr>
          <w:rFonts w:ascii="Arial" w:hAnsi="Arial" w:cs="Arial"/>
        </w:rPr>
        <w:t>Do you agree ?</w:t>
      </w:r>
      <w:r>
        <w:rPr>
          <w:rFonts w:ascii="Arial" w:hAnsi="Arial" w:cs="Arial"/>
        </w:rPr>
        <w:t xml:space="preserve"> Provide your answer taking into consideration the Communication from the Commission (</w:t>
      </w:r>
      <w:hyperlink r:id="rId17" w:history="1">
        <w:r w:rsidRPr="00FB0677">
          <w:rPr>
            <w:rStyle w:val="Hyperlink"/>
            <w:shd w:val="clear" w:color="auto" w:fill="FFFFFF"/>
          </w:rPr>
          <w:t>COM(2019) 285 final</w:t>
        </w:r>
        <w:r w:rsidRPr="00FB0677">
          <w:rPr>
            <w:rStyle w:val="Hyperlink"/>
            <w:rFonts w:ascii="Arial" w:hAnsi="Arial" w:cs="Arial"/>
          </w:rPr>
          <w:t>)</w:t>
        </w:r>
      </w:hyperlink>
      <w:r>
        <w:rPr>
          <w:color w:val="000000"/>
          <w:shd w:val="clear" w:color="auto" w:fill="FFFFFF"/>
        </w:rPr>
        <w:t xml:space="preserve"> </w:t>
      </w:r>
      <w:r w:rsidRPr="00FB0677">
        <w:rPr>
          <w:rFonts w:ascii="Arial" w:hAnsi="Arial" w:cs="Arial"/>
        </w:rPr>
        <w:t>and the good practice examples provided therein.</w:t>
      </w:r>
    </w:p>
    <w:p w14:paraId="4C4590A9" w14:textId="38BE71EE" w:rsidR="00AE0893" w:rsidRDefault="00AE0893" w:rsidP="00AE0893">
      <w:pPr>
        <w:pStyle w:val="ListParagraph"/>
        <w:numPr>
          <w:ilvl w:val="0"/>
          <w:numId w:val="1"/>
        </w:numPr>
        <w:jc w:val="both"/>
        <w:rPr>
          <w:rFonts w:ascii="Georgia" w:hAnsi="Georgia"/>
          <w:color w:val="000000"/>
          <w:sz w:val="27"/>
          <w:szCs w:val="27"/>
          <w:shd w:val="clear" w:color="auto" w:fill="FFFFFF"/>
        </w:rPr>
      </w:pPr>
      <w:r w:rsidRPr="00AE0893">
        <w:rPr>
          <w:rFonts w:ascii="Arial" w:hAnsi="Arial" w:cs="Arial"/>
        </w:rPr>
        <w:t>What are the components of the governance mechanism of the Energy Union ? What are the challenges for each ? Is this mechanism</w:t>
      </w:r>
      <w:r w:rsidR="00615B0C">
        <w:rPr>
          <w:rFonts w:ascii="Arial" w:hAnsi="Arial" w:cs="Arial"/>
        </w:rPr>
        <w:t xml:space="preserve"> (as a long-term planning governance model)</w:t>
      </w:r>
      <w:r w:rsidRPr="00AE0893">
        <w:rPr>
          <w:rFonts w:ascii="Arial" w:hAnsi="Arial" w:cs="Arial"/>
        </w:rPr>
        <w:t xml:space="preserve"> suited for </w:t>
      </w:r>
      <w:r w:rsidR="00615B0C">
        <w:rPr>
          <w:rFonts w:ascii="Arial" w:hAnsi="Arial" w:cs="Arial"/>
        </w:rPr>
        <w:t xml:space="preserve">directly </w:t>
      </w:r>
      <w:r w:rsidRPr="00AE0893">
        <w:rPr>
          <w:rFonts w:ascii="Arial" w:hAnsi="Arial" w:cs="Arial"/>
        </w:rPr>
        <w:t xml:space="preserve">addressing emergency </w:t>
      </w:r>
      <w:r w:rsidR="00615B0C" w:rsidRPr="00AE0893">
        <w:rPr>
          <w:rFonts w:ascii="Arial" w:hAnsi="Arial" w:cs="Arial"/>
        </w:rPr>
        <w:t>situations</w:t>
      </w:r>
      <w:r w:rsidR="00615B0C" w:rsidRPr="00615B0C">
        <w:rPr>
          <w:rFonts w:ascii="Arial" w:hAnsi="Arial" w:cs="Arial"/>
        </w:rPr>
        <w:t>?</w:t>
      </w:r>
      <w:r w:rsidRPr="00615B0C">
        <w:rPr>
          <w:rFonts w:ascii="Arial" w:hAnsi="Arial" w:cs="Arial"/>
        </w:rPr>
        <w:t xml:space="preserve">  </w:t>
      </w:r>
      <w:r w:rsidR="00FB0677">
        <w:rPr>
          <w:rFonts w:ascii="Arial" w:hAnsi="Arial" w:cs="Arial"/>
        </w:rPr>
        <w:t xml:space="preserve"> </w:t>
      </w:r>
    </w:p>
    <w:p w14:paraId="638F7997" w14:textId="77777777" w:rsidR="00615B0C" w:rsidRDefault="00615B0C" w:rsidP="00615B0C">
      <w:pPr>
        <w:pStyle w:val="ListParagraph"/>
        <w:jc w:val="both"/>
        <w:rPr>
          <w:rFonts w:ascii="Georgia" w:hAnsi="Georgia"/>
          <w:color w:val="000000"/>
          <w:sz w:val="27"/>
          <w:szCs w:val="27"/>
          <w:shd w:val="clear" w:color="auto" w:fill="FFFFFF"/>
        </w:rPr>
      </w:pPr>
    </w:p>
    <w:p w14:paraId="0A3B71EB" w14:textId="77777777" w:rsidR="00615B0C" w:rsidRPr="00615B0C" w:rsidRDefault="00615B0C" w:rsidP="00174A43">
      <w:pPr>
        <w:pStyle w:val="NormalWeb"/>
        <w:pBdr>
          <w:top w:val="single" w:sz="4" w:space="1" w:color="auto"/>
          <w:left w:val="single" w:sz="4" w:space="4" w:color="auto"/>
          <w:bottom w:val="single" w:sz="4" w:space="1" w:color="auto"/>
          <w:right w:val="single" w:sz="4" w:space="4" w:color="auto"/>
        </w:pBdr>
        <w:shd w:val="clear" w:color="auto" w:fill="E8E8E8" w:themeFill="background2"/>
        <w:spacing w:before="0" w:beforeAutospacing="0" w:after="0" w:afterAutospacing="0"/>
        <w:ind w:left="360"/>
        <w:rPr>
          <w:rStyle w:val="Strong"/>
          <w:rFonts w:ascii="Roboto" w:hAnsi="Roboto"/>
          <w:b w:val="0"/>
          <w:bCs w:val="0"/>
          <w:color w:val="111111"/>
          <w:sz w:val="22"/>
          <w:szCs w:val="22"/>
        </w:rPr>
      </w:pPr>
    </w:p>
    <w:p w14:paraId="5358A6C5" w14:textId="005BF19D" w:rsidR="00615B0C" w:rsidRPr="00174A43" w:rsidRDefault="00615B0C" w:rsidP="00174A43">
      <w:pPr>
        <w:pStyle w:val="NormalWeb"/>
        <w:pBdr>
          <w:top w:val="single" w:sz="4" w:space="1" w:color="auto"/>
          <w:left w:val="single" w:sz="4" w:space="4" w:color="auto"/>
          <w:bottom w:val="single" w:sz="4" w:space="1" w:color="auto"/>
          <w:right w:val="single" w:sz="4" w:space="4" w:color="auto"/>
        </w:pBdr>
        <w:shd w:val="clear" w:color="auto" w:fill="E8E8E8" w:themeFill="background2"/>
        <w:spacing w:before="0" w:beforeAutospacing="0" w:after="0" w:afterAutospacing="0"/>
        <w:ind w:left="360"/>
        <w:rPr>
          <w:rStyle w:val="Strong"/>
          <w:rFonts w:ascii="Roboto" w:hAnsi="Roboto"/>
          <w:color w:val="111111"/>
          <w:sz w:val="22"/>
          <w:szCs w:val="22"/>
        </w:rPr>
      </w:pPr>
      <w:r w:rsidRPr="00174A43">
        <w:rPr>
          <w:rStyle w:val="Strong"/>
          <w:rFonts w:ascii="Roboto" w:hAnsi="Roboto"/>
          <w:color w:val="111111"/>
          <w:sz w:val="22"/>
          <w:szCs w:val="22"/>
        </w:rPr>
        <w:t xml:space="preserve">Elements for answer : </w:t>
      </w:r>
    </w:p>
    <w:p w14:paraId="7D0B6CEC" w14:textId="77777777" w:rsidR="00615B0C" w:rsidRPr="00615B0C" w:rsidRDefault="00615B0C" w:rsidP="00174A43">
      <w:pPr>
        <w:pStyle w:val="NormalWeb"/>
        <w:pBdr>
          <w:top w:val="single" w:sz="4" w:space="1" w:color="auto"/>
          <w:left w:val="single" w:sz="4" w:space="4" w:color="auto"/>
          <w:bottom w:val="single" w:sz="4" w:space="1" w:color="auto"/>
          <w:right w:val="single" w:sz="4" w:space="4" w:color="auto"/>
        </w:pBdr>
        <w:shd w:val="clear" w:color="auto" w:fill="E8E8E8" w:themeFill="background2"/>
        <w:spacing w:before="0" w:beforeAutospacing="0" w:after="0" w:afterAutospacing="0"/>
        <w:ind w:left="360"/>
        <w:rPr>
          <w:rStyle w:val="Strong"/>
          <w:rFonts w:ascii="Roboto" w:hAnsi="Roboto"/>
          <w:b w:val="0"/>
          <w:bCs w:val="0"/>
          <w:color w:val="111111"/>
          <w:sz w:val="22"/>
          <w:szCs w:val="22"/>
        </w:rPr>
      </w:pPr>
    </w:p>
    <w:p w14:paraId="211F4289" w14:textId="77777777" w:rsidR="00615B0C" w:rsidRDefault="00615B0C" w:rsidP="00174A43">
      <w:pPr>
        <w:pStyle w:val="NormalWeb"/>
        <w:numPr>
          <w:ilvl w:val="0"/>
          <w:numId w:val="7"/>
        </w:numPr>
        <w:pBdr>
          <w:top w:val="single" w:sz="4" w:space="1" w:color="auto"/>
          <w:left w:val="single" w:sz="4" w:space="4" w:color="auto"/>
          <w:bottom w:val="single" w:sz="4" w:space="1" w:color="auto"/>
          <w:right w:val="single" w:sz="4" w:space="4" w:color="auto"/>
        </w:pBdr>
        <w:shd w:val="clear" w:color="auto" w:fill="E8E8E8" w:themeFill="background2"/>
        <w:spacing w:before="0" w:beforeAutospacing="0" w:after="0" w:afterAutospacing="0"/>
        <w:rPr>
          <w:rFonts w:ascii="Roboto" w:hAnsi="Roboto"/>
          <w:color w:val="111111"/>
          <w:sz w:val="22"/>
          <w:szCs w:val="22"/>
        </w:rPr>
      </w:pPr>
      <w:r w:rsidRPr="00615B0C">
        <w:rPr>
          <w:rStyle w:val="Strong"/>
          <w:rFonts w:ascii="Roboto" w:eastAsiaTheme="majorEastAsia" w:hAnsi="Roboto"/>
          <w:color w:val="111111"/>
          <w:sz w:val="22"/>
          <w:szCs w:val="22"/>
        </w:rPr>
        <w:t>Crisis Response Coordination</w:t>
      </w:r>
      <w:r w:rsidRPr="00615B0C">
        <w:rPr>
          <w:rFonts w:ascii="Roboto" w:hAnsi="Roboto"/>
          <w:color w:val="111111"/>
          <w:sz w:val="22"/>
          <w:szCs w:val="22"/>
        </w:rPr>
        <w:t xml:space="preserve">: Although </w:t>
      </w:r>
      <w:r w:rsidRPr="00615B0C">
        <w:rPr>
          <w:rFonts w:ascii="Roboto" w:hAnsi="Roboto"/>
          <w:color w:val="111111"/>
          <w:sz w:val="22"/>
          <w:szCs w:val="22"/>
          <w:u w:val="single"/>
        </w:rPr>
        <w:t>not explicitly designed for emergencies</w:t>
      </w:r>
      <w:r w:rsidRPr="00615B0C">
        <w:rPr>
          <w:rFonts w:ascii="Roboto" w:hAnsi="Roboto"/>
          <w:color w:val="111111"/>
          <w:sz w:val="22"/>
          <w:szCs w:val="22"/>
        </w:rPr>
        <w:t>, the Energy Union encourages coordination among Member States. This coordination could extend to crisis response efforts. For example, cross-border energy cooperation can help ensure energy security during emergencies.</w:t>
      </w:r>
    </w:p>
    <w:p w14:paraId="6737EBC7" w14:textId="77777777" w:rsidR="00615B0C" w:rsidRDefault="00615B0C" w:rsidP="00174A43">
      <w:pPr>
        <w:pStyle w:val="NormalWeb"/>
        <w:pBdr>
          <w:top w:val="single" w:sz="4" w:space="1" w:color="auto"/>
          <w:left w:val="single" w:sz="4" w:space="4" w:color="auto"/>
          <w:bottom w:val="single" w:sz="4" w:space="1" w:color="auto"/>
          <w:right w:val="single" w:sz="4" w:space="4" w:color="auto"/>
        </w:pBdr>
        <w:shd w:val="clear" w:color="auto" w:fill="E8E8E8" w:themeFill="background2"/>
        <w:spacing w:before="0" w:beforeAutospacing="0" w:after="0" w:afterAutospacing="0"/>
        <w:ind w:left="360"/>
        <w:rPr>
          <w:rFonts w:ascii="Roboto" w:hAnsi="Roboto"/>
          <w:color w:val="111111"/>
          <w:sz w:val="22"/>
          <w:szCs w:val="22"/>
        </w:rPr>
      </w:pPr>
    </w:p>
    <w:p w14:paraId="351483E5" w14:textId="77777777" w:rsidR="00615B0C" w:rsidRPr="00615B0C" w:rsidRDefault="00615B0C" w:rsidP="00174A43">
      <w:pPr>
        <w:pStyle w:val="NormalWeb"/>
        <w:numPr>
          <w:ilvl w:val="0"/>
          <w:numId w:val="7"/>
        </w:numPr>
        <w:pBdr>
          <w:top w:val="single" w:sz="4" w:space="1" w:color="auto"/>
          <w:left w:val="single" w:sz="4" w:space="4" w:color="auto"/>
          <w:bottom w:val="single" w:sz="4" w:space="1" w:color="auto"/>
          <w:right w:val="single" w:sz="4" w:space="4" w:color="auto"/>
        </w:pBdr>
        <w:shd w:val="clear" w:color="auto" w:fill="E8E8E8" w:themeFill="background2"/>
        <w:spacing w:before="0" w:beforeAutospacing="0" w:after="0" w:afterAutospacing="0"/>
        <w:rPr>
          <w:rFonts w:ascii="Roboto" w:hAnsi="Roboto"/>
          <w:color w:val="111111"/>
          <w:sz w:val="22"/>
          <w:szCs w:val="22"/>
        </w:rPr>
      </w:pPr>
      <w:r w:rsidRPr="00615B0C">
        <w:rPr>
          <w:rStyle w:val="Strong"/>
          <w:rFonts w:ascii="Roboto" w:eastAsiaTheme="majorEastAsia" w:hAnsi="Roboto"/>
          <w:color w:val="111111"/>
          <w:sz w:val="22"/>
          <w:szCs w:val="22"/>
        </w:rPr>
        <w:t>Flexibility and Adaptability</w:t>
      </w:r>
      <w:r w:rsidRPr="00615B0C">
        <w:rPr>
          <w:rFonts w:ascii="Roboto" w:hAnsi="Roboto"/>
          <w:color w:val="111111"/>
          <w:sz w:val="22"/>
          <w:szCs w:val="22"/>
        </w:rPr>
        <w:t>: The governance mechanism emphasizes adaptability</w:t>
      </w:r>
      <w:r>
        <w:rPr>
          <w:rFonts w:ascii="Roboto" w:hAnsi="Roboto"/>
          <w:color w:val="111111"/>
          <w:sz w:val="22"/>
          <w:szCs w:val="22"/>
        </w:rPr>
        <w:t xml:space="preserve"> allowing </w:t>
      </w:r>
      <w:r w:rsidRPr="00615B0C">
        <w:rPr>
          <w:rFonts w:ascii="Roboto" w:hAnsi="Roboto"/>
          <w:color w:val="111111"/>
          <w:sz w:val="22"/>
          <w:szCs w:val="22"/>
        </w:rPr>
        <w:t xml:space="preserve"> for adjustments based on changing circumstances. During emergencies (such as supply disruptions), Member States can modify their plans to address immediate needs.</w:t>
      </w:r>
    </w:p>
    <w:p w14:paraId="28313F07" w14:textId="092C6C79" w:rsidR="00615B0C" w:rsidRDefault="00615B0C" w:rsidP="00174A43">
      <w:pPr>
        <w:pStyle w:val="NormalWeb"/>
        <w:numPr>
          <w:ilvl w:val="0"/>
          <w:numId w:val="7"/>
        </w:numPr>
        <w:pBdr>
          <w:top w:val="single" w:sz="4" w:space="1" w:color="auto"/>
          <w:left w:val="single" w:sz="4" w:space="4" w:color="auto"/>
          <w:bottom w:val="single" w:sz="4" w:space="1" w:color="auto"/>
          <w:right w:val="single" w:sz="4" w:space="4" w:color="auto"/>
        </w:pBdr>
        <w:shd w:val="clear" w:color="auto" w:fill="E8E8E8" w:themeFill="background2"/>
        <w:spacing w:before="180" w:beforeAutospacing="0" w:after="0" w:afterAutospacing="0"/>
        <w:rPr>
          <w:rFonts w:ascii="Roboto" w:hAnsi="Roboto"/>
          <w:color w:val="111111"/>
          <w:sz w:val="22"/>
          <w:szCs w:val="22"/>
        </w:rPr>
      </w:pPr>
      <w:r w:rsidRPr="00615B0C">
        <w:rPr>
          <w:rStyle w:val="Strong"/>
          <w:rFonts w:ascii="Roboto" w:eastAsiaTheme="majorEastAsia" w:hAnsi="Roboto"/>
          <w:color w:val="111111"/>
          <w:sz w:val="22"/>
          <w:szCs w:val="22"/>
        </w:rPr>
        <w:t>Emergency Resilience Measures</w:t>
      </w:r>
      <w:r w:rsidRPr="00615B0C">
        <w:rPr>
          <w:rFonts w:ascii="Roboto" w:hAnsi="Roboto"/>
          <w:color w:val="111111"/>
          <w:sz w:val="22"/>
          <w:szCs w:val="22"/>
        </w:rPr>
        <w:t xml:space="preserve">: The governance mechanism includes provisions for energy security and resilience. Member States’ </w:t>
      </w:r>
      <w:hyperlink r:id="rId18" w:history="1">
        <w:r w:rsidRPr="00615B0C">
          <w:rPr>
            <w:rStyle w:val="Hyperlink"/>
            <w:rFonts w:ascii="Roboto" w:hAnsi="Roboto"/>
            <w:sz w:val="22"/>
            <w:szCs w:val="22"/>
          </w:rPr>
          <w:t>National Energy and Climate Plans</w:t>
        </w:r>
      </w:hyperlink>
      <w:r w:rsidRPr="00615B0C">
        <w:rPr>
          <w:rFonts w:ascii="Roboto" w:hAnsi="Roboto"/>
          <w:color w:val="111111"/>
          <w:sz w:val="22"/>
          <w:szCs w:val="22"/>
        </w:rPr>
        <w:t xml:space="preserve"> address energy infrastructure, diversification, and risk management. These measures </w:t>
      </w:r>
      <w:r w:rsidRPr="00615B0C">
        <w:rPr>
          <w:rFonts w:ascii="Roboto" w:hAnsi="Roboto"/>
          <w:color w:val="111111"/>
          <w:sz w:val="22"/>
          <w:szCs w:val="22"/>
          <w:u w:val="single"/>
        </w:rPr>
        <w:t>indirectly</w:t>
      </w:r>
      <w:r w:rsidRPr="00615B0C">
        <w:rPr>
          <w:rFonts w:ascii="Roboto" w:hAnsi="Roboto"/>
          <w:color w:val="111111"/>
          <w:sz w:val="22"/>
          <w:szCs w:val="22"/>
        </w:rPr>
        <w:t xml:space="preserve"> contribute to emergency preparedness. </w:t>
      </w:r>
    </w:p>
    <w:p w14:paraId="4BC67D45" w14:textId="7E8DFD09" w:rsidR="00615B0C" w:rsidRPr="00615B0C" w:rsidRDefault="00615B0C" w:rsidP="00174A43">
      <w:pPr>
        <w:pStyle w:val="NormalWeb"/>
        <w:numPr>
          <w:ilvl w:val="0"/>
          <w:numId w:val="7"/>
        </w:numPr>
        <w:pBdr>
          <w:top w:val="single" w:sz="4" w:space="1" w:color="auto"/>
          <w:left w:val="single" w:sz="4" w:space="4" w:color="auto"/>
          <w:bottom w:val="single" w:sz="4" w:space="1" w:color="auto"/>
          <w:right w:val="single" w:sz="4" w:space="4" w:color="auto"/>
        </w:pBdr>
        <w:shd w:val="clear" w:color="auto" w:fill="E8E8E8" w:themeFill="background2"/>
        <w:spacing w:before="180" w:beforeAutospacing="0" w:after="0" w:afterAutospacing="0"/>
        <w:rPr>
          <w:rFonts w:ascii="Roboto" w:hAnsi="Roboto"/>
          <w:color w:val="111111"/>
          <w:sz w:val="22"/>
          <w:szCs w:val="22"/>
        </w:rPr>
      </w:pPr>
      <w:r w:rsidRPr="00615B0C">
        <w:rPr>
          <w:rStyle w:val="Strong"/>
          <w:rFonts w:ascii="Roboto" w:eastAsiaTheme="majorEastAsia" w:hAnsi="Roboto"/>
          <w:color w:val="111111"/>
          <w:sz w:val="22"/>
          <w:szCs w:val="22"/>
        </w:rPr>
        <w:lastRenderedPageBreak/>
        <w:t>Transparency and Information Sharing</w:t>
      </w:r>
      <w:r w:rsidRPr="00615B0C">
        <w:rPr>
          <w:rFonts w:ascii="Roboto" w:hAnsi="Roboto"/>
          <w:color w:val="111111"/>
          <w:sz w:val="22"/>
          <w:szCs w:val="22"/>
        </w:rPr>
        <w:t>: Transparency is crucial during emergencies. The governance process involves reporting and monitoring, which can facilitate information sharing. Timely data exchange can aid decision-making during crises.</w:t>
      </w:r>
    </w:p>
    <w:p w14:paraId="3F0AB917" w14:textId="3D3BB5A9" w:rsidR="00615B0C" w:rsidRDefault="00615B0C" w:rsidP="00174A43">
      <w:pPr>
        <w:pStyle w:val="NormalWeb"/>
        <w:pBdr>
          <w:top w:val="single" w:sz="4" w:space="1" w:color="auto"/>
          <w:left w:val="single" w:sz="4" w:space="4" w:color="auto"/>
          <w:bottom w:val="single" w:sz="4" w:space="1" w:color="auto"/>
          <w:right w:val="single" w:sz="4" w:space="4" w:color="auto"/>
        </w:pBdr>
        <w:shd w:val="clear" w:color="auto" w:fill="E8E8E8" w:themeFill="background2"/>
        <w:spacing w:before="180" w:beforeAutospacing="0" w:after="0" w:afterAutospacing="0"/>
        <w:ind w:left="360"/>
        <w:rPr>
          <w:rFonts w:ascii="Roboto" w:hAnsi="Roboto"/>
          <w:color w:val="111111"/>
          <w:sz w:val="22"/>
          <w:szCs w:val="22"/>
        </w:rPr>
      </w:pPr>
      <w:r w:rsidRPr="00FB0677">
        <w:rPr>
          <w:rFonts w:ascii="Roboto" w:hAnsi="Roboto"/>
          <w:color w:val="111111"/>
          <w:sz w:val="22"/>
          <w:szCs w:val="22"/>
        </w:rPr>
        <w:t>However, there are</w:t>
      </w:r>
      <w:r w:rsidR="00B82550">
        <w:rPr>
          <w:rFonts w:ascii="Roboto" w:hAnsi="Roboto"/>
          <w:color w:val="111111"/>
          <w:sz w:val="22"/>
          <w:szCs w:val="22"/>
        </w:rPr>
        <w:t xml:space="preserve"> certain </w:t>
      </w:r>
      <w:r w:rsidRPr="00FB0677">
        <w:rPr>
          <w:rFonts w:ascii="Roboto" w:hAnsi="Roboto"/>
          <w:color w:val="111111"/>
          <w:sz w:val="22"/>
          <w:szCs w:val="22"/>
        </w:rPr>
        <w:t xml:space="preserve"> limitations</w:t>
      </w:r>
      <w:r w:rsidR="00FB0677">
        <w:rPr>
          <w:rFonts w:ascii="Roboto" w:hAnsi="Roboto"/>
          <w:color w:val="111111"/>
          <w:sz w:val="22"/>
          <w:szCs w:val="22"/>
        </w:rPr>
        <w:t xml:space="preserve"> </w:t>
      </w:r>
      <w:r w:rsidRPr="00FB0677">
        <w:rPr>
          <w:rFonts w:ascii="Roboto" w:hAnsi="Roboto"/>
          <w:color w:val="111111"/>
          <w:sz w:val="22"/>
          <w:szCs w:val="22"/>
        </w:rPr>
        <w:t>:</w:t>
      </w:r>
      <w:r w:rsidR="00B82550">
        <w:rPr>
          <w:rFonts w:ascii="Roboto" w:hAnsi="Roboto"/>
          <w:color w:val="111111"/>
          <w:sz w:val="22"/>
          <w:szCs w:val="22"/>
        </w:rPr>
        <w:t xml:space="preserve"> </w:t>
      </w:r>
    </w:p>
    <w:p w14:paraId="5D63FFCF" w14:textId="77777777" w:rsidR="00B82550" w:rsidRDefault="00B82550" w:rsidP="00174A43">
      <w:pPr>
        <w:pStyle w:val="NormalWeb"/>
        <w:pBdr>
          <w:top w:val="single" w:sz="4" w:space="1" w:color="auto"/>
          <w:left w:val="single" w:sz="4" w:space="4" w:color="auto"/>
          <w:bottom w:val="single" w:sz="4" w:space="1" w:color="auto"/>
          <w:right w:val="single" w:sz="4" w:space="4" w:color="auto"/>
        </w:pBdr>
        <w:shd w:val="clear" w:color="auto" w:fill="E8E8E8" w:themeFill="background2"/>
        <w:spacing w:before="180" w:beforeAutospacing="0" w:after="0" w:afterAutospacing="0"/>
        <w:ind w:left="360"/>
        <w:rPr>
          <w:rFonts w:ascii="Roboto" w:hAnsi="Roboto"/>
          <w:color w:val="111111"/>
          <w:sz w:val="22"/>
          <w:szCs w:val="22"/>
        </w:rPr>
      </w:pPr>
    </w:p>
    <w:p w14:paraId="196B8791" w14:textId="77777777" w:rsidR="00615B0C" w:rsidRPr="00615B0C" w:rsidRDefault="00615B0C" w:rsidP="00174A43">
      <w:pPr>
        <w:pStyle w:val="NormalWeb"/>
        <w:numPr>
          <w:ilvl w:val="0"/>
          <w:numId w:val="8"/>
        </w:numPr>
        <w:pBdr>
          <w:top w:val="single" w:sz="4" w:space="1" w:color="auto"/>
          <w:left w:val="single" w:sz="4" w:space="4" w:color="auto"/>
          <w:bottom w:val="single" w:sz="4" w:space="1" w:color="auto"/>
          <w:right w:val="single" w:sz="4" w:space="4" w:color="auto"/>
        </w:pBdr>
        <w:shd w:val="clear" w:color="auto" w:fill="E8E8E8" w:themeFill="background2"/>
        <w:spacing w:before="0" w:beforeAutospacing="0" w:after="0" w:afterAutospacing="0"/>
        <w:rPr>
          <w:rFonts w:ascii="Roboto" w:hAnsi="Roboto"/>
          <w:color w:val="111111"/>
          <w:sz w:val="22"/>
          <w:szCs w:val="22"/>
        </w:rPr>
      </w:pPr>
      <w:r w:rsidRPr="00615B0C">
        <w:rPr>
          <w:rStyle w:val="Strong"/>
          <w:rFonts w:ascii="Roboto" w:eastAsiaTheme="majorEastAsia" w:hAnsi="Roboto"/>
          <w:color w:val="111111"/>
          <w:sz w:val="22"/>
          <w:szCs w:val="22"/>
        </w:rPr>
        <w:t>Time Horizon</w:t>
      </w:r>
      <w:r w:rsidRPr="00615B0C">
        <w:rPr>
          <w:rFonts w:ascii="Roboto" w:hAnsi="Roboto"/>
          <w:color w:val="111111"/>
          <w:sz w:val="22"/>
          <w:szCs w:val="22"/>
        </w:rPr>
        <w:t>: The Energy Union’s focus on 2030 and beyond may not align perfectly with immediate emergency response. Short-term crises require rapid actions, whereas the governance mechanism emphasizes longer-term planning cycles.</w:t>
      </w:r>
    </w:p>
    <w:p w14:paraId="4D3C81D8" w14:textId="77777777" w:rsidR="00615B0C" w:rsidRPr="00615B0C" w:rsidRDefault="00615B0C" w:rsidP="00174A43">
      <w:pPr>
        <w:pStyle w:val="NormalWeb"/>
        <w:numPr>
          <w:ilvl w:val="0"/>
          <w:numId w:val="8"/>
        </w:numPr>
        <w:pBdr>
          <w:top w:val="single" w:sz="4" w:space="1" w:color="auto"/>
          <w:left w:val="single" w:sz="4" w:space="4" w:color="auto"/>
          <w:bottom w:val="single" w:sz="4" w:space="1" w:color="auto"/>
          <w:right w:val="single" w:sz="4" w:space="4" w:color="auto"/>
        </w:pBdr>
        <w:shd w:val="clear" w:color="auto" w:fill="E8E8E8" w:themeFill="background2"/>
        <w:spacing w:before="0" w:beforeAutospacing="0" w:after="0" w:afterAutospacing="0"/>
        <w:rPr>
          <w:rFonts w:ascii="Roboto" w:hAnsi="Roboto"/>
          <w:color w:val="111111"/>
          <w:sz w:val="22"/>
          <w:szCs w:val="22"/>
        </w:rPr>
      </w:pPr>
      <w:r w:rsidRPr="00615B0C">
        <w:rPr>
          <w:rStyle w:val="Strong"/>
          <w:rFonts w:ascii="Roboto" w:eastAsiaTheme="majorEastAsia" w:hAnsi="Roboto"/>
          <w:color w:val="111111"/>
          <w:sz w:val="22"/>
          <w:szCs w:val="22"/>
        </w:rPr>
        <w:t>Emergency-Specific Mechanisms</w:t>
      </w:r>
      <w:r w:rsidRPr="00615B0C">
        <w:rPr>
          <w:rFonts w:ascii="Roboto" w:hAnsi="Roboto"/>
          <w:color w:val="111111"/>
          <w:sz w:val="22"/>
          <w:szCs w:val="22"/>
        </w:rPr>
        <w:t>: The Energy Union lacks specific mechanisms tailored exclusively for emergencies. Existing structures may need adaptation to handle acute situations effectively.</w:t>
      </w:r>
    </w:p>
    <w:p w14:paraId="491CBE5E" w14:textId="77777777" w:rsidR="00615B0C" w:rsidRDefault="00615B0C" w:rsidP="00615B0C">
      <w:pPr>
        <w:pStyle w:val="ListParagraph"/>
        <w:jc w:val="both"/>
        <w:rPr>
          <w:rFonts w:ascii="Roboto" w:hAnsi="Roboto"/>
          <w:color w:val="111111"/>
          <w:shd w:val="clear" w:color="auto" w:fill="FFFFFF"/>
        </w:rPr>
      </w:pPr>
    </w:p>
    <w:p w14:paraId="127CD697" w14:textId="2E0BAF05" w:rsidR="00DC1B0F" w:rsidRPr="003476F9" w:rsidRDefault="00DC1B0F" w:rsidP="003476F9">
      <w:pPr>
        <w:jc w:val="both"/>
        <w:rPr>
          <w:rFonts w:ascii="Arial" w:hAnsi="Arial" w:cs="Arial"/>
        </w:rPr>
      </w:pPr>
      <w:r w:rsidRPr="003476F9">
        <w:rPr>
          <w:rFonts w:ascii="Arial" w:hAnsi="Arial" w:cs="Arial"/>
        </w:rPr>
        <w:t xml:space="preserve">5: </w:t>
      </w:r>
      <w:r w:rsidRPr="003476F9">
        <w:rPr>
          <w:rFonts w:ascii="Arial" w:hAnsi="Arial" w:cs="Arial"/>
          <w:b/>
          <w:bCs/>
        </w:rPr>
        <w:t>Strengthening the Single Market</w:t>
      </w:r>
    </w:p>
    <w:p w14:paraId="5A411208" w14:textId="29FC1730" w:rsidR="00DC1B0F" w:rsidRPr="003476F9" w:rsidRDefault="00DC1B0F" w:rsidP="003476F9">
      <w:pPr>
        <w:jc w:val="both"/>
        <w:rPr>
          <w:rFonts w:ascii="Arial" w:hAnsi="Arial" w:cs="Arial"/>
        </w:rPr>
      </w:pPr>
      <w:r w:rsidRPr="003476F9">
        <w:rPr>
          <w:rFonts w:ascii="Arial" w:hAnsi="Arial" w:cs="Arial"/>
        </w:rPr>
        <w:t xml:space="preserve">The crisis tested the resilience of the </w:t>
      </w:r>
      <w:hyperlink r:id="rId19" w:history="1">
        <w:r w:rsidRPr="00BC4001">
          <w:rPr>
            <w:rStyle w:val="Hyperlink"/>
            <w:rFonts w:ascii="Arial" w:hAnsi="Arial" w:cs="Arial"/>
          </w:rPr>
          <w:t>Single Market</w:t>
        </w:r>
      </w:hyperlink>
      <w:r w:rsidRPr="003476F9">
        <w:rPr>
          <w:rFonts w:ascii="Arial" w:hAnsi="Arial" w:cs="Arial"/>
        </w:rPr>
        <w:t xml:space="preserve">, leading to central coordination of national energy policies and regulatory reforms. Price signals influenced consumer </w:t>
      </w:r>
      <w:r w:rsidR="00765F4A" w:rsidRPr="003476F9">
        <w:rPr>
          <w:rFonts w:ascii="Arial" w:hAnsi="Arial" w:cs="Arial"/>
        </w:rPr>
        <w:t>behaviour</w:t>
      </w:r>
      <w:r w:rsidRPr="003476F9">
        <w:rPr>
          <w:rFonts w:ascii="Arial" w:hAnsi="Arial" w:cs="Arial"/>
        </w:rPr>
        <w:t xml:space="preserve"> and investments in LNG infrastructure. Strengthening mutual trust among Member States and fostering regional cooperation are essential for optimizing the integrated energy market's potential.</w:t>
      </w:r>
    </w:p>
    <w:p w14:paraId="0D5D9912" w14:textId="2C718931" w:rsidR="00DC1B0F" w:rsidRPr="003476F9" w:rsidRDefault="00BC4001" w:rsidP="00BC4001">
      <w:pPr>
        <w:pStyle w:val="ListParagraph"/>
        <w:numPr>
          <w:ilvl w:val="0"/>
          <w:numId w:val="1"/>
        </w:numPr>
        <w:jc w:val="both"/>
        <w:rPr>
          <w:rFonts w:ascii="Arial" w:hAnsi="Arial" w:cs="Arial"/>
        </w:rPr>
      </w:pPr>
      <w:r>
        <w:rPr>
          <w:rFonts w:ascii="Arial" w:hAnsi="Arial" w:cs="Arial"/>
        </w:rPr>
        <w:t xml:space="preserve">Read the </w:t>
      </w:r>
      <w:hyperlink r:id="rId20" w:history="1">
        <w:r w:rsidRPr="00BC4001">
          <w:rPr>
            <w:rStyle w:val="Hyperlink"/>
            <w:rFonts w:ascii="Arial" w:hAnsi="Arial" w:cs="Arial"/>
          </w:rPr>
          <w:t>Leta Report</w:t>
        </w:r>
      </w:hyperlink>
      <w:r>
        <w:rPr>
          <w:rFonts w:ascii="Arial" w:hAnsi="Arial" w:cs="Arial"/>
        </w:rPr>
        <w:t>,</w:t>
      </w:r>
      <w:r w:rsidR="00FB0677">
        <w:rPr>
          <w:rFonts w:ascii="Arial" w:hAnsi="Arial" w:cs="Arial"/>
        </w:rPr>
        <w:t xml:space="preserve"> especially</w:t>
      </w:r>
      <w:r>
        <w:rPr>
          <w:rFonts w:ascii="Arial" w:hAnsi="Arial" w:cs="Arial"/>
        </w:rPr>
        <w:t xml:space="preserve"> at p. 61 </w:t>
      </w:r>
      <w:r w:rsidR="00174A43">
        <w:rPr>
          <w:rFonts w:ascii="Arial" w:hAnsi="Arial" w:cs="Arial"/>
        </w:rPr>
        <w:t>sqq</w:t>
      </w:r>
      <w:r>
        <w:rPr>
          <w:rFonts w:ascii="Arial" w:hAnsi="Arial" w:cs="Arial"/>
        </w:rPr>
        <w:t xml:space="preserve">: How is the link among SEM </w:t>
      </w:r>
      <w:r w:rsidR="00FB0677">
        <w:rPr>
          <w:rFonts w:ascii="Arial" w:hAnsi="Arial" w:cs="Arial"/>
        </w:rPr>
        <w:t>an</w:t>
      </w:r>
      <w:r>
        <w:rPr>
          <w:rFonts w:ascii="Arial" w:hAnsi="Arial" w:cs="Arial"/>
        </w:rPr>
        <w:t xml:space="preserve">d efficiency energy policies established :  </w:t>
      </w:r>
    </w:p>
    <w:p w14:paraId="5AC60B0C" w14:textId="25E55D77" w:rsidR="00DC1B0F" w:rsidRPr="003476F9" w:rsidRDefault="00DC1B0F" w:rsidP="003476F9">
      <w:pPr>
        <w:jc w:val="both"/>
        <w:rPr>
          <w:rFonts w:ascii="Arial" w:hAnsi="Arial" w:cs="Arial"/>
        </w:rPr>
      </w:pPr>
      <w:r w:rsidRPr="003476F9">
        <w:rPr>
          <w:rFonts w:ascii="Arial" w:hAnsi="Arial" w:cs="Arial"/>
        </w:rPr>
        <w:t xml:space="preserve">6: </w:t>
      </w:r>
      <w:r w:rsidRPr="003476F9">
        <w:rPr>
          <w:rFonts w:ascii="Arial" w:hAnsi="Arial" w:cs="Arial"/>
          <w:b/>
          <w:bCs/>
        </w:rPr>
        <w:t>Enhancing Energy Resilience</w:t>
      </w:r>
      <w:r w:rsidRPr="003476F9">
        <w:rPr>
          <w:rFonts w:ascii="Arial" w:hAnsi="Arial" w:cs="Arial"/>
        </w:rPr>
        <w:t xml:space="preserve"> </w:t>
      </w:r>
    </w:p>
    <w:p w14:paraId="7AA2BE72" w14:textId="15AE3132" w:rsidR="00DC1B0F" w:rsidRDefault="00DC1B0F" w:rsidP="003476F9">
      <w:pPr>
        <w:jc w:val="both"/>
        <w:rPr>
          <w:rFonts w:ascii="Arial" w:hAnsi="Arial" w:cs="Arial"/>
        </w:rPr>
      </w:pPr>
      <w:r w:rsidRPr="003476F9">
        <w:rPr>
          <w:rFonts w:ascii="Arial" w:hAnsi="Arial" w:cs="Arial"/>
        </w:rPr>
        <w:t>Europe must diversify energy sources, invest in clean technologies, and strengthen cybersecurity measures to fortify its energy infrastructure. Strategic reviews of the gas security framework and investments in critical materials are imperative. Coordinated market integration and policy measures are essential for a secure, sustainable energy future.</w:t>
      </w:r>
      <w:r w:rsidR="001866BF">
        <w:rPr>
          <w:rFonts w:ascii="Arial" w:hAnsi="Arial" w:cs="Arial"/>
        </w:rPr>
        <w:t xml:space="preserve"> Enhancing the energy resilience is a goal articulated before the energy crisis, through the adoption of a temporary instrument for the </w:t>
      </w:r>
      <w:r w:rsidR="001866BF">
        <w:rPr>
          <w:rFonts w:ascii="Arial" w:hAnsi="Arial" w:cs="Arial"/>
          <w:color w:val="26324B"/>
        </w:rPr>
        <w:t xml:space="preserve">economic recovery from the coronavirus </w:t>
      </w:r>
      <w:r w:rsidR="00F529A5">
        <w:rPr>
          <w:rFonts w:ascii="Arial" w:hAnsi="Arial" w:cs="Arial"/>
          <w:color w:val="26324B"/>
        </w:rPr>
        <w:t>pandemic.</w:t>
      </w:r>
      <w:r w:rsidR="001866BF">
        <w:rPr>
          <w:rFonts w:ascii="Arial" w:hAnsi="Arial" w:cs="Arial"/>
          <w:color w:val="26324B"/>
        </w:rPr>
        <w:t> </w:t>
      </w:r>
    </w:p>
    <w:p w14:paraId="75810389" w14:textId="2A8853F4" w:rsidR="00174A43" w:rsidRPr="00EC77CC" w:rsidRDefault="00174A43" w:rsidP="00174A43">
      <w:pPr>
        <w:pStyle w:val="ListParagraph"/>
        <w:numPr>
          <w:ilvl w:val="0"/>
          <w:numId w:val="1"/>
        </w:numPr>
        <w:jc w:val="both"/>
        <w:rPr>
          <w:rFonts w:ascii="Arial" w:hAnsi="Arial" w:cs="Arial"/>
        </w:rPr>
      </w:pPr>
      <w:r>
        <w:rPr>
          <w:rFonts w:ascii="Arial" w:hAnsi="Arial" w:cs="Arial"/>
        </w:rPr>
        <w:t xml:space="preserve">Read the </w:t>
      </w:r>
      <w:r>
        <w:rPr>
          <w:rFonts w:ascii="Arial" w:hAnsi="Arial" w:cs="Arial"/>
          <w:color w:val="26324B"/>
        </w:rPr>
        <w:t>Recovery and Resilience Facility (RRF) – the  temporary instrument  that is the centrepiece of  </w:t>
      </w:r>
      <w:hyperlink r:id="rId21" w:history="1">
        <w:r>
          <w:rPr>
            <w:rStyle w:val="Hyperlink"/>
            <w:rFonts w:ascii="Arial" w:hAnsi="Arial" w:cs="Arial"/>
          </w:rPr>
          <w:t>NextGenerationEU</w:t>
        </w:r>
      </w:hyperlink>
      <w:r w:rsidR="00F529A5">
        <w:t xml:space="preserve"> (</w:t>
      </w:r>
      <w:r w:rsidR="00F529A5" w:rsidRPr="00EC77CC">
        <w:rPr>
          <w:rFonts w:ascii="Arial" w:hAnsi="Arial" w:cs="Arial"/>
          <w:color w:val="26324B"/>
        </w:rPr>
        <w:t>NGEU</w:t>
      </w:r>
      <w:r w:rsidR="00F529A5">
        <w:t>)</w:t>
      </w:r>
      <w:r>
        <w:rPr>
          <w:rFonts w:ascii="Arial" w:hAnsi="Arial" w:cs="Arial"/>
          <w:color w:val="26324B"/>
        </w:rPr>
        <w:t xml:space="preserve"> -the EU’s plan to emerge stronger and more resilient from the </w:t>
      </w:r>
      <w:r w:rsidR="001866BF">
        <w:rPr>
          <w:rFonts w:ascii="Arial" w:hAnsi="Arial" w:cs="Arial"/>
          <w:color w:val="26324B"/>
        </w:rPr>
        <w:t>pandemic</w:t>
      </w:r>
      <w:r>
        <w:rPr>
          <w:rFonts w:ascii="Arial" w:hAnsi="Arial" w:cs="Arial"/>
          <w:color w:val="26324B"/>
        </w:rPr>
        <w:t xml:space="preserve"> crisis. </w:t>
      </w:r>
      <w:r w:rsidR="001F6CD4">
        <w:rPr>
          <w:rFonts w:ascii="Arial" w:hAnsi="Arial" w:cs="Arial"/>
          <w:color w:val="26324B"/>
        </w:rPr>
        <w:t xml:space="preserve">Observe how the RRF is being implemented (see the </w:t>
      </w:r>
      <w:hyperlink r:id="rId22" w:history="1">
        <w:r w:rsidR="001F6CD4" w:rsidRPr="001F6CD4">
          <w:rPr>
            <w:rStyle w:val="Hyperlink"/>
            <w:rFonts w:ascii="Arial" w:hAnsi="Arial" w:cs="Arial"/>
          </w:rPr>
          <w:t>Recovery and Resilience scoreboard</w:t>
        </w:r>
      </w:hyperlink>
      <w:r w:rsidR="001F6CD4">
        <w:rPr>
          <w:rFonts w:ascii="Arial" w:hAnsi="Arial" w:cs="Arial"/>
          <w:color w:val="26324B"/>
        </w:rPr>
        <w:t xml:space="preserve">). </w:t>
      </w:r>
      <w:r>
        <w:rPr>
          <w:rFonts w:ascii="Arial" w:hAnsi="Arial" w:cs="Arial"/>
          <w:color w:val="26324B"/>
        </w:rPr>
        <w:t>How is t</w:t>
      </w:r>
      <w:r w:rsidRPr="00174A43">
        <w:rPr>
          <w:rFonts w:ascii="Arial" w:hAnsi="Arial" w:cs="Arial"/>
          <w:color w:val="26324B"/>
        </w:rPr>
        <w:t>he RRF is also crucial for implementing the REPowerEU plan</w:t>
      </w:r>
      <w:r>
        <w:rPr>
          <w:rFonts w:ascii="Arial" w:hAnsi="Arial" w:cs="Arial"/>
          <w:color w:val="26324B"/>
        </w:rPr>
        <w:t xml:space="preserve"> ?</w:t>
      </w:r>
    </w:p>
    <w:p w14:paraId="03E8E160" w14:textId="35E699CA" w:rsidR="00EC77CC" w:rsidRPr="00EC77CC" w:rsidRDefault="00EC77CC" w:rsidP="00EC77CC">
      <w:pPr>
        <w:pStyle w:val="ListParagraph"/>
        <w:numPr>
          <w:ilvl w:val="0"/>
          <w:numId w:val="1"/>
        </w:numPr>
        <w:jc w:val="both"/>
        <w:rPr>
          <w:rFonts w:ascii="Arial" w:hAnsi="Arial" w:cs="Arial"/>
        </w:rPr>
      </w:pPr>
      <w:r w:rsidRPr="00EC77CC">
        <w:rPr>
          <w:rFonts w:ascii="Arial" w:hAnsi="Arial" w:cs="Arial"/>
          <w:color w:val="26324B"/>
        </w:rPr>
        <w:t xml:space="preserve">Assess the view of </w:t>
      </w:r>
      <w:hyperlink r:id="rId23" w:history="1">
        <w:r w:rsidRPr="00EC77CC">
          <w:rPr>
            <w:rStyle w:val="Hyperlink"/>
            <w:rFonts w:ascii="Arial" w:hAnsi="Arial" w:cs="Arial"/>
          </w:rPr>
          <w:t>Leino-Sandberg and Ruffert</w:t>
        </w:r>
      </w:hyperlink>
      <w:r>
        <w:rPr>
          <w:rFonts w:ascii="Arial" w:hAnsi="Arial" w:cs="Arial"/>
          <w:color w:val="26324B"/>
        </w:rPr>
        <w:t xml:space="preserve"> that the </w:t>
      </w:r>
      <w:r w:rsidRPr="00EC77CC">
        <w:rPr>
          <w:rFonts w:ascii="Arial" w:hAnsi="Arial" w:cs="Arial"/>
          <w:color w:val="26324B"/>
        </w:rPr>
        <w:t>NGEU</w:t>
      </w:r>
      <w:r>
        <w:rPr>
          <w:rFonts w:ascii="Arial" w:hAnsi="Arial" w:cs="Arial"/>
          <w:color w:val="26324B"/>
        </w:rPr>
        <w:t xml:space="preserve">, although </w:t>
      </w:r>
      <w:r w:rsidRPr="00EC77CC">
        <w:rPr>
          <w:rFonts w:ascii="Arial" w:hAnsi="Arial" w:cs="Arial"/>
          <w:color w:val="26324B"/>
        </w:rPr>
        <w:t xml:space="preserve">explained as exceptional and justified </w:t>
      </w:r>
      <w:r>
        <w:rPr>
          <w:rFonts w:ascii="Arial" w:hAnsi="Arial" w:cs="Arial"/>
          <w:color w:val="26324B"/>
        </w:rPr>
        <w:t>(</w:t>
      </w:r>
      <w:r w:rsidRPr="00EC77CC">
        <w:rPr>
          <w:rFonts w:ascii="Arial" w:hAnsi="Arial" w:cs="Arial"/>
          <w:color w:val="26324B"/>
        </w:rPr>
        <w:t>with reference to the pandemic</w:t>
      </w:r>
      <w:r>
        <w:rPr>
          <w:rFonts w:ascii="Arial" w:hAnsi="Arial" w:cs="Arial"/>
          <w:color w:val="26324B"/>
        </w:rPr>
        <w:t>)</w:t>
      </w:r>
      <w:r w:rsidRPr="00EC77CC">
        <w:rPr>
          <w:rFonts w:ascii="Arial" w:hAnsi="Arial" w:cs="Arial"/>
          <w:color w:val="26324B"/>
        </w:rPr>
        <w:t xml:space="preserve">, </w:t>
      </w:r>
      <w:r>
        <w:rPr>
          <w:rFonts w:ascii="Arial" w:hAnsi="Arial" w:cs="Arial"/>
          <w:color w:val="26324B"/>
        </w:rPr>
        <w:t xml:space="preserve"> </w:t>
      </w:r>
      <w:r w:rsidRPr="00EC77CC">
        <w:rPr>
          <w:rFonts w:ascii="Arial" w:hAnsi="Arial" w:cs="Arial"/>
          <w:color w:val="26324B"/>
        </w:rPr>
        <w:t>is not a crisis measure</w:t>
      </w:r>
      <w:r>
        <w:rPr>
          <w:rFonts w:ascii="Arial" w:hAnsi="Arial" w:cs="Arial"/>
          <w:color w:val="26324B"/>
        </w:rPr>
        <w:t xml:space="preserve"> and it is establishing </w:t>
      </w:r>
      <w:r w:rsidRPr="00EC77CC">
        <w:rPr>
          <w:rFonts w:ascii="Arial" w:hAnsi="Arial" w:cs="Arial"/>
          <w:color w:val="26324B"/>
        </w:rPr>
        <w:t>a</w:t>
      </w:r>
      <w:r>
        <w:rPr>
          <w:rFonts w:ascii="Arial" w:hAnsi="Arial" w:cs="Arial"/>
          <w:color w:val="26324B"/>
        </w:rPr>
        <w:t>n anti-constitutional</w:t>
      </w:r>
      <w:r w:rsidRPr="00EC77CC">
        <w:rPr>
          <w:rFonts w:ascii="Arial" w:hAnsi="Arial" w:cs="Arial"/>
          <w:color w:val="26324B"/>
        </w:rPr>
        <w:t xml:space="preserve"> super competence</w:t>
      </w:r>
      <w:r>
        <w:rPr>
          <w:rFonts w:ascii="Arial" w:hAnsi="Arial" w:cs="Arial"/>
          <w:color w:val="26324B"/>
        </w:rPr>
        <w:t xml:space="preserve"> of the EU. </w:t>
      </w:r>
    </w:p>
    <w:p w14:paraId="56594A51" w14:textId="77777777" w:rsidR="00EC77CC" w:rsidRPr="00EC77CC" w:rsidRDefault="00EC77CC" w:rsidP="00EC77CC">
      <w:pPr>
        <w:pStyle w:val="ListParagraph"/>
        <w:jc w:val="both"/>
        <w:rPr>
          <w:rFonts w:ascii="Arial" w:hAnsi="Arial" w:cs="Arial"/>
        </w:rPr>
      </w:pPr>
    </w:p>
    <w:p w14:paraId="1E3D4E26" w14:textId="181AC737" w:rsidR="00DC1B0F" w:rsidRPr="00EC77CC" w:rsidRDefault="00DC1B0F" w:rsidP="00EC77CC">
      <w:pPr>
        <w:jc w:val="both"/>
        <w:rPr>
          <w:rFonts w:ascii="Arial" w:hAnsi="Arial" w:cs="Arial"/>
        </w:rPr>
      </w:pPr>
      <w:r w:rsidRPr="00EC77CC">
        <w:rPr>
          <w:rFonts w:ascii="Arial" w:hAnsi="Arial" w:cs="Arial"/>
        </w:rPr>
        <w:t xml:space="preserve">7: </w:t>
      </w:r>
      <w:r w:rsidRPr="00EC77CC">
        <w:rPr>
          <w:rFonts w:ascii="Arial" w:hAnsi="Arial" w:cs="Arial"/>
          <w:b/>
          <w:bCs/>
        </w:rPr>
        <w:t>Energy Prices and Security of Supply</w:t>
      </w:r>
      <w:r w:rsidR="001F6CD4" w:rsidRPr="00EC77CC">
        <w:rPr>
          <w:rFonts w:ascii="Arial" w:hAnsi="Arial" w:cs="Arial"/>
          <w:b/>
          <w:bCs/>
        </w:rPr>
        <w:t xml:space="preserve"> : Art 122 measures</w:t>
      </w:r>
    </w:p>
    <w:p w14:paraId="16803472" w14:textId="77777777" w:rsidR="000546CD" w:rsidRPr="003476F9" w:rsidRDefault="00C447A2" w:rsidP="003476F9">
      <w:pPr>
        <w:jc w:val="both"/>
        <w:rPr>
          <w:rFonts w:ascii="Arial" w:hAnsi="Arial" w:cs="Arial"/>
        </w:rPr>
      </w:pPr>
      <w:r w:rsidRPr="003476F9">
        <w:rPr>
          <w:rFonts w:ascii="Arial" w:hAnsi="Arial" w:cs="Arial"/>
        </w:rPr>
        <w:t xml:space="preserve">Emergency measures focused on diversifying supplies and enhancing gas storage reserves to ensure energy resilience. </w:t>
      </w:r>
      <w:r w:rsidR="00DC1B0F" w:rsidRPr="003476F9">
        <w:rPr>
          <w:rFonts w:ascii="Arial" w:hAnsi="Arial" w:cs="Arial"/>
        </w:rPr>
        <w:t xml:space="preserve">EU countries swiftly transitioned away from Russian fossil fuels and increased energy autonomy following the crisis. </w:t>
      </w:r>
    </w:p>
    <w:p w14:paraId="5958A4BC" w14:textId="394BD082" w:rsidR="00F8112A" w:rsidRPr="00121BA1" w:rsidRDefault="00765F4A" w:rsidP="00F8112A">
      <w:pPr>
        <w:jc w:val="both"/>
        <w:rPr>
          <w:rFonts w:ascii="Arial" w:hAnsi="Arial" w:cs="Arial"/>
          <w:sz w:val="20"/>
          <w:szCs w:val="20"/>
        </w:rPr>
      </w:pPr>
      <w:r w:rsidRPr="003476F9">
        <w:rPr>
          <w:rFonts w:ascii="Arial" w:hAnsi="Arial" w:cs="Arial"/>
        </w:rPr>
        <w:t xml:space="preserve">The European Commission was initially reluctant to interfere </w:t>
      </w:r>
      <w:r w:rsidR="001F6CD4">
        <w:rPr>
          <w:rFonts w:ascii="Arial" w:hAnsi="Arial" w:cs="Arial"/>
        </w:rPr>
        <w:t>: A</w:t>
      </w:r>
      <w:r w:rsidRPr="003476F9">
        <w:rPr>
          <w:rFonts w:ascii="Arial" w:hAnsi="Arial" w:cs="Arial"/>
        </w:rPr>
        <w:t>ction to constrain energy prices could hinder progress to its climate goals, including achieving net zero emissions by 2050). However, t</w:t>
      </w:r>
      <w:r w:rsidR="00DC1B0F" w:rsidRPr="003476F9">
        <w:rPr>
          <w:rFonts w:ascii="Arial" w:hAnsi="Arial" w:cs="Arial"/>
        </w:rPr>
        <w:t xml:space="preserve">he implementation of </w:t>
      </w:r>
      <w:hyperlink r:id="rId24" w:history="1">
        <w:r w:rsidR="00DC1B0F" w:rsidRPr="00DF6E2F">
          <w:rPr>
            <w:rStyle w:val="Hyperlink"/>
            <w:rFonts w:ascii="Arial" w:hAnsi="Arial" w:cs="Arial"/>
          </w:rPr>
          <w:t>Article 122</w:t>
        </w:r>
      </w:hyperlink>
      <w:r w:rsidR="00DC1B0F" w:rsidRPr="003476F9">
        <w:rPr>
          <w:rFonts w:ascii="Arial" w:hAnsi="Arial" w:cs="Arial"/>
        </w:rPr>
        <w:t xml:space="preserve"> legislative measures and </w:t>
      </w:r>
      <w:r w:rsidR="00F8112A">
        <w:rPr>
          <w:rFonts w:ascii="Arial" w:hAnsi="Arial" w:cs="Arial"/>
        </w:rPr>
        <w:t>t</w:t>
      </w:r>
      <w:r w:rsidR="00F8112A" w:rsidRPr="00121BA1">
        <w:rPr>
          <w:rFonts w:ascii="Arial" w:hAnsi="Arial" w:cs="Arial"/>
        </w:rPr>
        <w:t xml:space="preserve">he joint efforts of the EU member states yielded positive results, with a significant decrease in gas prices </w:t>
      </w:r>
      <w:r w:rsidR="00F8112A" w:rsidRPr="00121BA1">
        <w:rPr>
          <w:rFonts w:ascii="Arial" w:hAnsi="Arial" w:cs="Arial"/>
        </w:rPr>
        <w:lastRenderedPageBreak/>
        <w:t>towards the end of 2022 and stable prices throughout 2023. The EU successfully reduced its dependence on Russian gas, with the share of Russian gas imports dropping from 45-50% to 15%. Energy demand was also curtailed, with a notable 18% reduction in gas consumption compared to previous years.</w:t>
      </w:r>
    </w:p>
    <w:p w14:paraId="74921C28" w14:textId="77777777" w:rsidR="00D625E8" w:rsidRPr="003476F9" w:rsidRDefault="00D625E8" w:rsidP="003476F9">
      <w:pPr>
        <w:pStyle w:val="ListParagraph"/>
        <w:jc w:val="both"/>
        <w:rPr>
          <w:rFonts w:ascii="Arial" w:hAnsi="Arial" w:cs="Arial"/>
        </w:rPr>
      </w:pPr>
    </w:p>
    <w:p w14:paraId="69409DD1" w14:textId="44403F42" w:rsidR="00D625E8" w:rsidRPr="003476F9" w:rsidRDefault="00D625E8" w:rsidP="00945716">
      <w:pPr>
        <w:pStyle w:val="ListParagraph"/>
        <w:pBdr>
          <w:top w:val="single" w:sz="4" w:space="1" w:color="auto"/>
          <w:left w:val="single" w:sz="4" w:space="4" w:color="auto"/>
          <w:bottom w:val="single" w:sz="4" w:space="1" w:color="auto"/>
          <w:right w:val="single" w:sz="4" w:space="4" w:color="auto"/>
        </w:pBdr>
        <w:shd w:val="clear" w:color="auto" w:fill="E8E8E8" w:themeFill="background2"/>
        <w:jc w:val="both"/>
        <w:rPr>
          <w:rFonts w:ascii="Arial" w:hAnsi="Arial" w:cs="Arial"/>
        </w:rPr>
      </w:pPr>
      <w:r w:rsidRPr="003476F9">
        <w:rPr>
          <w:rFonts w:ascii="Arial" w:hAnsi="Arial" w:cs="Arial"/>
          <w:b/>
          <w:bCs/>
        </w:rPr>
        <w:t>Example</w:t>
      </w:r>
      <w:r w:rsidR="00945716">
        <w:rPr>
          <w:rFonts w:ascii="Arial" w:hAnsi="Arial" w:cs="Arial"/>
          <w:b/>
          <w:bCs/>
        </w:rPr>
        <w:t xml:space="preserve"> of ‘emergency’ acts</w:t>
      </w:r>
      <w:r w:rsidRPr="003476F9">
        <w:rPr>
          <w:rFonts w:ascii="Arial" w:hAnsi="Arial" w:cs="Arial"/>
          <w:b/>
          <w:bCs/>
        </w:rPr>
        <w:t>:  A)</w:t>
      </w:r>
      <w:r w:rsidRPr="003476F9">
        <w:rPr>
          <w:rFonts w:ascii="Arial" w:hAnsi="Arial" w:cs="Arial"/>
        </w:rPr>
        <w:t xml:space="preserve"> </w:t>
      </w:r>
      <w:r w:rsidR="00945716">
        <w:rPr>
          <w:rFonts w:ascii="Arial" w:hAnsi="Arial" w:cs="Arial"/>
        </w:rPr>
        <w:t>Council</w:t>
      </w:r>
      <w:r w:rsidRPr="003476F9">
        <w:rPr>
          <w:rFonts w:ascii="Arial" w:hAnsi="Arial" w:cs="Arial"/>
        </w:rPr>
        <w:t xml:space="preserve"> Regulation </w:t>
      </w:r>
      <w:r w:rsidR="00945716" w:rsidRPr="00945716">
        <w:rPr>
          <w:rFonts w:ascii="Arial" w:hAnsi="Arial" w:cs="Arial"/>
        </w:rPr>
        <w:t>(EU) 2022/1369</w:t>
      </w:r>
      <w:r w:rsidR="00945716">
        <w:rPr>
          <w:rFonts w:ascii="Arial" w:hAnsi="Arial" w:cs="Arial"/>
        </w:rPr>
        <w:t xml:space="preserve"> </w:t>
      </w:r>
      <w:r w:rsidR="00945716" w:rsidRPr="00945716">
        <w:rPr>
          <w:rFonts w:ascii="Arial" w:hAnsi="Arial" w:cs="Arial"/>
        </w:rPr>
        <w:t>of 5 August 2022</w:t>
      </w:r>
      <w:r w:rsidRPr="003476F9">
        <w:rPr>
          <w:rFonts w:ascii="Arial" w:hAnsi="Arial" w:cs="Arial"/>
        </w:rPr>
        <w:t>on the coordinated demand-reduction measures for gas (</w:t>
      </w:r>
      <w:hyperlink r:id="rId25" w:history="1">
        <w:r w:rsidRPr="003476F9">
          <w:rPr>
            <w:rStyle w:val="Hyperlink"/>
            <w:rFonts w:ascii="Arial" w:hAnsi="Arial" w:cs="Arial"/>
            <w:b/>
            <w:bCs/>
          </w:rPr>
          <w:t>Gas Demand-Reduction Regulation</w:t>
        </w:r>
      </w:hyperlink>
      <w:r w:rsidRPr="003476F9">
        <w:rPr>
          <w:rFonts w:ascii="Arial" w:hAnsi="Arial" w:cs="Arial"/>
        </w:rPr>
        <w:t xml:space="preserve">) </w:t>
      </w:r>
    </w:p>
    <w:p w14:paraId="244F2903" w14:textId="05537167" w:rsidR="00D625E8" w:rsidRPr="003476F9" w:rsidRDefault="00D625E8" w:rsidP="003476F9">
      <w:pPr>
        <w:pStyle w:val="ListParagraph"/>
        <w:pBdr>
          <w:top w:val="single" w:sz="4" w:space="1" w:color="auto"/>
          <w:left w:val="single" w:sz="4" w:space="4" w:color="auto"/>
          <w:bottom w:val="single" w:sz="4" w:space="1" w:color="auto"/>
          <w:right w:val="single" w:sz="4" w:space="4" w:color="auto"/>
        </w:pBdr>
        <w:shd w:val="clear" w:color="auto" w:fill="E8E8E8" w:themeFill="background2"/>
        <w:jc w:val="both"/>
        <w:rPr>
          <w:rFonts w:ascii="Arial" w:hAnsi="Arial" w:cs="Arial"/>
          <w:b/>
          <w:bCs/>
        </w:rPr>
      </w:pPr>
      <w:r w:rsidRPr="003476F9">
        <w:rPr>
          <w:rFonts w:ascii="Arial" w:hAnsi="Arial" w:cs="Arial"/>
          <w:b/>
          <w:bCs/>
        </w:rPr>
        <w:t xml:space="preserve">                  </w:t>
      </w:r>
      <w:r w:rsidR="00945716">
        <w:rPr>
          <w:rFonts w:ascii="Arial" w:hAnsi="Arial" w:cs="Arial"/>
          <w:b/>
          <w:bCs/>
        </w:rPr>
        <w:tab/>
      </w:r>
      <w:r w:rsidR="00945716">
        <w:rPr>
          <w:rFonts w:ascii="Arial" w:hAnsi="Arial" w:cs="Arial"/>
          <w:b/>
          <w:bCs/>
        </w:rPr>
        <w:tab/>
      </w:r>
      <w:r w:rsidR="00945716">
        <w:rPr>
          <w:rFonts w:ascii="Arial" w:hAnsi="Arial" w:cs="Arial"/>
          <w:b/>
          <w:bCs/>
        </w:rPr>
        <w:tab/>
        <w:t xml:space="preserve">       </w:t>
      </w:r>
      <w:r w:rsidRPr="003476F9">
        <w:rPr>
          <w:rFonts w:ascii="Arial" w:hAnsi="Arial" w:cs="Arial"/>
          <w:b/>
          <w:bCs/>
        </w:rPr>
        <w:t xml:space="preserve">B) </w:t>
      </w:r>
      <w:r w:rsidR="00945716" w:rsidRPr="00945716">
        <w:rPr>
          <w:rFonts w:ascii="Arial" w:hAnsi="Arial" w:cs="Arial"/>
        </w:rPr>
        <w:t>Council Regulation (EU) 2022/1854 of 6 October 2022</w:t>
      </w:r>
      <w:r w:rsidRPr="003476F9">
        <w:rPr>
          <w:rFonts w:ascii="Arial" w:hAnsi="Arial" w:cs="Arial"/>
        </w:rPr>
        <w:t>on an emergency intervention to address high energy prices (</w:t>
      </w:r>
      <w:hyperlink r:id="rId26" w:history="1">
        <w:r w:rsidRPr="0044370E">
          <w:rPr>
            <w:rStyle w:val="Hyperlink"/>
            <w:rFonts w:ascii="Arial" w:hAnsi="Arial" w:cs="Arial"/>
            <w:b/>
            <w:bCs/>
          </w:rPr>
          <w:t>Emergency Intervention Regulation</w:t>
        </w:r>
      </w:hyperlink>
      <w:r w:rsidR="00945716">
        <w:rPr>
          <w:rStyle w:val="Hyperlink"/>
          <w:rFonts w:ascii="Arial" w:hAnsi="Arial" w:cs="Arial"/>
          <w:b/>
          <w:bCs/>
        </w:rPr>
        <w:t xml:space="preserve"> - </w:t>
      </w:r>
    </w:p>
    <w:p w14:paraId="65ECD8AC" w14:textId="77777777" w:rsidR="00D561C6" w:rsidRPr="003476F9" w:rsidRDefault="00D561C6" w:rsidP="003476F9">
      <w:pPr>
        <w:pStyle w:val="ListParagraph"/>
        <w:pBdr>
          <w:top w:val="single" w:sz="4" w:space="1" w:color="auto"/>
          <w:left w:val="single" w:sz="4" w:space="4" w:color="auto"/>
          <w:bottom w:val="single" w:sz="4" w:space="1" w:color="auto"/>
          <w:right w:val="single" w:sz="4" w:space="4" w:color="auto"/>
        </w:pBdr>
        <w:shd w:val="clear" w:color="auto" w:fill="E8E8E8" w:themeFill="background2"/>
        <w:jc w:val="both"/>
        <w:rPr>
          <w:rFonts w:ascii="Arial" w:hAnsi="Arial" w:cs="Arial"/>
        </w:rPr>
      </w:pPr>
    </w:p>
    <w:p w14:paraId="2FC8B439" w14:textId="6B4D8E6A" w:rsidR="00D561C6" w:rsidRDefault="00622D6E" w:rsidP="003476F9">
      <w:pPr>
        <w:pStyle w:val="ListParagraph"/>
        <w:pBdr>
          <w:top w:val="single" w:sz="4" w:space="1" w:color="auto"/>
          <w:left w:val="single" w:sz="4" w:space="4" w:color="auto"/>
          <w:bottom w:val="single" w:sz="4" w:space="1" w:color="auto"/>
          <w:right w:val="single" w:sz="4" w:space="4" w:color="auto"/>
        </w:pBdr>
        <w:shd w:val="clear" w:color="auto" w:fill="E8E8E8" w:themeFill="background2"/>
        <w:jc w:val="both"/>
        <w:rPr>
          <w:rFonts w:ascii="Arial" w:hAnsi="Arial" w:cs="Arial"/>
        </w:rPr>
      </w:pPr>
      <w:r w:rsidRPr="003476F9">
        <w:rPr>
          <w:rFonts w:ascii="Arial" w:hAnsi="Arial" w:cs="Arial"/>
        </w:rPr>
        <w:t xml:space="preserve">The most controversial Art 122 </w:t>
      </w:r>
      <w:r w:rsidR="00945716">
        <w:rPr>
          <w:rFonts w:ascii="Arial" w:hAnsi="Arial" w:cs="Arial"/>
        </w:rPr>
        <w:t>measure</w:t>
      </w:r>
      <w:r w:rsidRPr="003476F9">
        <w:rPr>
          <w:rFonts w:ascii="Arial" w:hAnsi="Arial" w:cs="Arial"/>
        </w:rPr>
        <w:t xml:space="preserve">  </w:t>
      </w:r>
      <w:r w:rsidR="0044370E">
        <w:rPr>
          <w:rFonts w:ascii="Arial" w:hAnsi="Arial" w:cs="Arial"/>
        </w:rPr>
        <w:t xml:space="preserve">has been </w:t>
      </w:r>
      <w:r w:rsidRPr="003476F9">
        <w:rPr>
          <w:rFonts w:ascii="Arial" w:hAnsi="Arial" w:cs="Arial"/>
        </w:rPr>
        <w:t xml:space="preserve">the </w:t>
      </w:r>
      <w:r w:rsidRPr="003476F9">
        <w:rPr>
          <w:rFonts w:ascii="Arial" w:hAnsi="Arial" w:cs="Arial"/>
          <w:b/>
          <w:bCs/>
        </w:rPr>
        <w:t xml:space="preserve">Emergency Intervention Regulation. </w:t>
      </w:r>
      <w:r w:rsidR="001F5207" w:rsidRPr="001F5207">
        <w:rPr>
          <w:rFonts w:ascii="Arial" w:hAnsi="Arial" w:cs="Arial"/>
        </w:rPr>
        <w:t>This Regulation</w:t>
      </w:r>
      <w:r w:rsidRPr="003476F9">
        <w:rPr>
          <w:rFonts w:ascii="Arial" w:hAnsi="Arial" w:cs="Arial"/>
        </w:rPr>
        <w:t xml:space="preserve"> </w:t>
      </w:r>
      <w:r w:rsidR="001F5207" w:rsidRPr="001F5207">
        <w:rPr>
          <w:rFonts w:ascii="Arial" w:hAnsi="Arial" w:cs="Arial"/>
        </w:rPr>
        <w:t>introduces price controls by putting a cap on the</w:t>
      </w:r>
      <w:r w:rsidR="001F5207">
        <w:rPr>
          <w:rFonts w:ascii="Arial" w:hAnsi="Arial" w:cs="Arial"/>
        </w:rPr>
        <w:t xml:space="preserve"> </w:t>
      </w:r>
      <w:r w:rsidR="001F5207" w:rsidRPr="001F5207">
        <w:rPr>
          <w:rFonts w:ascii="Arial" w:hAnsi="Arial" w:cs="Arial"/>
        </w:rPr>
        <w:t>revenues of electricity producers and requires Member States to redistribute the</w:t>
      </w:r>
      <w:r w:rsidR="001F5207">
        <w:rPr>
          <w:rFonts w:ascii="Arial" w:hAnsi="Arial" w:cs="Arial"/>
        </w:rPr>
        <w:t xml:space="preserve"> </w:t>
      </w:r>
      <w:r w:rsidR="001F5207" w:rsidRPr="001F5207">
        <w:rPr>
          <w:rFonts w:ascii="Arial" w:hAnsi="Arial" w:cs="Arial"/>
        </w:rPr>
        <w:t>resulting surplus revenues among final electricity customers. Fossil fuel companies</w:t>
      </w:r>
      <w:r w:rsidR="001F5207">
        <w:rPr>
          <w:rFonts w:ascii="Arial" w:hAnsi="Arial" w:cs="Arial"/>
        </w:rPr>
        <w:t xml:space="preserve"> </w:t>
      </w:r>
      <w:r w:rsidR="001F5207" w:rsidRPr="001F5207">
        <w:rPr>
          <w:rFonts w:ascii="Arial" w:hAnsi="Arial" w:cs="Arial"/>
        </w:rPr>
        <w:t>are for their part subject to an excessive profit tax.</w:t>
      </w:r>
      <w:r w:rsidR="001F5207">
        <w:rPr>
          <w:rFonts w:ascii="Arial" w:hAnsi="Arial" w:cs="Arial"/>
        </w:rPr>
        <w:t xml:space="preserve"> </w:t>
      </w:r>
      <w:r w:rsidRPr="003476F9">
        <w:rPr>
          <w:rFonts w:ascii="Arial" w:hAnsi="Arial" w:cs="Arial"/>
        </w:rPr>
        <w:t>Several Member States have expressed concerns with respect to its legal basis</w:t>
      </w:r>
      <w:r w:rsidR="008B597A">
        <w:rPr>
          <w:rFonts w:ascii="Arial" w:hAnsi="Arial" w:cs="Arial"/>
        </w:rPr>
        <w:t xml:space="preserve"> (</w:t>
      </w:r>
      <w:r w:rsidR="008B597A" w:rsidRPr="001F5207">
        <w:rPr>
          <w:rFonts w:ascii="Arial" w:hAnsi="Arial" w:cs="Arial"/>
          <w:i/>
          <w:iCs/>
        </w:rPr>
        <w:t>see how the measure has been challenged below</w:t>
      </w:r>
      <w:r w:rsidR="008B597A">
        <w:rPr>
          <w:rFonts w:ascii="Arial" w:hAnsi="Arial" w:cs="Arial"/>
        </w:rPr>
        <w:t>).</w:t>
      </w:r>
      <w:r w:rsidRPr="003476F9">
        <w:rPr>
          <w:rFonts w:ascii="Arial" w:hAnsi="Arial" w:cs="Arial"/>
        </w:rPr>
        <w:t xml:space="preserve">.  </w:t>
      </w:r>
    </w:p>
    <w:p w14:paraId="79324694" w14:textId="77777777" w:rsidR="001E1B6B" w:rsidRDefault="001E1B6B" w:rsidP="003476F9">
      <w:pPr>
        <w:pStyle w:val="ListParagraph"/>
        <w:pBdr>
          <w:top w:val="single" w:sz="4" w:space="1" w:color="auto"/>
          <w:left w:val="single" w:sz="4" w:space="4" w:color="auto"/>
          <w:bottom w:val="single" w:sz="4" w:space="1" w:color="auto"/>
          <w:right w:val="single" w:sz="4" w:space="4" w:color="auto"/>
        </w:pBdr>
        <w:shd w:val="clear" w:color="auto" w:fill="E8E8E8" w:themeFill="background2"/>
        <w:jc w:val="both"/>
        <w:rPr>
          <w:rFonts w:ascii="Arial" w:hAnsi="Arial" w:cs="Arial"/>
        </w:rPr>
      </w:pPr>
    </w:p>
    <w:p w14:paraId="55A44C79" w14:textId="77777777" w:rsidR="001E1B6B" w:rsidRDefault="001E1B6B" w:rsidP="001E1B6B">
      <w:pPr>
        <w:pStyle w:val="ListParagraph"/>
        <w:jc w:val="both"/>
        <w:rPr>
          <w:rFonts w:ascii="Arial" w:hAnsi="Arial" w:cs="Arial"/>
        </w:rPr>
      </w:pPr>
    </w:p>
    <w:p w14:paraId="24E5B231" w14:textId="3DF80718" w:rsidR="001E1B6B" w:rsidRDefault="001E1B6B" w:rsidP="001E1B6B">
      <w:pPr>
        <w:pStyle w:val="ListParagraph"/>
        <w:numPr>
          <w:ilvl w:val="0"/>
          <w:numId w:val="1"/>
        </w:numPr>
        <w:jc w:val="both"/>
        <w:rPr>
          <w:rFonts w:ascii="Arial" w:hAnsi="Arial" w:cs="Arial"/>
        </w:rPr>
      </w:pPr>
      <w:r w:rsidRPr="003476F9">
        <w:rPr>
          <w:rFonts w:ascii="Arial" w:hAnsi="Arial" w:cs="Arial"/>
        </w:rPr>
        <w:t xml:space="preserve">Summarise and present the </w:t>
      </w:r>
      <w:hyperlink r:id="rId27" w:history="1">
        <w:r w:rsidRPr="003476F9">
          <w:rPr>
            <w:rStyle w:val="Hyperlink"/>
            <w:rFonts w:ascii="Arial" w:hAnsi="Arial" w:cs="Arial"/>
          </w:rPr>
          <w:t>concerns of member states</w:t>
        </w:r>
      </w:hyperlink>
      <w:r w:rsidRPr="003476F9">
        <w:rPr>
          <w:rFonts w:ascii="Arial" w:hAnsi="Arial" w:cs="Arial"/>
        </w:rPr>
        <w:t xml:space="preserve"> on an emergency intervention to address high energy prices</w:t>
      </w:r>
      <w:r>
        <w:rPr>
          <w:rFonts w:ascii="Arial" w:hAnsi="Arial" w:cs="Arial"/>
        </w:rPr>
        <w:t xml:space="preserve">. </w:t>
      </w:r>
    </w:p>
    <w:p w14:paraId="2A84400B" w14:textId="77777777" w:rsidR="001E1B6B" w:rsidRDefault="001E1B6B" w:rsidP="001E1B6B">
      <w:pPr>
        <w:pStyle w:val="NormalWeb"/>
        <w:pBdr>
          <w:top w:val="single" w:sz="4" w:space="0" w:color="auto"/>
          <w:left w:val="single" w:sz="4" w:space="0" w:color="auto"/>
          <w:bottom w:val="single" w:sz="4" w:space="0" w:color="auto"/>
          <w:right w:val="single" w:sz="4" w:space="0" w:color="auto"/>
        </w:pBdr>
        <w:shd w:val="clear" w:color="auto" w:fill="E8E8E8" w:themeFill="background2"/>
        <w:spacing w:before="300" w:beforeAutospacing="0" w:after="0" w:afterAutospacing="0"/>
        <w:jc w:val="both"/>
        <w:rPr>
          <w:rFonts w:ascii="Arial" w:hAnsi="Arial" w:cs="Arial"/>
          <w:sz w:val="22"/>
          <w:szCs w:val="22"/>
        </w:rPr>
      </w:pPr>
      <w:r w:rsidRPr="003476F9">
        <w:rPr>
          <w:rFonts w:ascii="Arial" w:eastAsiaTheme="minorHAnsi" w:hAnsi="Arial" w:cs="Arial"/>
          <w:b/>
          <w:bCs/>
          <w:sz w:val="22"/>
          <w:szCs w:val="22"/>
          <w:lang w:eastAsia="en-US"/>
        </w:rPr>
        <w:t>Example</w:t>
      </w:r>
      <w:r w:rsidRPr="003476F9">
        <w:rPr>
          <w:rFonts w:ascii="Arial" w:hAnsi="Arial" w:cs="Arial"/>
          <w:sz w:val="22"/>
          <w:szCs w:val="22"/>
        </w:rPr>
        <w:t xml:space="preserve"> :</w:t>
      </w:r>
    </w:p>
    <w:p w14:paraId="2E99B2A6" w14:textId="7FD6419E" w:rsidR="001E1B6B" w:rsidRPr="003476F9" w:rsidRDefault="00945716" w:rsidP="001E1B6B">
      <w:pPr>
        <w:pStyle w:val="NormalWeb"/>
        <w:pBdr>
          <w:top w:val="single" w:sz="4" w:space="0" w:color="auto"/>
          <w:left w:val="single" w:sz="4" w:space="0" w:color="auto"/>
          <w:bottom w:val="single" w:sz="4" w:space="0" w:color="auto"/>
          <w:right w:val="single" w:sz="4" w:space="0" w:color="auto"/>
        </w:pBdr>
        <w:shd w:val="clear" w:color="auto" w:fill="E8E8E8" w:themeFill="background2"/>
        <w:spacing w:before="300" w:beforeAutospacing="0" w:after="0" w:afterAutospacing="0"/>
        <w:ind w:firstLine="720"/>
        <w:jc w:val="both"/>
        <w:rPr>
          <w:rFonts w:ascii="Arial" w:hAnsi="Arial" w:cs="Arial"/>
          <w:sz w:val="22"/>
          <w:szCs w:val="22"/>
        </w:rPr>
      </w:pPr>
      <w:r>
        <w:rPr>
          <w:rFonts w:ascii="Arial" w:hAnsi="Arial" w:cs="Arial"/>
          <w:sz w:val="22"/>
          <w:szCs w:val="22"/>
        </w:rPr>
        <w:t xml:space="preserve">  </w:t>
      </w:r>
      <w:r w:rsidR="001E1B6B" w:rsidRPr="003476F9">
        <w:rPr>
          <w:rFonts w:ascii="Arial" w:hAnsi="Arial" w:cs="Arial"/>
          <w:sz w:val="22"/>
          <w:szCs w:val="22"/>
        </w:rPr>
        <w:t xml:space="preserve"> </w:t>
      </w:r>
      <w:r w:rsidR="001E1B6B" w:rsidRPr="003476F9">
        <w:rPr>
          <w:rFonts w:ascii="Arial" w:hAnsi="Arial" w:cs="Arial"/>
          <w:b/>
          <w:bCs/>
          <w:sz w:val="22"/>
          <w:szCs w:val="22"/>
        </w:rPr>
        <w:t>Hungary</w:t>
      </w:r>
      <w:r w:rsidR="001E1B6B" w:rsidRPr="003476F9">
        <w:rPr>
          <w:rFonts w:ascii="Arial" w:hAnsi="Arial" w:cs="Arial"/>
          <w:sz w:val="22"/>
          <w:szCs w:val="22"/>
        </w:rPr>
        <w:t xml:space="preserve"> expressed its concerns about regulation 2022/1854: “</w:t>
      </w:r>
      <w:r w:rsidR="001E1B6B" w:rsidRPr="003476F9">
        <w:rPr>
          <w:rFonts w:ascii="Arial" w:hAnsi="Arial" w:cs="Arial"/>
          <w:i/>
          <w:iCs/>
          <w:sz w:val="22"/>
          <w:szCs w:val="22"/>
        </w:rPr>
        <w:t>The Hungarian delegation expresses its reservation on the choice of the legal basis of this Regulation, as article 122 of the TFEU cannot be the sole legal basis for the solidarity contribution, which includes provisions of a fiscal nature, that should be discussed and adopted accordingly with unanimity</w:t>
      </w:r>
      <w:r w:rsidR="001E1B6B" w:rsidRPr="003476F9">
        <w:rPr>
          <w:rFonts w:ascii="Arial" w:hAnsi="Arial" w:cs="Arial"/>
          <w:sz w:val="22"/>
          <w:szCs w:val="22"/>
        </w:rPr>
        <w:t>.</w:t>
      </w:r>
    </w:p>
    <w:p w14:paraId="59675D2D" w14:textId="77777777" w:rsidR="001E1B6B" w:rsidRDefault="001E1B6B" w:rsidP="001E1B6B">
      <w:pPr>
        <w:pStyle w:val="NormalWeb"/>
        <w:pBdr>
          <w:top w:val="single" w:sz="4" w:space="0" w:color="auto"/>
          <w:left w:val="single" w:sz="4" w:space="0" w:color="auto"/>
          <w:bottom w:val="single" w:sz="4" w:space="0" w:color="auto"/>
          <w:right w:val="single" w:sz="4" w:space="0" w:color="auto"/>
        </w:pBdr>
        <w:shd w:val="clear" w:color="auto" w:fill="E8E8E8" w:themeFill="background2"/>
        <w:spacing w:before="300" w:beforeAutospacing="0" w:after="0" w:afterAutospacing="0"/>
        <w:ind w:firstLine="720"/>
        <w:jc w:val="both"/>
        <w:rPr>
          <w:rFonts w:ascii="Arial" w:hAnsi="Arial" w:cs="Arial"/>
          <w:sz w:val="22"/>
          <w:szCs w:val="22"/>
        </w:rPr>
      </w:pPr>
      <w:r w:rsidRPr="003476F9">
        <w:rPr>
          <w:rFonts w:ascii="Arial" w:hAnsi="Arial" w:cs="Arial"/>
          <w:sz w:val="22"/>
          <w:szCs w:val="22"/>
        </w:rPr>
        <w:t xml:space="preserve">    </w:t>
      </w:r>
      <w:r w:rsidRPr="003476F9">
        <w:rPr>
          <w:rFonts w:ascii="Arial" w:hAnsi="Arial" w:cs="Arial"/>
          <w:b/>
          <w:bCs/>
          <w:sz w:val="22"/>
          <w:szCs w:val="22"/>
        </w:rPr>
        <w:t>Poland</w:t>
      </w:r>
      <w:r w:rsidRPr="003476F9">
        <w:rPr>
          <w:rFonts w:ascii="Arial" w:hAnsi="Arial" w:cs="Arial"/>
          <w:sz w:val="22"/>
          <w:szCs w:val="22"/>
        </w:rPr>
        <w:t xml:space="preserve"> also disputes the legal basis of the Regulation: “</w:t>
      </w:r>
      <w:r w:rsidRPr="003476F9">
        <w:rPr>
          <w:rFonts w:ascii="Arial" w:hAnsi="Arial" w:cs="Arial"/>
          <w:i/>
          <w:iCs/>
          <w:sz w:val="22"/>
          <w:szCs w:val="22"/>
        </w:rPr>
        <w:t>The Republic of Poland takes the view that, during the negotiations in the Council of the EU on the draft Council Regulation on an emergency intervention to address high energy prices, the European Commission failed to provide sufficient justification for its conclusion that its proposed new measures, and in particular the ‘solidarity levy’, did not constitute measures of a fiscal nature</w:t>
      </w:r>
      <w:r w:rsidRPr="003476F9">
        <w:rPr>
          <w:rFonts w:ascii="Arial" w:hAnsi="Arial" w:cs="Arial"/>
          <w:sz w:val="22"/>
          <w:szCs w:val="22"/>
        </w:rPr>
        <w:t>”</w:t>
      </w:r>
      <w:r>
        <w:rPr>
          <w:rFonts w:ascii="Arial" w:hAnsi="Arial" w:cs="Arial"/>
          <w:sz w:val="22"/>
          <w:szCs w:val="22"/>
        </w:rPr>
        <w:t>. In essence</w:t>
      </w:r>
      <w:r w:rsidRPr="0044370E">
        <w:rPr>
          <w:rFonts w:ascii="Arial" w:hAnsi="Arial" w:cs="Arial"/>
          <w:sz w:val="22"/>
          <w:szCs w:val="22"/>
        </w:rPr>
        <w:t xml:space="preserve"> Poland argues that </w:t>
      </w:r>
      <w:r>
        <w:rPr>
          <w:rFonts w:ascii="Arial" w:hAnsi="Arial" w:cs="Arial"/>
          <w:sz w:val="22"/>
          <w:szCs w:val="22"/>
        </w:rPr>
        <w:t xml:space="preserve">instead of Article 122, </w:t>
      </w:r>
      <w:r w:rsidRPr="0044370E">
        <w:rPr>
          <w:rFonts w:ascii="Arial" w:hAnsi="Arial" w:cs="Arial"/>
          <w:sz w:val="22"/>
          <w:szCs w:val="22"/>
        </w:rPr>
        <w:t>Article 192(2)</w:t>
      </w:r>
      <w:r>
        <w:rPr>
          <w:rFonts w:ascii="Arial" w:hAnsi="Arial" w:cs="Arial"/>
          <w:sz w:val="22"/>
          <w:szCs w:val="22"/>
        </w:rPr>
        <w:t xml:space="preserve"> </w:t>
      </w:r>
      <w:r w:rsidRPr="0044370E">
        <w:rPr>
          <w:rFonts w:ascii="Arial" w:hAnsi="Arial" w:cs="Arial"/>
          <w:sz w:val="22"/>
          <w:szCs w:val="22"/>
        </w:rPr>
        <w:t>TFEU ought to have been relied on because the gas demand-reduction measures significantly affect</w:t>
      </w:r>
      <w:r>
        <w:rPr>
          <w:rFonts w:ascii="Arial" w:hAnsi="Arial" w:cs="Arial"/>
          <w:sz w:val="22"/>
          <w:szCs w:val="22"/>
        </w:rPr>
        <w:t xml:space="preserve"> </w:t>
      </w:r>
      <w:r w:rsidRPr="0044370E">
        <w:rPr>
          <w:rFonts w:ascii="Arial" w:hAnsi="Arial" w:cs="Arial"/>
          <w:sz w:val="22"/>
          <w:szCs w:val="22"/>
        </w:rPr>
        <w:t>Member States’ choice between different energy sources and the general structure of their energy</w:t>
      </w:r>
      <w:r>
        <w:rPr>
          <w:rFonts w:ascii="Arial" w:hAnsi="Arial" w:cs="Arial"/>
          <w:sz w:val="22"/>
          <w:szCs w:val="22"/>
        </w:rPr>
        <w:t xml:space="preserve"> </w:t>
      </w:r>
      <w:r w:rsidRPr="0044370E">
        <w:rPr>
          <w:rFonts w:ascii="Arial" w:hAnsi="Arial" w:cs="Arial"/>
          <w:sz w:val="22"/>
          <w:szCs w:val="22"/>
        </w:rPr>
        <w:t>supply</w:t>
      </w:r>
      <w:r>
        <w:rPr>
          <w:rFonts w:ascii="Arial" w:hAnsi="Arial" w:cs="Arial"/>
          <w:sz w:val="22"/>
          <w:szCs w:val="22"/>
        </w:rPr>
        <w:t xml:space="preserve">. </w:t>
      </w:r>
    </w:p>
    <w:p w14:paraId="6D6E5D23" w14:textId="77777777" w:rsidR="001E1B6B" w:rsidRPr="003476F9" w:rsidRDefault="001E1B6B" w:rsidP="001E1B6B">
      <w:pPr>
        <w:pStyle w:val="NormalWeb"/>
        <w:pBdr>
          <w:top w:val="single" w:sz="4" w:space="0" w:color="auto"/>
          <w:left w:val="single" w:sz="4" w:space="0" w:color="auto"/>
          <w:bottom w:val="single" w:sz="4" w:space="0" w:color="auto"/>
          <w:right w:val="single" w:sz="4" w:space="0" w:color="auto"/>
        </w:pBdr>
        <w:shd w:val="clear" w:color="auto" w:fill="E8E8E8" w:themeFill="background2"/>
        <w:spacing w:before="300" w:after="0"/>
        <w:ind w:firstLine="720"/>
        <w:jc w:val="both"/>
        <w:rPr>
          <w:rFonts w:ascii="Arial" w:hAnsi="Arial" w:cs="Arial"/>
          <w:sz w:val="22"/>
          <w:szCs w:val="22"/>
        </w:rPr>
      </w:pPr>
    </w:p>
    <w:p w14:paraId="14E6003E" w14:textId="77777777" w:rsidR="00945716" w:rsidRPr="003476F9" w:rsidRDefault="00945716" w:rsidP="003476F9">
      <w:pPr>
        <w:pStyle w:val="ListParagraph"/>
        <w:jc w:val="both"/>
        <w:rPr>
          <w:rFonts w:ascii="Arial" w:hAnsi="Arial" w:cs="Arial"/>
        </w:rPr>
      </w:pPr>
    </w:p>
    <w:p w14:paraId="216F35B0" w14:textId="77777777" w:rsidR="00622D6E" w:rsidRPr="003476F9" w:rsidRDefault="000546CD" w:rsidP="003476F9">
      <w:pPr>
        <w:pStyle w:val="NormalWeb"/>
        <w:pBdr>
          <w:top w:val="single" w:sz="4" w:space="0" w:color="auto"/>
          <w:left w:val="single" w:sz="4" w:space="0" w:color="auto"/>
          <w:bottom w:val="single" w:sz="4" w:space="0" w:color="auto"/>
          <w:right w:val="single" w:sz="4" w:space="0" w:color="auto"/>
        </w:pBdr>
        <w:shd w:val="clear" w:color="auto" w:fill="E8E8E8" w:themeFill="background2"/>
        <w:spacing w:before="0" w:beforeAutospacing="0" w:after="300" w:afterAutospacing="0"/>
        <w:jc w:val="both"/>
        <w:rPr>
          <w:rFonts w:ascii="Arial" w:hAnsi="Arial" w:cs="Arial"/>
          <w:sz w:val="22"/>
          <w:szCs w:val="22"/>
        </w:rPr>
      </w:pPr>
      <w:r w:rsidRPr="003476F9">
        <w:rPr>
          <w:rFonts w:ascii="Arial" w:hAnsi="Arial" w:cs="Arial"/>
          <w:b/>
          <w:bCs/>
          <w:sz w:val="22"/>
          <w:szCs w:val="22"/>
        </w:rPr>
        <w:t>Comment  - case study : Art 122 as a Legal Basis for Energy Emergency Measures</w:t>
      </w:r>
      <w:r w:rsidRPr="003476F9">
        <w:rPr>
          <w:rFonts w:ascii="Arial" w:hAnsi="Arial" w:cs="Arial"/>
          <w:sz w:val="22"/>
          <w:szCs w:val="22"/>
        </w:rPr>
        <w:t xml:space="preserve">: </w:t>
      </w:r>
    </w:p>
    <w:p w14:paraId="2B1489E5" w14:textId="30A768E0" w:rsidR="000546CD" w:rsidRPr="003476F9" w:rsidRDefault="000546CD" w:rsidP="003476F9">
      <w:pPr>
        <w:pStyle w:val="NormalWeb"/>
        <w:pBdr>
          <w:top w:val="single" w:sz="4" w:space="0" w:color="auto"/>
          <w:left w:val="single" w:sz="4" w:space="0" w:color="auto"/>
          <w:bottom w:val="single" w:sz="4" w:space="0" w:color="auto"/>
          <w:right w:val="single" w:sz="4" w:space="0" w:color="auto"/>
        </w:pBdr>
        <w:shd w:val="clear" w:color="auto" w:fill="E8E8E8" w:themeFill="background2"/>
        <w:spacing w:before="0" w:beforeAutospacing="0" w:after="300" w:afterAutospacing="0"/>
        <w:jc w:val="both"/>
        <w:rPr>
          <w:rFonts w:ascii="Arial" w:hAnsi="Arial" w:cs="Arial"/>
          <w:sz w:val="22"/>
          <w:szCs w:val="22"/>
        </w:rPr>
      </w:pPr>
      <w:r w:rsidRPr="003476F9">
        <w:rPr>
          <w:rFonts w:ascii="Arial" w:hAnsi="Arial" w:cs="Arial"/>
          <w:sz w:val="22"/>
          <w:szCs w:val="22"/>
        </w:rPr>
        <w:t xml:space="preserve">Article 122 TFEU provides a legal basis for the EU to adopt legislative measures in response to </w:t>
      </w:r>
      <w:r w:rsidRPr="003476F9">
        <w:rPr>
          <w:rFonts w:ascii="Arial" w:hAnsi="Arial" w:cs="Arial"/>
          <w:sz w:val="22"/>
          <w:szCs w:val="22"/>
          <w:u w:val="single"/>
        </w:rPr>
        <w:t>circumstances threatening the economic stability of member states</w:t>
      </w:r>
      <w:r w:rsidRPr="003476F9">
        <w:rPr>
          <w:rFonts w:ascii="Arial" w:hAnsi="Arial" w:cs="Arial"/>
          <w:sz w:val="22"/>
          <w:szCs w:val="22"/>
        </w:rPr>
        <w:t>. While Article 122 has been primarily used in the context of financial assistance during economic crises, its application to energy-related measures has been subject to debate and legal scrutiny.</w:t>
      </w:r>
    </w:p>
    <w:p w14:paraId="0C602AD4" w14:textId="79B3046E" w:rsidR="00B545F5" w:rsidRDefault="000546CD" w:rsidP="003476F9">
      <w:pPr>
        <w:pStyle w:val="NormalWeb"/>
        <w:pBdr>
          <w:top w:val="single" w:sz="4" w:space="0" w:color="auto"/>
          <w:left w:val="single" w:sz="4" w:space="0" w:color="auto"/>
          <w:bottom w:val="single" w:sz="4" w:space="0" w:color="auto"/>
          <w:right w:val="single" w:sz="4" w:space="0" w:color="auto"/>
        </w:pBdr>
        <w:shd w:val="clear" w:color="auto" w:fill="E8E8E8" w:themeFill="background2"/>
        <w:spacing w:before="300" w:beforeAutospacing="0" w:after="300" w:afterAutospacing="0"/>
        <w:jc w:val="both"/>
        <w:rPr>
          <w:rFonts w:ascii="Arial" w:hAnsi="Arial" w:cs="Arial"/>
          <w:sz w:val="22"/>
          <w:szCs w:val="22"/>
        </w:rPr>
      </w:pPr>
      <w:r w:rsidRPr="003476F9">
        <w:rPr>
          <w:rFonts w:ascii="Arial" w:hAnsi="Arial" w:cs="Arial"/>
          <w:sz w:val="22"/>
          <w:szCs w:val="22"/>
        </w:rPr>
        <w:lastRenderedPageBreak/>
        <w:t xml:space="preserve">One notable case involving the use of Article 122 </w:t>
      </w:r>
      <w:r w:rsidR="00945716">
        <w:rPr>
          <w:rFonts w:ascii="Arial" w:hAnsi="Arial" w:cs="Arial"/>
          <w:sz w:val="22"/>
          <w:szCs w:val="22"/>
        </w:rPr>
        <w:t>has been</w:t>
      </w:r>
      <w:r w:rsidRPr="003476F9">
        <w:rPr>
          <w:rFonts w:ascii="Arial" w:hAnsi="Arial" w:cs="Arial"/>
          <w:sz w:val="22"/>
          <w:szCs w:val="22"/>
        </w:rPr>
        <w:t xml:space="preserve"> the "</w:t>
      </w:r>
      <w:hyperlink r:id="rId28" w:history="1">
        <w:r w:rsidRPr="003476F9">
          <w:rPr>
            <w:rStyle w:val="Hyperlink"/>
            <w:rFonts w:ascii="Arial" w:hAnsi="Arial" w:cs="Arial"/>
            <w:sz w:val="22"/>
            <w:szCs w:val="22"/>
          </w:rPr>
          <w:t>Pringle case" (C-370/12)</w:t>
        </w:r>
      </w:hyperlink>
      <w:r w:rsidRPr="003476F9">
        <w:rPr>
          <w:rFonts w:ascii="Arial" w:hAnsi="Arial" w:cs="Arial"/>
          <w:sz w:val="22"/>
          <w:szCs w:val="22"/>
        </w:rPr>
        <w:t>. In this case, the Court of Justice of the European Union (CJEU) addressed the legality of the European Stability Mechanism (ESM), an intergovernmental treaty establishing a permanent stability mechanism for the euro area.</w:t>
      </w:r>
      <w:r w:rsidR="00B545F5">
        <w:rPr>
          <w:rFonts w:ascii="Arial" w:hAnsi="Arial" w:cs="Arial"/>
          <w:sz w:val="22"/>
          <w:szCs w:val="22"/>
        </w:rPr>
        <w:t xml:space="preserve"> </w:t>
      </w:r>
      <w:r w:rsidRPr="003476F9">
        <w:rPr>
          <w:rFonts w:ascii="Arial" w:hAnsi="Arial" w:cs="Arial"/>
          <w:sz w:val="22"/>
          <w:szCs w:val="22"/>
        </w:rPr>
        <w:t xml:space="preserve">The CJEU clarified that Article 122 could only be invoked in situations of exceptional economic circumstances, such as natural disasters or external shocks, which directly threaten the financial stability of one or more member states. </w:t>
      </w:r>
    </w:p>
    <w:p w14:paraId="6C8B058C" w14:textId="77777777" w:rsidR="00B545F5" w:rsidRDefault="000546CD" w:rsidP="003476F9">
      <w:pPr>
        <w:pStyle w:val="NormalWeb"/>
        <w:pBdr>
          <w:top w:val="single" w:sz="4" w:space="0" w:color="auto"/>
          <w:left w:val="single" w:sz="4" w:space="0" w:color="auto"/>
          <w:bottom w:val="single" w:sz="4" w:space="0" w:color="auto"/>
          <w:right w:val="single" w:sz="4" w:space="0" w:color="auto"/>
        </w:pBdr>
        <w:shd w:val="clear" w:color="auto" w:fill="E8E8E8" w:themeFill="background2"/>
        <w:spacing w:before="300" w:beforeAutospacing="0" w:after="300" w:afterAutospacing="0"/>
        <w:jc w:val="both"/>
        <w:rPr>
          <w:rFonts w:ascii="Arial" w:hAnsi="Arial" w:cs="Arial"/>
          <w:sz w:val="22"/>
          <w:szCs w:val="22"/>
        </w:rPr>
      </w:pPr>
      <w:r w:rsidRPr="003476F9">
        <w:rPr>
          <w:rFonts w:ascii="Arial" w:hAnsi="Arial" w:cs="Arial"/>
          <w:sz w:val="22"/>
          <w:szCs w:val="22"/>
        </w:rPr>
        <w:t>The Court emphasized that Article 122 cannot be used as a general legal basis for establishing permanent mechanisms or for measures unrelated to the stability of the euro area.</w:t>
      </w:r>
      <w:r w:rsidR="005B3757" w:rsidRPr="003476F9">
        <w:rPr>
          <w:rFonts w:ascii="Arial" w:hAnsi="Arial" w:cs="Arial"/>
          <w:sz w:val="22"/>
          <w:szCs w:val="22"/>
        </w:rPr>
        <w:t xml:space="preserve"> </w:t>
      </w:r>
      <w:r w:rsidRPr="003476F9">
        <w:rPr>
          <w:rFonts w:ascii="Arial" w:hAnsi="Arial" w:cs="Arial"/>
          <w:sz w:val="22"/>
          <w:szCs w:val="22"/>
        </w:rPr>
        <w:t xml:space="preserve">Several EU Member States have expressed concerns on the legal basis for energy emergency regulations. </w:t>
      </w:r>
    </w:p>
    <w:p w14:paraId="09668549" w14:textId="23C7AE8B" w:rsidR="00946CC1" w:rsidRPr="003476F9" w:rsidRDefault="000546CD" w:rsidP="003476F9">
      <w:pPr>
        <w:pStyle w:val="NormalWeb"/>
        <w:pBdr>
          <w:top w:val="single" w:sz="4" w:space="0" w:color="auto"/>
          <w:left w:val="single" w:sz="4" w:space="0" w:color="auto"/>
          <w:bottom w:val="single" w:sz="4" w:space="0" w:color="auto"/>
          <w:right w:val="single" w:sz="4" w:space="0" w:color="auto"/>
        </w:pBdr>
        <w:shd w:val="clear" w:color="auto" w:fill="E8E8E8" w:themeFill="background2"/>
        <w:spacing w:before="300" w:beforeAutospacing="0" w:after="300" w:afterAutospacing="0"/>
        <w:jc w:val="both"/>
        <w:rPr>
          <w:rFonts w:ascii="Arial" w:hAnsi="Arial" w:cs="Arial"/>
          <w:sz w:val="22"/>
          <w:szCs w:val="22"/>
        </w:rPr>
      </w:pPr>
      <w:r w:rsidRPr="003476F9">
        <w:rPr>
          <w:rFonts w:ascii="Arial" w:hAnsi="Arial" w:cs="Arial"/>
          <w:sz w:val="22"/>
          <w:szCs w:val="22"/>
        </w:rPr>
        <w:t>Overall, while Article 122 provides a legal basis for EU action in response to economic crises, its application to energy-related measures may be limited and subject to interpretation by the CJEU based on the specific circumstances of each case and the principles of EU law.</w:t>
      </w:r>
    </w:p>
    <w:p w14:paraId="464E83A1" w14:textId="5A9BA539" w:rsidR="001F5207" w:rsidRDefault="001F5207" w:rsidP="001F5207">
      <w:pPr>
        <w:pStyle w:val="ListParagraph"/>
        <w:jc w:val="both"/>
        <w:rPr>
          <w:rFonts w:ascii="Arial" w:hAnsi="Arial" w:cs="Arial"/>
        </w:rPr>
      </w:pPr>
    </w:p>
    <w:p w14:paraId="0A7698A1" w14:textId="3E7FC251" w:rsidR="00945716" w:rsidRDefault="00B545F5" w:rsidP="003476F9">
      <w:pPr>
        <w:pStyle w:val="ListParagraph"/>
        <w:numPr>
          <w:ilvl w:val="0"/>
          <w:numId w:val="1"/>
        </w:numPr>
        <w:jc w:val="both"/>
        <w:rPr>
          <w:rFonts w:ascii="Arial" w:hAnsi="Arial" w:cs="Arial"/>
        </w:rPr>
      </w:pPr>
      <w:r w:rsidRPr="00946CC1">
        <w:rPr>
          <w:rFonts w:ascii="Arial" w:hAnsi="Arial" w:cs="Arial"/>
        </w:rPr>
        <w:t xml:space="preserve">Look at the recently adopted </w:t>
      </w:r>
      <w:hyperlink r:id="rId29" w:history="1">
        <w:r w:rsidRPr="007D65B9">
          <w:rPr>
            <w:rStyle w:val="Hyperlink"/>
            <w:rFonts w:ascii="Arial" w:hAnsi="Arial" w:cs="Arial"/>
          </w:rPr>
          <w:t>electricity market design</w:t>
        </w:r>
      </w:hyperlink>
      <w:r w:rsidRPr="00946CC1">
        <w:rPr>
          <w:rFonts w:ascii="Arial" w:hAnsi="Arial" w:cs="Arial"/>
        </w:rPr>
        <w:t xml:space="preserve"> legal framework : Can you identify where the elements of emergency regulations has been incorporated into ordinary legislation ? What are the consequences for the legitimacy of the emergency measures?   </w:t>
      </w:r>
    </w:p>
    <w:p w14:paraId="0DCEBA89" w14:textId="7E62FE43" w:rsidR="00F868AD" w:rsidRDefault="00945716" w:rsidP="001866BF">
      <w:pPr>
        <w:pStyle w:val="NormalWeb"/>
        <w:pBdr>
          <w:top w:val="single" w:sz="4" w:space="1" w:color="auto"/>
          <w:left w:val="single" w:sz="4" w:space="4" w:color="auto"/>
          <w:bottom w:val="single" w:sz="4" w:space="1" w:color="auto"/>
          <w:right w:val="single" w:sz="4" w:space="4" w:color="auto"/>
        </w:pBdr>
        <w:shd w:val="clear" w:color="auto" w:fill="E8E8E8" w:themeFill="background2"/>
        <w:spacing w:before="0" w:beforeAutospacing="0" w:line="360" w:lineRule="atLeast"/>
        <w:jc w:val="both"/>
        <w:rPr>
          <w:rFonts w:ascii="Arial" w:hAnsi="Arial" w:cs="Arial"/>
          <w:color w:val="000000"/>
          <w:sz w:val="22"/>
          <w:szCs w:val="22"/>
        </w:rPr>
      </w:pPr>
      <w:r w:rsidRPr="001866BF">
        <w:rPr>
          <w:rFonts w:ascii="Arial" w:hAnsi="Arial" w:cs="Arial"/>
          <w:b/>
          <w:bCs/>
          <w:sz w:val="22"/>
          <w:szCs w:val="22"/>
        </w:rPr>
        <w:t>Elements for an answer</w:t>
      </w:r>
      <w:r w:rsidRPr="001866BF">
        <w:rPr>
          <w:rFonts w:ascii="Arial" w:hAnsi="Arial" w:cs="Arial"/>
          <w:sz w:val="22"/>
          <w:szCs w:val="22"/>
        </w:rPr>
        <w:t xml:space="preserve"> : Consider an other emergency </w:t>
      </w:r>
      <w:r w:rsidR="00F868AD" w:rsidRPr="001866BF">
        <w:rPr>
          <w:rFonts w:ascii="Arial" w:hAnsi="Arial" w:cs="Arial"/>
          <w:sz w:val="22"/>
          <w:szCs w:val="22"/>
        </w:rPr>
        <w:t>measure</w:t>
      </w:r>
      <w:r w:rsidR="001866BF">
        <w:rPr>
          <w:rFonts w:ascii="Arial" w:hAnsi="Arial" w:cs="Arial"/>
          <w:sz w:val="22"/>
          <w:szCs w:val="22"/>
        </w:rPr>
        <w:t xml:space="preserve"> measure </w:t>
      </w:r>
      <w:r w:rsidR="00F868AD" w:rsidRPr="001866BF">
        <w:rPr>
          <w:rFonts w:ascii="Arial" w:hAnsi="Arial" w:cs="Arial"/>
          <w:sz w:val="22"/>
          <w:szCs w:val="22"/>
        </w:rPr>
        <w:t xml:space="preserve"> : </w:t>
      </w:r>
      <w:r w:rsidR="00F868AD" w:rsidRPr="001866BF">
        <w:rPr>
          <w:rFonts w:ascii="Arial" w:eastAsiaTheme="minorHAnsi" w:hAnsi="Arial" w:cs="Arial"/>
          <w:sz w:val="22"/>
          <w:szCs w:val="22"/>
          <w:lang w:eastAsia="en-US"/>
        </w:rPr>
        <w:t>On 30 December 2022,</w:t>
      </w:r>
      <w:r w:rsidR="00F868AD" w:rsidRPr="001866BF">
        <w:rPr>
          <w:rFonts w:ascii="Arial" w:hAnsi="Arial" w:cs="Arial"/>
          <w:color w:val="000000"/>
          <w:sz w:val="22"/>
          <w:szCs w:val="22"/>
        </w:rPr>
        <w:t> </w:t>
      </w:r>
      <w:hyperlink r:id="rId30" w:history="1">
        <w:r w:rsidR="00F868AD" w:rsidRPr="001866BF">
          <w:rPr>
            <w:rStyle w:val="Hyperlink"/>
            <w:rFonts w:ascii="Arial" w:eastAsiaTheme="majorEastAsia" w:hAnsi="Arial" w:cs="Arial"/>
            <w:b/>
            <w:bCs/>
            <w:color w:val="004FEE"/>
            <w:sz w:val="22"/>
            <w:szCs w:val="22"/>
          </w:rPr>
          <w:t>Council Regulation (EU) 2022/2576</w:t>
        </w:r>
      </w:hyperlink>
      <w:r w:rsidR="00F868AD" w:rsidRPr="001866BF">
        <w:rPr>
          <w:rFonts w:ascii="Arial" w:hAnsi="Arial" w:cs="Arial"/>
          <w:color w:val="000000"/>
          <w:sz w:val="22"/>
          <w:szCs w:val="22"/>
        </w:rPr>
        <w:t> “Enhancing solidarity through better coordination of gas purchases, reliable price benchmarks and exchanges of gas across borders” entered into force.</w:t>
      </w:r>
      <w:r w:rsidR="008B597A" w:rsidRPr="001866BF">
        <w:rPr>
          <w:rFonts w:ascii="Arial" w:hAnsi="Arial" w:cs="Arial"/>
          <w:color w:val="000000"/>
          <w:sz w:val="22"/>
          <w:szCs w:val="22"/>
        </w:rPr>
        <w:t xml:space="preserve"> T</w:t>
      </w:r>
      <w:r w:rsidR="00F868AD" w:rsidRPr="001866BF">
        <w:rPr>
          <w:rFonts w:ascii="Arial" w:hAnsi="Arial" w:cs="Arial"/>
          <w:color w:val="000000"/>
          <w:sz w:val="22"/>
          <w:szCs w:val="22"/>
        </w:rPr>
        <w:t>he Regulation tasks ACER with producing and publishing</w:t>
      </w:r>
      <w:r w:rsidR="008B597A" w:rsidRPr="001866BF">
        <w:rPr>
          <w:rFonts w:ascii="Arial" w:hAnsi="Arial" w:cs="Arial"/>
          <w:color w:val="000000"/>
          <w:sz w:val="22"/>
          <w:szCs w:val="22"/>
        </w:rPr>
        <w:t xml:space="preserve"> (a) </w:t>
      </w:r>
      <w:r w:rsidR="00F868AD" w:rsidRPr="001866BF">
        <w:rPr>
          <w:rFonts w:ascii="Arial" w:hAnsi="Arial" w:cs="Arial"/>
          <w:color w:val="000000"/>
          <w:sz w:val="22"/>
          <w:szCs w:val="22"/>
        </w:rPr>
        <w:t xml:space="preserve">A new </w:t>
      </w:r>
      <w:hyperlink r:id="rId31" w:history="1">
        <w:r w:rsidR="00F868AD" w:rsidRPr="001866BF">
          <w:rPr>
            <w:rStyle w:val="Hyperlink"/>
            <w:rFonts w:ascii="Arial" w:hAnsi="Arial" w:cs="Arial"/>
            <w:sz w:val="22"/>
            <w:szCs w:val="22"/>
          </w:rPr>
          <w:t xml:space="preserve">daily Liquefied Natural Gas (LNG) price </w:t>
        </w:r>
        <w:r w:rsidR="008B597A" w:rsidRPr="001866BF">
          <w:rPr>
            <w:rStyle w:val="Hyperlink"/>
            <w:rFonts w:ascii="Arial" w:hAnsi="Arial" w:cs="Arial"/>
            <w:sz w:val="22"/>
            <w:szCs w:val="22"/>
          </w:rPr>
          <w:t>assessment</w:t>
        </w:r>
      </w:hyperlink>
      <w:r w:rsidR="008B597A" w:rsidRPr="001866BF">
        <w:rPr>
          <w:rFonts w:ascii="Arial" w:hAnsi="Arial" w:cs="Arial"/>
          <w:color w:val="000000"/>
          <w:sz w:val="22"/>
          <w:szCs w:val="22"/>
        </w:rPr>
        <w:t xml:space="preserve"> and (b) a daily </w:t>
      </w:r>
      <w:hyperlink r:id="rId32" w:history="1">
        <w:r w:rsidR="008B597A" w:rsidRPr="001866BF">
          <w:rPr>
            <w:rStyle w:val="Hyperlink"/>
            <w:rFonts w:ascii="Arial" w:hAnsi="Arial" w:cs="Arial"/>
            <w:sz w:val="22"/>
            <w:szCs w:val="22"/>
          </w:rPr>
          <w:t>LNG benchmark</w:t>
        </w:r>
      </w:hyperlink>
      <w:r w:rsidR="001866BF">
        <w:rPr>
          <w:rFonts w:ascii="Arial" w:hAnsi="Arial" w:cs="Arial"/>
          <w:color w:val="000000"/>
          <w:sz w:val="22"/>
          <w:szCs w:val="22"/>
        </w:rPr>
        <w:t xml:space="preserve">. </w:t>
      </w:r>
    </w:p>
    <w:p w14:paraId="0DB25D26" w14:textId="06102EF8" w:rsidR="001866BF" w:rsidRPr="001866BF" w:rsidRDefault="001866BF" w:rsidP="001866BF">
      <w:pPr>
        <w:pStyle w:val="NormalWeb"/>
        <w:pBdr>
          <w:top w:val="single" w:sz="4" w:space="1" w:color="auto"/>
          <w:left w:val="single" w:sz="4" w:space="4" w:color="auto"/>
          <w:bottom w:val="single" w:sz="4" w:space="1" w:color="auto"/>
          <w:right w:val="single" w:sz="4" w:space="4" w:color="auto"/>
        </w:pBdr>
        <w:shd w:val="clear" w:color="auto" w:fill="E8E8E8" w:themeFill="background2"/>
        <w:spacing w:before="0" w:beforeAutospacing="0" w:line="360" w:lineRule="atLeast"/>
        <w:jc w:val="both"/>
        <w:rPr>
          <w:rFonts w:ascii="Arial" w:hAnsi="Arial" w:cs="Arial"/>
          <w:color w:val="000000"/>
          <w:sz w:val="22"/>
          <w:szCs w:val="22"/>
        </w:rPr>
      </w:pPr>
      <w:r>
        <w:rPr>
          <w:rFonts w:ascii="Arial" w:hAnsi="Arial" w:cs="Arial"/>
          <w:color w:val="000000"/>
          <w:sz w:val="22"/>
          <w:szCs w:val="22"/>
        </w:rPr>
        <w:t xml:space="preserve">Following the electricity market design reform, the </w:t>
      </w:r>
      <w:r w:rsidRPr="001866BF">
        <w:rPr>
          <w:rFonts w:ascii="Arial" w:hAnsi="Arial" w:cs="Arial"/>
          <w:color w:val="000000"/>
          <w:sz w:val="22"/>
          <w:szCs w:val="22"/>
        </w:rPr>
        <w:t xml:space="preserve">daily LNG benchmark competences of ACER </w:t>
      </w:r>
      <w:r>
        <w:rPr>
          <w:rFonts w:ascii="Arial" w:hAnsi="Arial" w:cs="Arial"/>
          <w:color w:val="000000"/>
          <w:sz w:val="22"/>
          <w:szCs w:val="22"/>
        </w:rPr>
        <w:t xml:space="preserve">have been </w:t>
      </w:r>
      <w:r w:rsidRPr="001866BF">
        <w:rPr>
          <w:rFonts w:ascii="Arial" w:hAnsi="Arial" w:cs="Arial"/>
          <w:color w:val="000000"/>
          <w:sz w:val="22"/>
          <w:szCs w:val="22"/>
        </w:rPr>
        <w:t>incorporated in the revised REMIT</w:t>
      </w:r>
      <w:r>
        <w:rPr>
          <w:rFonts w:ascii="Arial" w:hAnsi="Arial" w:cs="Arial"/>
          <w:color w:val="000000"/>
          <w:sz w:val="22"/>
          <w:szCs w:val="22"/>
        </w:rPr>
        <w:t xml:space="preserve"> (adopted via the ordinary legislative process). (Consider Article 7 ot the </w:t>
      </w:r>
      <w:hyperlink r:id="rId33" w:history="1">
        <w:r w:rsidRPr="001866BF">
          <w:rPr>
            <w:rStyle w:val="Hyperlink"/>
            <w:rFonts w:ascii="Arial" w:hAnsi="Arial" w:cs="Arial"/>
            <w:sz w:val="22"/>
            <w:szCs w:val="22"/>
          </w:rPr>
          <w:t>revised REMIT</w:t>
        </w:r>
      </w:hyperlink>
      <w:r>
        <w:rPr>
          <w:rFonts w:ascii="Arial" w:hAnsi="Arial" w:cs="Arial"/>
          <w:color w:val="000000"/>
          <w:sz w:val="22"/>
          <w:szCs w:val="22"/>
        </w:rPr>
        <w:t>).</w:t>
      </w:r>
    </w:p>
    <w:p w14:paraId="2C9A56E5" w14:textId="4ED6DE7A" w:rsidR="00B545F5" w:rsidRPr="00945716" w:rsidRDefault="00B545F5" w:rsidP="00945716">
      <w:pPr>
        <w:jc w:val="both"/>
        <w:rPr>
          <w:rFonts w:ascii="Arial" w:hAnsi="Arial" w:cs="Arial"/>
        </w:rPr>
      </w:pPr>
    </w:p>
    <w:p w14:paraId="292DE91F" w14:textId="735EF3C0" w:rsidR="00946CC1" w:rsidRPr="00946CC1" w:rsidRDefault="00946CC1" w:rsidP="00F529A5">
      <w:pPr>
        <w:pBdr>
          <w:top w:val="single" w:sz="4" w:space="1" w:color="auto"/>
          <w:left w:val="single" w:sz="4" w:space="31" w:color="auto"/>
          <w:bottom w:val="single" w:sz="4" w:space="1" w:color="auto"/>
          <w:right w:val="single" w:sz="4" w:space="1" w:color="auto"/>
        </w:pBdr>
        <w:shd w:val="clear" w:color="auto" w:fill="FFFFFF" w:themeFill="background1"/>
        <w:ind w:left="360"/>
        <w:jc w:val="both"/>
        <w:rPr>
          <w:rFonts w:ascii="Arial" w:hAnsi="Arial" w:cs="Arial"/>
          <w:b/>
          <w:bCs/>
        </w:rPr>
      </w:pPr>
      <w:r w:rsidRPr="00946CC1">
        <w:rPr>
          <w:rFonts w:ascii="Arial" w:hAnsi="Arial" w:cs="Arial"/>
          <w:b/>
          <w:bCs/>
        </w:rPr>
        <w:t>CASE</w:t>
      </w:r>
      <w:r w:rsidR="00B545F5">
        <w:rPr>
          <w:rFonts w:ascii="Arial" w:hAnsi="Arial" w:cs="Arial"/>
          <w:b/>
          <w:bCs/>
        </w:rPr>
        <w:t>S</w:t>
      </w:r>
    </w:p>
    <w:p w14:paraId="63674417" w14:textId="0642741A" w:rsidR="00622D6E" w:rsidRPr="00946CC1" w:rsidRDefault="00622D6E" w:rsidP="00F529A5">
      <w:pPr>
        <w:pStyle w:val="ListParagraph"/>
        <w:numPr>
          <w:ilvl w:val="0"/>
          <w:numId w:val="4"/>
        </w:numPr>
        <w:pBdr>
          <w:top w:val="single" w:sz="4" w:space="1" w:color="auto"/>
          <w:left w:val="single" w:sz="4" w:space="31"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Case </w:t>
      </w:r>
      <w:hyperlink r:id="rId34" w:history="1">
        <w:r w:rsidRPr="00946CC1">
          <w:rPr>
            <w:rStyle w:val="Hyperlink"/>
            <w:rFonts w:ascii="Arial" w:hAnsi="Arial" w:cs="Arial"/>
          </w:rPr>
          <w:t>C-675/22</w:t>
        </w:r>
      </w:hyperlink>
      <w:r w:rsidRPr="00946CC1">
        <w:rPr>
          <w:rFonts w:ascii="Arial" w:hAnsi="Arial" w:cs="Arial"/>
        </w:rPr>
        <w:t>: Action brought on 2 November 2022 — Poland v Council, OJ 2023 C 7/18;</w:t>
      </w:r>
    </w:p>
    <w:p w14:paraId="0BAC0CA3" w14:textId="77777777" w:rsidR="00622D6E" w:rsidRPr="00946CC1" w:rsidRDefault="00622D6E" w:rsidP="00F529A5">
      <w:pPr>
        <w:pStyle w:val="ListParagraph"/>
        <w:numPr>
          <w:ilvl w:val="0"/>
          <w:numId w:val="4"/>
        </w:numPr>
        <w:pBdr>
          <w:top w:val="single" w:sz="4" w:space="1" w:color="auto"/>
          <w:left w:val="single" w:sz="4" w:space="31"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Case </w:t>
      </w:r>
      <w:hyperlink r:id="rId35" w:history="1">
        <w:r w:rsidRPr="00946CC1">
          <w:rPr>
            <w:rStyle w:val="Hyperlink"/>
            <w:rFonts w:ascii="Arial" w:hAnsi="Arial" w:cs="Arial"/>
          </w:rPr>
          <w:t>T-759/22</w:t>
        </w:r>
      </w:hyperlink>
      <w:r w:rsidRPr="00946CC1">
        <w:rPr>
          <w:rFonts w:ascii="Arial" w:hAnsi="Arial" w:cs="Arial"/>
        </w:rPr>
        <w:t xml:space="preserve">: Action brought on 2 December 2022 — Electrawinds Shabla South EAD v Council, OJ 2023 C 71/32; </w:t>
      </w:r>
    </w:p>
    <w:p w14:paraId="626D7A5E" w14:textId="77777777" w:rsidR="00622D6E" w:rsidRPr="00946CC1" w:rsidRDefault="00622D6E" w:rsidP="00F529A5">
      <w:pPr>
        <w:pStyle w:val="ListParagraph"/>
        <w:numPr>
          <w:ilvl w:val="0"/>
          <w:numId w:val="4"/>
        </w:numPr>
        <w:pBdr>
          <w:top w:val="single" w:sz="4" w:space="1" w:color="auto"/>
          <w:left w:val="single" w:sz="4" w:space="31"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Case </w:t>
      </w:r>
      <w:hyperlink r:id="rId36" w:history="1">
        <w:r w:rsidRPr="00946CC1">
          <w:rPr>
            <w:rStyle w:val="Hyperlink"/>
            <w:rFonts w:ascii="Arial" w:hAnsi="Arial" w:cs="Arial"/>
          </w:rPr>
          <w:t>T-775/22</w:t>
        </w:r>
      </w:hyperlink>
      <w:r w:rsidRPr="00946CC1">
        <w:rPr>
          <w:rFonts w:ascii="Arial" w:hAnsi="Arial" w:cs="Arial"/>
        </w:rPr>
        <w:t xml:space="preserve">: Action brought on 12 December 2022 — TJ e.a. v Council, OJ 2023 C 54/19; </w:t>
      </w:r>
    </w:p>
    <w:p w14:paraId="1CFC47FC" w14:textId="77777777" w:rsidR="00622D6E" w:rsidRPr="00946CC1" w:rsidRDefault="00622D6E" w:rsidP="00F529A5">
      <w:pPr>
        <w:pStyle w:val="ListParagraph"/>
        <w:numPr>
          <w:ilvl w:val="0"/>
          <w:numId w:val="4"/>
        </w:numPr>
        <w:pBdr>
          <w:top w:val="single" w:sz="4" w:space="1" w:color="auto"/>
          <w:left w:val="single" w:sz="4" w:space="31"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Case </w:t>
      </w:r>
      <w:hyperlink r:id="rId37" w:history="1">
        <w:r w:rsidRPr="00946CC1">
          <w:rPr>
            <w:rStyle w:val="Hyperlink"/>
            <w:rFonts w:ascii="Arial" w:hAnsi="Arial" w:cs="Arial"/>
          </w:rPr>
          <w:t>T-802/22</w:t>
        </w:r>
      </w:hyperlink>
      <w:r w:rsidRPr="00946CC1">
        <w:rPr>
          <w:rFonts w:ascii="Arial" w:hAnsi="Arial" w:cs="Arial"/>
        </w:rPr>
        <w:t xml:space="preserve">: Action brought on 28 December 2022 — ExxonMobil v Council, OJ 2023 C 54/23; </w:t>
      </w:r>
    </w:p>
    <w:p w14:paraId="15624E3D" w14:textId="77777777" w:rsidR="00622D6E" w:rsidRPr="00946CC1" w:rsidRDefault="00622D6E" w:rsidP="00F529A5">
      <w:pPr>
        <w:pStyle w:val="ListParagraph"/>
        <w:numPr>
          <w:ilvl w:val="0"/>
          <w:numId w:val="4"/>
        </w:numPr>
        <w:pBdr>
          <w:top w:val="single" w:sz="4" w:space="1" w:color="auto"/>
          <w:left w:val="single" w:sz="4" w:space="31"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Case </w:t>
      </w:r>
      <w:hyperlink r:id="rId38" w:history="1">
        <w:r w:rsidRPr="00946CC1">
          <w:rPr>
            <w:rStyle w:val="Hyperlink"/>
            <w:rFonts w:ascii="Arial" w:hAnsi="Arial" w:cs="Arial"/>
          </w:rPr>
          <w:t>T-795/22</w:t>
        </w:r>
      </w:hyperlink>
      <w:r w:rsidRPr="00946CC1">
        <w:rPr>
          <w:rFonts w:ascii="Arial" w:hAnsi="Arial" w:cs="Arial"/>
        </w:rPr>
        <w:t xml:space="preserve">: Action brought on 20 December 2022 — TV and TW v Council, OJ 2023 C 54/20; </w:t>
      </w:r>
    </w:p>
    <w:p w14:paraId="4096B8B9" w14:textId="7A674AF1" w:rsidR="00946CC1" w:rsidRPr="00946CC1" w:rsidRDefault="00622D6E" w:rsidP="00F529A5">
      <w:pPr>
        <w:pStyle w:val="ListParagraph"/>
        <w:numPr>
          <w:ilvl w:val="0"/>
          <w:numId w:val="4"/>
        </w:numPr>
        <w:pBdr>
          <w:top w:val="single" w:sz="4" w:space="1" w:color="auto"/>
          <w:left w:val="single" w:sz="4" w:space="31"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Case </w:t>
      </w:r>
      <w:hyperlink r:id="rId39" w:history="1">
        <w:r w:rsidRPr="00946CC1">
          <w:rPr>
            <w:rStyle w:val="Hyperlink"/>
            <w:rFonts w:ascii="Arial" w:hAnsi="Arial" w:cs="Arial"/>
          </w:rPr>
          <w:t>T-803/22</w:t>
        </w:r>
      </w:hyperlink>
      <w:r w:rsidRPr="00946CC1">
        <w:rPr>
          <w:rFonts w:ascii="Arial" w:hAnsi="Arial" w:cs="Arial"/>
        </w:rPr>
        <w:t>: Action brought on 30 December 2022 — TZ v Council, OJ 2023 C 63/64.</w:t>
      </w:r>
    </w:p>
    <w:p w14:paraId="59973A72" w14:textId="77777777" w:rsidR="00946CC1" w:rsidRDefault="00946CC1" w:rsidP="00946CC1">
      <w:pPr>
        <w:pStyle w:val="ListParagraph"/>
        <w:jc w:val="both"/>
        <w:rPr>
          <w:rFonts w:ascii="Arial" w:hAnsi="Arial" w:cs="Arial"/>
        </w:rPr>
      </w:pPr>
    </w:p>
    <w:p w14:paraId="2E295C4E" w14:textId="77777777" w:rsidR="00946CC1" w:rsidRDefault="00946CC1" w:rsidP="00946CC1">
      <w:pPr>
        <w:pStyle w:val="ListParagraph"/>
        <w:jc w:val="both"/>
        <w:rPr>
          <w:rFonts w:ascii="Arial" w:hAnsi="Arial" w:cs="Arial"/>
        </w:rPr>
      </w:pPr>
    </w:p>
    <w:p w14:paraId="2DD36F66" w14:textId="1CBA1233" w:rsidR="00DF6E2F" w:rsidRDefault="00CA0371" w:rsidP="00CA0371">
      <w:pPr>
        <w:pStyle w:val="ListParagraph"/>
        <w:numPr>
          <w:ilvl w:val="0"/>
          <w:numId w:val="1"/>
        </w:numPr>
        <w:jc w:val="both"/>
        <w:rPr>
          <w:rFonts w:ascii="Arial" w:hAnsi="Arial" w:cs="Arial"/>
        </w:rPr>
      </w:pPr>
      <w:r w:rsidRPr="003476F9">
        <w:rPr>
          <w:rFonts w:ascii="Arial" w:hAnsi="Arial" w:cs="Arial"/>
        </w:rPr>
        <w:t xml:space="preserve">Do you think the recourse by the Council to Article 122 TFEU to </w:t>
      </w:r>
      <w:r>
        <w:rPr>
          <w:rFonts w:ascii="Arial" w:hAnsi="Arial" w:cs="Arial"/>
        </w:rPr>
        <w:t>address</w:t>
      </w:r>
      <w:r w:rsidRPr="003476F9">
        <w:rPr>
          <w:rFonts w:ascii="Arial" w:hAnsi="Arial" w:cs="Arial"/>
        </w:rPr>
        <w:t xml:space="preserve"> the energy crisis and the economic downturn caused by the pandemic is legally </w:t>
      </w:r>
      <w:r>
        <w:rPr>
          <w:rFonts w:ascii="Arial" w:hAnsi="Arial" w:cs="Arial"/>
        </w:rPr>
        <w:t xml:space="preserve">justified </w:t>
      </w:r>
      <w:r w:rsidRPr="003476F9">
        <w:rPr>
          <w:rFonts w:ascii="Arial" w:hAnsi="Arial" w:cs="Arial"/>
        </w:rPr>
        <w:t>?</w:t>
      </w:r>
      <w:r>
        <w:rPr>
          <w:rFonts w:ascii="Arial" w:hAnsi="Arial" w:cs="Arial"/>
        </w:rPr>
        <w:t xml:space="preserve"> </w:t>
      </w:r>
      <w:r w:rsidR="00B545F5">
        <w:rPr>
          <w:rFonts w:ascii="Arial" w:hAnsi="Arial" w:cs="Arial"/>
        </w:rPr>
        <w:t>How is the argument of fiscal measures used ?</w:t>
      </w:r>
    </w:p>
    <w:p w14:paraId="3F319D48" w14:textId="77777777" w:rsidR="00FC2A7D" w:rsidRDefault="00CA0371" w:rsidP="00CA0371">
      <w:pPr>
        <w:pStyle w:val="ListParagraph"/>
        <w:numPr>
          <w:ilvl w:val="0"/>
          <w:numId w:val="1"/>
        </w:numPr>
        <w:jc w:val="both"/>
        <w:rPr>
          <w:rFonts w:ascii="Arial" w:hAnsi="Arial" w:cs="Arial"/>
        </w:rPr>
      </w:pPr>
      <w:r>
        <w:rPr>
          <w:rFonts w:ascii="Arial" w:hAnsi="Arial" w:cs="Arial"/>
        </w:rPr>
        <w:t xml:space="preserve">Look at the arguments of the Court in </w:t>
      </w:r>
      <w:hyperlink r:id="rId40" w:history="1">
        <w:r w:rsidRPr="00CA0371">
          <w:rPr>
            <w:rStyle w:val="Hyperlink"/>
            <w:rFonts w:ascii="Arial" w:hAnsi="Arial" w:cs="Arial"/>
          </w:rPr>
          <w:t>Anagnostakis</w:t>
        </w:r>
      </w:hyperlink>
      <w:r>
        <w:rPr>
          <w:rFonts w:ascii="Arial" w:hAnsi="Arial" w:cs="Arial"/>
        </w:rPr>
        <w:t xml:space="preserve"> case, at 70</w:t>
      </w:r>
      <w:r w:rsidR="007D65B9">
        <w:rPr>
          <w:rFonts w:ascii="Arial" w:hAnsi="Arial" w:cs="Arial"/>
        </w:rPr>
        <w:t>,</w:t>
      </w:r>
      <w:r>
        <w:rPr>
          <w:rFonts w:ascii="Arial" w:hAnsi="Arial" w:cs="Arial"/>
        </w:rPr>
        <w:t xml:space="preserve"> and comment on the restrictive approach of the court on the application of Art. 122 : What arguments could be brought by the member states against the Art. 122 measures in this case ?</w:t>
      </w:r>
    </w:p>
    <w:p w14:paraId="0B316C34" w14:textId="4C4655B1" w:rsidR="00DF6E2F" w:rsidRDefault="00FC2A7D" w:rsidP="00CA0371">
      <w:pPr>
        <w:pStyle w:val="ListParagraph"/>
        <w:numPr>
          <w:ilvl w:val="0"/>
          <w:numId w:val="1"/>
        </w:numPr>
        <w:jc w:val="both"/>
        <w:rPr>
          <w:rFonts w:ascii="Arial" w:hAnsi="Arial" w:cs="Arial"/>
        </w:rPr>
      </w:pPr>
      <w:r>
        <w:rPr>
          <w:rFonts w:ascii="Arial" w:hAnsi="Arial" w:cs="Arial"/>
        </w:rPr>
        <w:t xml:space="preserve">How does </w:t>
      </w:r>
      <w:hyperlink r:id="rId41" w:history="1">
        <w:r w:rsidRPr="00FC2A7D">
          <w:rPr>
            <w:rStyle w:val="Hyperlink"/>
            <w:rFonts w:ascii="Arial" w:hAnsi="Arial" w:cs="Arial"/>
          </w:rPr>
          <w:t>Electrawinds</w:t>
        </w:r>
      </w:hyperlink>
      <w:r>
        <w:rPr>
          <w:rFonts w:ascii="Arial" w:hAnsi="Arial" w:cs="Arial"/>
        </w:rPr>
        <w:t xml:space="preserve"> </w:t>
      </w:r>
      <w:r w:rsidR="00B545F5">
        <w:rPr>
          <w:rFonts w:ascii="Arial" w:hAnsi="Arial" w:cs="Arial"/>
        </w:rPr>
        <w:t>express this concern?  (Look at the first plea).</w:t>
      </w:r>
    </w:p>
    <w:p w14:paraId="43148419" w14:textId="3BD3C601" w:rsidR="008B275E" w:rsidRDefault="008B275E" w:rsidP="00CA0371">
      <w:pPr>
        <w:pStyle w:val="ListParagraph"/>
        <w:numPr>
          <w:ilvl w:val="0"/>
          <w:numId w:val="1"/>
        </w:numPr>
        <w:jc w:val="both"/>
        <w:rPr>
          <w:rFonts w:ascii="Arial" w:hAnsi="Arial" w:cs="Arial"/>
        </w:rPr>
      </w:pPr>
      <w:r>
        <w:rPr>
          <w:rFonts w:ascii="Arial" w:hAnsi="Arial" w:cs="Arial"/>
        </w:rPr>
        <w:t xml:space="preserve">Do you think that the challenges brought by private entities are admissible ? </w:t>
      </w:r>
    </w:p>
    <w:p w14:paraId="31EAAEF1" w14:textId="6BF15145" w:rsidR="001F6CD4" w:rsidRDefault="001F6CD4" w:rsidP="00CA0371">
      <w:pPr>
        <w:pStyle w:val="ListParagraph"/>
        <w:numPr>
          <w:ilvl w:val="0"/>
          <w:numId w:val="1"/>
        </w:numPr>
        <w:jc w:val="both"/>
        <w:rPr>
          <w:rFonts w:ascii="Arial" w:hAnsi="Arial" w:cs="Arial"/>
        </w:rPr>
      </w:pPr>
      <w:r>
        <w:rPr>
          <w:rFonts w:ascii="Arial" w:hAnsi="Arial" w:cs="Arial"/>
        </w:rPr>
        <w:t>Study the arguments of the</w:t>
      </w:r>
      <w:r w:rsidRPr="001F6CD4">
        <w:rPr>
          <w:rFonts w:ascii="Arial" w:hAnsi="Arial" w:cs="Arial"/>
        </w:rPr>
        <w:t xml:space="preserve"> case brought by Poland against the </w:t>
      </w:r>
      <w:hyperlink r:id="rId42" w:history="1">
        <w:r w:rsidRPr="003476F9">
          <w:rPr>
            <w:rStyle w:val="Hyperlink"/>
            <w:rFonts w:ascii="Arial" w:hAnsi="Arial" w:cs="Arial"/>
            <w:b/>
            <w:bCs/>
          </w:rPr>
          <w:t>Gas Demand-Reduction Regulation</w:t>
        </w:r>
      </w:hyperlink>
      <w:r w:rsidRPr="003476F9">
        <w:rPr>
          <w:rFonts w:ascii="Arial" w:hAnsi="Arial" w:cs="Arial"/>
        </w:rPr>
        <w:t>)</w:t>
      </w:r>
      <w:r w:rsidRPr="001F6CD4">
        <w:rPr>
          <w:rFonts w:ascii="Arial" w:hAnsi="Arial" w:cs="Arial"/>
        </w:rPr>
        <w:t xml:space="preserve">. </w:t>
      </w:r>
      <w:r>
        <w:rPr>
          <w:rFonts w:ascii="Arial" w:hAnsi="Arial" w:cs="Arial"/>
        </w:rPr>
        <w:t xml:space="preserve">Do you agree with the view that </w:t>
      </w:r>
      <w:r w:rsidRPr="001F6CD4">
        <w:rPr>
          <w:rFonts w:ascii="Arial" w:hAnsi="Arial" w:cs="Arial"/>
        </w:rPr>
        <w:t xml:space="preserve"> Poland is </w:t>
      </w:r>
      <w:r>
        <w:rPr>
          <w:rFonts w:ascii="Arial" w:hAnsi="Arial" w:cs="Arial"/>
        </w:rPr>
        <w:t xml:space="preserve">not </w:t>
      </w:r>
      <w:r w:rsidRPr="001F6CD4">
        <w:rPr>
          <w:rFonts w:ascii="Arial" w:hAnsi="Arial" w:cs="Arial"/>
        </w:rPr>
        <w:t>raising the fundamental</w:t>
      </w:r>
      <w:r>
        <w:rPr>
          <w:rFonts w:ascii="Arial" w:hAnsi="Arial" w:cs="Arial"/>
        </w:rPr>
        <w:t xml:space="preserve"> </w:t>
      </w:r>
      <w:r w:rsidRPr="001F6CD4">
        <w:rPr>
          <w:rFonts w:ascii="Arial" w:hAnsi="Arial" w:cs="Arial"/>
        </w:rPr>
        <w:t xml:space="preserve">question of the limits to Article 122 TFEU </w:t>
      </w:r>
      <w:r>
        <w:rPr>
          <w:rFonts w:ascii="Arial" w:hAnsi="Arial" w:cs="Arial"/>
        </w:rPr>
        <w:t xml:space="preserve">in order to challenge the competence of the EU but, instead, its main </w:t>
      </w:r>
      <w:r w:rsidRPr="001F6CD4">
        <w:rPr>
          <w:rFonts w:ascii="Arial" w:hAnsi="Arial" w:cs="Arial"/>
        </w:rPr>
        <w:t>plea is that Article 192(2)(c) TFEU ought to have been used as a legal basi</w:t>
      </w:r>
      <w:r w:rsidR="001F5207">
        <w:rPr>
          <w:rFonts w:ascii="Arial" w:hAnsi="Arial" w:cs="Arial"/>
        </w:rPr>
        <w:t>s ?</w:t>
      </w:r>
    </w:p>
    <w:p w14:paraId="490C185B" w14:textId="2E909232" w:rsidR="00CA0371" w:rsidRPr="00946CC1" w:rsidRDefault="00CA0371" w:rsidP="00B545F5">
      <w:pPr>
        <w:pStyle w:val="ListParagraph"/>
        <w:jc w:val="both"/>
        <w:rPr>
          <w:rFonts w:ascii="Arial" w:hAnsi="Arial" w:cs="Arial"/>
        </w:rPr>
      </w:pPr>
    </w:p>
    <w:p w14:paraId="29C284FC" w14:textId="77777777" w:rsidR="00946CC1" w:rsidRDefault="00946CC1" w:rsidP="00946CC1">
      <w:pPr>
        <w:pBdr>
          <w:top w:val="single" w:sz="4" w:space="1" w:color="auto"/>
          <w:left w:val="single" w:sz="4" w:space="0" w:color="auto"/>
          <w:bottom w:val="single" w:sz="4" w:space="1" w:color="auto"/>
          <w:right w:val="single" w:sz="4" w:space="1" w:color="auto"/>
        </w:pBdr>
        <w:shd w:val="clear" w:color="auto" w:fill="FFFFFF" w:themeFill="background1"/>
        <w:ind w:left="360"/>
        <w:jc w:val="both"/>
        <w:rPr>
          <w:rFonts w:ascii="Arial" w:hAnsi="Arial" w:cs="Arial"/>
        </w:rPr>
      </w:pPr>
    </w:p>
    <w:p w14:paraId="45074C41" w14:textId="1AC5474B" w:rsidR="00946CC1" w:rsidRPr="00946CC1" w:rsidRDefault="00946CC1" w:rsidP="00946CC1">
      <w:pPr>
        <w:pBdr>
          <w:top w:val="single" w:sz="4" w:space="1" w:color="auto"/>
          <w:left w:val="single" w:sz="4" w:space="0" w:color="auto"/>
          <w:bottom w:val="single" w:sz="4" w:space="1" w:color="auto"/>
          <w:right w:val="single" w:sz="4" w:space="1" w:color="auto"/>
        </w:pBdr>
        <w:shd w:val="clear" w:color="auto" w:fill="FFFFFF" w:themeFill="background1"/>
        <w:ind w:left="360" w:firstLine="360"/>
        <w:jc w:val="both"/>
        <w:rPr>
          <w:rFonts w:ascii="Arial" w:hAnsi="Arial" w:cs="Arial"/>
          <w:b/>
          <w:bCs/>
        </w:rPr>
      </w:pPr>
      <w:r w:rsidRPr="00946CC1">
        <w:rPr>
          <w:rFonts w:ascii="Arial" w:hAnsi="Arial" w:cs="Arial"/>
          <w:b/>
          <w:bCs/>
        </w:rPr>
        <w:t>Bibliography</w:t>
      </w:r>
    </w:p>
    <w:p w14:paraId="76CB5D94" w14:textId="26747E95" w:rsidR="00DC1B0F" w:rsidRPr="00946CC1" w:rsidRDefault="00DC1B0F"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European Council - </w:t>
      </w:r>
      <w:hyperlink r:id="rId43" w:history="1">
        <w:r w:rsidRPr="00946CC1">
          <w:rPr>
            <w:rStyle w:val="Hyperlink"/>
            <w:rFonts w:ascii="Arial" w:hAnsi="Arial" w:cs="Arial"/>
          </w:rPr>
          <w:t>Energy prices and security of supply</w:t>
        </w:r>
      </w:hyperlink>
      <w:r w:rsidRPr="00946CC1">
        <w:rPr>
          <w:rFonts w:ascii="Arial" w:hAnsi="Arial" w:cs="Arial"/>
        </w:rPr>
        <w:t xml:space="preserve">: </w:t>
      </w:r>
      <w:r w:rsidR="00AB46A0" w:rsidRPr="00946CC1">
        <w:rPr>
          <w:rFonts w:ascii="Arial" w:hAnsi="Arial" w:cs="Arial"/>
        </w:rPr>
        <w:t xml:space="preserve"> How the EU responded to the energy crisis</w:t>
      </w:r>
    </w:p>
    <w:p w14:paraId="507F5B24" w14:textId="6989B0DD" w:rsidR="005B3757" w:rsidRPr="00946CC1" w:rsidRDefault="00DC1B0F"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European Commission</w:t>
      </w:r>
      <w:r w:rsidR="005B3757" w:rsidRPr="00946CC1">
        <w:rPr>
          <w:rFonts w:ascii="Arial" w:hAnsi="Arial" w:cs="Arial"/>
        </w:rPr>
        <w:t xml:space="preserve">, </w:t>
      </w:r>
      <w:hyperlink r:id="rId44" w:history="1">
        <w:r w:rsidR="005B3757" w:rsidRPr="00946CC1">
          <w:rPr>
            <w:rStyle w:val="Hyperlink"/>
            <w:rFonts w:ascii="Arial" w:hAnsi="Arial" w:cs="Arial"/>
          </w:rPr>
          <w:t>Eighth report on the state of the energy unio</w:t>
        </w:r>
      </w:hyperlink>
      <w:r w:rsidR="005B3757" w:rsidRPr="00946CC1">
        <w:rPr>
          <w:rStyle w:val="Hyperlink"/>
          <w:rFonts w:ascii="Arial" w:hAnsi="Arial" w:cs="Arial"/>
        </w:rPr>
        <w:t>n</w:t>
      </w:r>
      <w:r w:rsidR="005B3757" w:rsidRPr="00946CC1">
        <w:rPr>
          <w:rFonts w:ascii="Arial" w:hAnsi="Arial" w:cs="Arial"/>
        </w:rPr>
        <w:t>, 2023</w:t>
      </w:r>
      <w:r w:rsidR="005B3757" w:rsidRPr="003476F9">
        <w:rPr>
          <w:rStyle w:val="FootnoteReference"/>
          <w:rFonts w:ascii="Arial" w:hAnsi="Arial" w:cs="Arial"/>
        </w:rPr>
        <w:footnoteReference w:id="3"/>
      </w:r>
      <w:r w:rsidR="005B3757" w:rsidRPr="00946CC1">
        <w:rPr>
          <w:rFonts w:ascii="Arial" w:hAnsi="Arial" w:cs="Arial"/>
        </w:rPr>
        <w:t>.</w:t>
      </w:r>
    </w:p>
    <w:p w14:paraId="4E651AAE" w14:textId="44D98AF9" w:rsidR="00EA7703" w:rsidRPr="00946CC1" w:rsidRDefault="00EA7703"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IEA (2023), </w:t>
      </w:r>
      <w:hyperlink r:id="rId45" w:history="1">
        <w:r w:rsidRPr="00946CC1">
          <w:rPr>
            <w:rStyle w:val="Hyperlink"/>
            <w:rFonts w:ascii="Arial" w:hAnsi="Arial" w:cs="Arial"/>
          </w:rPr>
          <w:t>Europe’s energy crisis: Understanding the drivers of the fall in electricity demand</w:t>
        </w:r>
      </w:hyperlink>
      <w:r w:rsidRPr="00946CC1">
        <w:rPr>
          <w:rFonts w:ascii="Arial" w:hAnsi="Arial" w:cs="Arial"/>
        </w:rPr>
        <w:t>, IEA, Paris</w:t>
      </w:r>
    </w:p>
    <w:p w14:paraId="2A16DC9B" w14:textId="3D9FE5A0" w:rsidR="00F8112A" w:rsidRPr="00946CC1" w:rsidRDefault="00F8112A"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Council of the EU, </w:t>
      </w:r>
      <w:hyperlink r:id="rId46" w:history="1">
        <w:r w:rsidRPr="00946CC1">
          <w:rPr>
            <w:rStyle w:val="Hyperlink"/>
            <w:rFonts w:ascii="Arial" w:hAnsi="Arial" w:cs="Arial"/>
          </w:rPr>
          <w:t>Press release</w:t>
        </w:r>
      </w:hyperlink>
      <w:r w:rsidRPr="00946CC1">
        <w:rPr>
          <w:rFonts w:ascii="Arial" w:hAnsi="Arial" w:cs="Arial"/>
        </w:rPr>
        <w:t>, Prolongation of emergency regulations on security of supply and energy prices: Council adopts measures</w:t>
      </w:r>
    </w:p>
    <w:p w14:paraId="4A1A029F" w14:textId="49BD369A" w:rsidR="00F8112A" w:rsidRPr="00946CC1" w:rsidRDefault="00946CC1"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European parliament</w:t>
      </w:r>
      <w:r w:rsidR="00F8112A" w:rsidRPr="00946CC1">
        <w:rPr>
          <w:rFonts w:ascii="Arial" w:hAnsi="Arial" w:cs="Arial"/>
        </w:rPr>
        <w:t xml:space="preserve"> / Policy Department for Citizens’ Rights and Constitutional Affairs, </w:t>
      </w:r>
      <w:hyperlink r:id="rId47" w:history="1">
        <w:r w:rsidR="00F8112A" w:rsidRPr="00946CC1">
          <w:rPr>
            <w:rStyle w:val="Hyperlink"/>
            <w:rFonts w:ascii="Arial" w:hAnsi="Arial" w:cs="Arial"/>
          </w:rPr>
          <w:t>The use of Article 122 TFEU Institutional implications and impact on democratic accountability</w:t>
        </w:r>
      </w:hyperlink>
    </w:p>
    <w:p w14:paraId="62E35F35" w14:textId="60E8B558" w:rsidR="00F8112A" w:rsidRPr="00946CC1" w:rsidRDefault="00F8112A"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121BA1">
        <w:rPr>
          <w:rFonts w:ascii="Arial" w:hAnsi="Arial" w:cs="Arial"/>
          <w:lang w:val="de-DE"/>
        </w:rPr>
        <w:t xml:space="preserve">von Homeyer, I., Oberthür, S., &amp; Jordan, A. J. (2021). </w:t>
      </w:r>
      <w:r w:rsidRPr="00946CC1">
        <w:rPr>
          <w:rFonts w:ascii="Arial" w:hAnsi="Arial" w:cs="Arial"/>
        </w:rPr>
        <w:t xml:space="preserve">EU climate and energy governance in times of crisis: towards a new agenda. </w:t>
      </w:r>
      <w:hyperlink r:id="rId48" w:history="1">
        <w:r w:rsidRPr="00946CC1">
          <w:rPr>
            <w:rStyle w:val="Hyperlink"/>
            <w:rFonts w:ascii="Arial" w:hAnsi="Arial" w:cs="Arial"/>
          </w:rPr>
          <w:t>Journal of European Public Policy, 28(7), 959–979</w:t>
        </w:r>
      </w:hyperlink>
      <w:r w:rsidRPr="00946CC1">
        <w:rPr>
          <w:rFonts w:ascii="Arial" w:hAnsi="Arial" w:cs="Arial"/>
        </w:rPr>
        <w:t xml:space="preserve">.  </w:t>
      </w:r>
    </w:p>
    <w:p w14:paraId="47C85F1A" w14:textId="2C89DDE5" w:rsidR="00F8112A" w:rsidRPr="00946CC1" w:rsidRDefault="00F8112A"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Radtke, J., Wurster, S. Multilevel governance of energy transitions in Europe: Addressing wicked problems of coordination, justice, and power in energy policy. </w:t>
      </w:r>
      <w:hyperlink r:id="rId49" w:history="1">
        <w:r w:rsidRPr="00946CC1">
          <w:rPr>
            <w:rStyle w:val="Hyperlink"/>
            <w:rFonts w:ascii="Arial" w:hAnsi="Arial" w:cs="Arial"/>
          </w:rPr>
          <w:t>Z Politikwiss 33, 139–155 (2023)</w:t>
        </w:r>
      </w:hyperlink>
      <w:r w:rsidRPr="00946CC1">
        <w:rPr>
          <w:rFonts w:ascii="Arial" w:hAnsi="Arial" w:cs="Arial"/>
        </w:rPr>
        <w:t xml:space="preserve">.  </w:t>
      </w:r>
    </w:p>
    <w:p w14:paraId="6CF54308" w14:textId="6FE05A40" w:rsidR="00F8112A" w:rsidRPr="00946CC1" w:rsidRDefault="00F8112A"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Knodt, M. (2024). Instruments and Modes of Governance in EU Climate and Energy Policy: From Energy Union to the European Green Deal. In Handbook on European Union Climate Change Policy and Politics (</w:t>
      </w:r>
      <w:hyperlink r:id="rId50" w:history="1">
        <w:r w:rsidRPr="00946CC1">
          <w:rPr>
            <w:rStyle w:val="Hyperlink"/>
            <w:rFonts w:ascii="Arial" w:hAnsi="Arial" w:cs="Arial"/>
          </w:rPr>
          <w:t>Chapter 14</w:t>
        </w:r>
      </w:hyperlink>
      <w:r w:rsidRPr="00946CC1">
        <w:rPr>
          <w:rFonts w:ascii="Arial" w:hAnsi="Arial" w:cs="Arial"/>
        </w:rPr>
        <w:t xml:space="preserve"> ) </w:t>
      </w:r>
    </w:p>
    <w:p w14:paraId="64B56EEF" w14:textId="77777777" w:rsidR="00946CC1" w:rsidRPr="00946CC1" w:rsidRDefault="00F8112A"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Dermine, P.; “Article 122 TFEU and the future of the Union’s emergency powers”, </w:t>
      </w:r>
      <w:hyperlink r:id="rId51" w:history="1">
        <w:r w:rsidRPr="00946CC1">
          <w:rPr>
            <w:rStyle w:val="Hyperlink"/>
            <w:rFonts w:ascii="Arial" w:hAnsi="Arial" w:cs="Arial"/>
          </w:rPr>
          <w:t>EU Law Live, 23/01/2024</w:t>
        </w:r>
      </w:hyperlink>
      <w:r w:rsidRPr="00946CC1">
        <w:rPr>
          <w:rFonts w:ascii="Arial" w:hAnsi="Arial" w:cs="Arial"/>
        </w:rPr>
        <w:t xml:space="preserve">, </w:t>
      </w:r>
      <w:r w:rsidR="00946CC1" w:rsidRPr="00946CC1">
        <w:rPr>
          <w:rFonts w:ascii="Arial" w:hAnsi="Arial" w:cs="Arial"/>
        </w:rPr>
        <w:t xml:space="preserve"> </w:t>
      </w:r>
    </w:p>
    <w:p w14:paraId="4AD8C4F4" w14:textId="1F6DA96F" w:rsidR="005B3757" w:rsidRPr="00946CC1" w:rsidRDefault="005B3757"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color w:val="474747"/>
          <w:shd w:val="clear" w:color="auto" w:fill="F6F6F6"/>
        </w:rPr>
      </w:pPr>
      <w:r w:rsidRPr="00946CC1">
        <w:rPr>
          <w:rFonts w:ascii="Arial" w:hAnsi="Arial" w:cs="Arial"/>
        </w:rPr>
        <w:t>2009 Russian-Ukrainian Gas Dispute: Lessons for European Energy Crisis Management after Lisbon', (2010), 15, European Foreign Affairs Review</w:t>
      </w:r>
      <w:r w:rsidRPr="00946CC1">
        <w:rPr>
          <w:rFonts w:ascii="Arial" w:hAnsi="Arial" w:cs="Arial"/>
          <w:color w:val="474747"/>
          <w:shd w:val="clear" w:color="auto" w:fill="F6F6F6"/>
        </w:rPr>
        <w:t xml:space="preserve">, Issue 4, </w:t>
      </w:r>
      <w:hyperlink r:id="rId52" w:history="1">
        <w:r w:rsidRPr="00946CC1">
          <w:rPr>
            <w:rStyle w:val="Hyperlink"/>
            <w:rFonts w:ascii="Arial" w:hAnsi="Arial" w:cs="Arial"/>
            <w:shd w:val="clear" w:color="auto" w:fill="F6F6F6"/>
          </w:rPr>
          <w:t>pp. 511-538</w:t>
        </w:r>
      </w:hyperlink>
    </w:p>
    <w:p w14:paraId="17E8113B" w14:textId="51E78AB6" w:rsidR="00EA7703" w:rsidRPr="00946CC1" w:rsidRDefault="00EA7703"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color w:val="333333"/>
          <w:shd w:val="clear" w:color="auto" w:fill="FFFFFF"/>
        </w:rPr>
        <w:t xml:space="preserve">Carl Fredrik Bergström, EU Rulemaking in Response to Crisis: the Emergence of the Principle of Energy Solidarity and its Use, </w:t>
      </w:r>
      <w:hyperlink r:id="rId53" w:history="1">
        <w:r w:rsidRPr="00946CC1">
          <w:rPr>
            <w:rStyle w:val="Hyperlink"/>
            <w:rFonts w:ascii="Arial" w:hAnsi="Arial" w:cs="Arial"/>
          </w:rPr>
          <w:t>Vol. 6 No. 2</w:t>
        </w:r>
      </w:hyperlink>
      <w:r w:rsidRPr="00946CC1">
        <w:rPr>
          <w:rFonts w:ascii="Arial" w:hAnsi="Arial" w:cs="Arial"/>
        </w:rPr>
        <w:t xml:space="preserve"> (2023): Nordic Journal of European Law Special Issue 2023(2)</w:t>
      </w:r>
    </w:p>
    <w:p w14:paraId="26F33C08" w14:textId="43752260" w:rsidR="00AB46A0" w:rsidRPr="00946CC1" w:rsidRDefault="00AB46A0"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color w:val="333333"/>
          <w:shd w:val="clear" w:color="auto" w:fill="FFFFFF"/>
        </w:rPr>
      </w:pPr>
      <w:r w:rsidRPr="00946CC1">
        <w:rPr>
          <w:rFonts w:ascii="Arial" w:hAnsi="Arial" w:cs="Arial"/>
          <w:color w:val="333333"/>
        </w:rPr>
        <w:t>De Witte, Bruno</w:t>
      </w:r>
      <w:r w:rsidRPr="00946CC1">
        <w:rPr>
          <w:rFonts w:ascii="Arial" w:hAnsi="Arial" w:cs="Arial"/>
          <w:color w:val="333333"/>
          <w:shd w:val="clear" w:color="auto" w:fill="FFFFFF"/>
        </w:rPr>
        <w:t>, </w:t>
      </w:r>
      <w:r w:rsidRPr="00946CC1">
        <w:rPr>
          <w:rStyle w:val="item-citation-title"/>
          <w:rFonts w:ascii="Arial" w:hAnsi="Arial" w:cs="Arial"/>
          <w:i/>
          <w:iCs/>
          <w:color w:val="333333"/>
        </w:rPr>
        <w:t>Guest Editorial : EU emergency law and its impact on the EU legal order</w:t>
      </w:r>
      <w:r w:rsidRPr="00946CC1">
        <w:rPr>
          <w:rFonts w:ascii="Arial" w:hAnsi="Arial" w:cs="Arial"/>
          <w:color w:val="333333"/>
          <w:shd w:val="clear" w:color="auto" w:fill="FFFFFF"/>
        </w:rPr>
        <w:t>, </w:t>
      </w:r>
      <w:r w:rsidRPr="00946CC1">
        <w:rPr>
          <w:rFonts w:ascii="Arial" w:hAnsi="Arial" w:cs="Arial"/>
          <w:color w:val="333333"/>
        </w:rPr>
        <w:t>Common market law review, 2022, Vol. 59, No. 1</w:t>
      </w:r>
      <w:hyperlink r:id="rId54" w:history="1">
        <w:r w:rsidRPr="00946CC1">
          <w:rPr>
            <w:rStyle w:val="Hyperlink"/>
            <w:rFonts w:ascii="Arial" w:hAnsi="Arial" w:cs="Arial"/>
          </w:rPr>
          <w:t>, pp. 3-18</w:t>
        </w:r>
        <w:r w:rsidRPr="00946CC1">
          <w:rPr>
            <w:rStyle w:val="Hyperlink"/>
            <w:rFonts w:ascii="Arial" w:hAnsi="Arial" w:cs="Arial"/>
            <w:shd w:val="clear" w:color="auto" w:fill="FFFFFF"/>
          </w:rPr>
          <w:t>  </w:t>
        </w:r>
      </w:hyperlink>
      <w:r w:rsidRPr="00946CC1">
        <w:rPr>
          <w:rFonts w:ascii="Arial" w:hAnsi="Arial" w:cs="Arial"/>
          <w:color w:val="333333"/>
          <w:shd w:val="clear" w:color="auto" w:fill="FFFFFF"/>
        </w:rPr>
        <w:t xml:space="preserve"> </w:t>
      </w:r>
    </w:p>
    <w:p w14:paraId="63F7A2D5" w14:textId="1E103CB8" w:rsidR="00AB46A0" w:rsidRPr="00946CC1" w:rsidRDefault="00AB46A0"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color w:val="181817"/>
          <w:shd w:val="clear" w:color="auto" w:fill="FFFFFF"/>
        </w:rPr>
      </w:pPr>
      <w:r w:rsidRPr="00946CC1">
        <w:rPr>
          <w:rFonts w:ascii="Arial" w:hAnsi="Arial" w:cs="Arial"/>
          <w:color w:val="181817"/>
          <w:shd w:val="clear" w:color="auto" w:fill="FFFFFF"/>
        </w:rPr>
        <w:lastRenderedPageBreak/>
        <w:t>Kaschny L. Energy Justice and the Principles of Article 194(1) TFEU Governing EU Energy Policy. </w:t>
      </w:r>
      <w:r w:rsidRPr="00946CC1">
        <w:rPr>
          <w:rFonts w:ascii="Arial" w:hAnsi="Arial" w:cs="Arial"/>
          <w:i/>
          <w:iCs/>
          <w:color w:val="181817"/>
          <w:bdr w:val="none" w:sz="0" w:space="0" w:color="auto" w:frame="1"/>
          <w:shd w:val="clear" w:color="auto" w:fill="FFFFFF"/>
        </w:rPr>
        <w:t>Transnational Environmental Law</w:t>
      </w:r>
      <w:r w:rsidRPr="00946CC1">
        <w:rPr>
          <w:rFonts w:ascii="Arial" w:hAnsi="Arial" w:cs="Arial"/>
          <w:color w:val="181817"/>
          <w:shd w:val="clear" w:color="auto" w:fill="FFFFFF"/>
        </w:rPr>
        <w:t xml:space="preserve">. 2023;12(2):270-294. </w:t>
      </w:r>
    </w:p>
    <w:p w14:paraId="40E33F38" w14:textId="58FFF98B" w:rsidR="00DF6E2F" w:rsidRPr="00946CC1" w:rsidRDefault="00DF6E2F"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color w:val="181817"/>
          <w:shd w:val="clear" w:color="auto" w:fill="FFFFFF"/>
        </w:rPr>
      </w:pPr>
      <w:r w:rsidRPr="00946CC1">
        <w:rPr>
          <w:rFonts w:ascii="Arial" w:hAnsi="Arial" w:cs="Arial"/>
          <w:color w:val="181817"/>
          <w:shd w:val="clear" w:color="auto" w:fill="FFFFFF"/>
        </w:rPr>
        <w:t xml:space="preserve">Vathrakokoilis, Antonios, The Significance of Article 122 (II) TFEU in State Debt Crisis in Europe (June 30, 2017, </w:t>
      </w:r>
      <w:hyperlink r:id="rId55" w:history="1">
        <w:r w:rsidRPr="00946CC1">
          <w:rPr>
            <w:rStyle w:val="Hyperlink"/>
            <w:rFonts w:ascii="Arial" w:hAnsi="Arial" w:cs="Arial"/>
            <w:shd w:val="clear" w:color="auto" w:fill="FFFFFF"/>
          </w:rPr>
          <w:t>SSRN</w:t>
        </w:r>
      </w:hyperlink>
      <w:r w:rsidRPr="00946CC1">
        <w:rPr>
          <w:rFonts w:ascii="Arial" w:hAnsi="Arial" w:cs="Arial"/>
          <w:color w:val="181817"/>
          <w:shd w:val="clear" w:color="auto" w:fill="FFFFFF"/>
        </w:rPr>
        <w:t xml:space="preserve">).  </w:t>
      </w:r>
    </w:p>
    <w:p w14:paraId="1790B5CE" w14:textId="66B80EDD" w:rsidR="00F8112A" w:rsidRDefault="00F8112A"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color w:val="181817"/>
          <w:shd w:val="clear" w:color="auto" w:fill="FFFFFF"/>
        </w:rPr>
      </w:pPr>
      <w:r w:rsidRPr="00946CC1">
        <w:rPr>
          <w:rFonts w:ascii="Arial" w:hAnsi="Arial" w:cs="Arial"/>
          <w:color w:val="181817"/>
          <w:shd w:val="clear" w:color="auto" w:fill="FFFFFF"/>
        </w:rPr>
        <w:t xml:space="preserve">Schlacke, S., &amp; Knodt, M. (2019). The Governance System of the European Energy Union and Climate Action. Journal for European Environmental &amp; Planning Law, </w:t>
      </w:r>
      <w:hyperlink r:id="rId56" w:history="1">
        <w:r w:rsidRPr="000B30D1">
          <w:rPr>
            <w:rStyle w:val="Hyperlink"/>
            <w:rFonts w:ascii="Arial" w:hAnsi="Arial" w:cs="Arial"/>
            <w:shd w:val="clear" w:color="auto" w:fill="FFFFFF"/>
          </w:rPr>
          <w:t>16(4), 323-339</w:t>
        </w:r>
      </w:hyperlink>
      <w:r w:rsidRPr="00946CC1">
        <w:rPr>
          <w:rFonts w:ascii="Arial" w:hAnsi="Arial" w:cs="Arial"/>
          <w:color w:val="181817"/>
          <w:shd w:val="clear" w:color="auto" w:fill="FFFFFF"/>
        </w:rPr>
        <w:t xml:space="preserve">. </w:t>
      </w:r>
    </w:p>
    <w:p w14:paraId="1BB2D104" w14:textId="46F605B2" w:rsidR="00EC77CC" w:rsidRPr="00946CC1" w:rsidRDefault="00EC77CC"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color w:val="181817"/>
          <w:shd w:val="clear" w:color="auto" w:fill="FFFFFF"/>
        </w:rPr>
      </w:pPr>
      <w:r w:rsidRPr="00EC77CC">
        <w:rPr>
          <w:rFonts w:ascii="Arial" w:hAnsi="Arial" w:cs="Arial"/>
          <w:color w:val="181817"/>
          <w:shd w:val="clear" w:color="auto" w:fill="FFFFFF"/>
        </w:rPr>
        <w:t>Leino-Sandberg,</w:t>
      </w:r>
      <w:r>
        <w:rPr>
          <w:rFonts w:ascii="Arial" w:hAnsi="Arial" w:cs="Arial"/>
          <w:color w:val="181817"/>
          <w:shd w:val="clear" w:color="auto" w:fill="FFFFFF"/>
        </w:rPr>
        <w:t xml:space="preserve"> P., </w:t>
      </w:r>
      <w:r w:rsidRPr="00EC77CC">
        <w:rPr>
          <w:rFonts w:ascii="Arial" w:hAnsi="Arial" w:cs="Arial"/>
          <w:color w:val="181817"/>
          <w:shd w:val="clear" w:color="auto" w:fill="FFFFFF"/>
        </w:rPr>
        <w:t>Ruffert,</w:t>
      </w:r>
      <w:r>
        <w:rPr>
          <w:rFonts w:ascii="Arial" w:hAnsi="Arial" w:cs="Arial"/>
          <w:color w:val="181817"/>
          <w:shd w:val="clear" w:color="auto" w:fill="FFFFFF"/>
        </w:rPr>
        <w:t xml:space="preserve"> M., </w:t>
      </w:r>
      <w:r w:rsidRPr="00EC77CC">
        <w:rPr>
          <w:rFonts w:ascii="Arial" w:hAnsi="Arial" w:cs="Arial"/>
          <w:color w:val="181817"/>
          <w:shd w:val="clear" w:color="auto" w:fill="FFFFFF"/>
        </w:rPr>
        <w:t xml:space="preserve"> 'Next Generation EU and its constitutional ramifications: A critical assessment', (2022), 59, Common Market Law Review, Issue 2,</w:t>
      </w:r>
      <w:r>
        <w:rPr>
          <w:rFonts w:ascii="Fira Sans" w:hAnsi="Fira Sans"/>
          <w:color w:val="474747"/>
          <w:shd w:val="clear" w:color="auto" w:fill="F6F6F6"/>
        </w:rPr>
        <w:t xml:space="preserve"> </w:t>
      </w:r>
      <w:hyperlink r:id="rId57" w:history="1">
        <w:r w:rsidRPr="00EC77CC">
          <w:rPr>
            <w:rStyle w:val="Hyperlink"/>
            <w:rFonts w:ascii="Fira Sans" w:hAnsi="Fira Sans"/>
            <w:shd w:val="clear" w:color="auto" w:fill="F6F6F6"/>
          </w:rPr>
          <w:t>pp. 433-472</w:t>
        </w:r>
      </w:hyperlink>
      <w:r>
        <w:rPr>
          <w:rFonts w:ascii="Fira Sans" w:hAnsi="Fira Sans"/>
          <w:color w:val="474747"/>
          <w:shd w:val="clear" w:color="auto" w:fill="F6F6F6"/>
        </w:rPr>
        <w:t xml:space="preserve">. </w:t>
      </w:r>
    </w:p>
    <w:p w14:paraId="21DA674A" w14:textId="4CAA78BB" w:rsidR="005B3757" w:rsidRPr="00946CC1" w:rsidRDefault="00EA7703" w:rsidP="00946CC1">
      <w:pPr>
        <w:pStyle w:val="ListParagraph"/>
        <w:numPr>
          <w:ilvl w:val="0"/>
          <w:numId w:val="3"/>
        </w:numPr>
        <w:pBdr>
          <w:top w:val="single" w:sz="4" w:space="1" w:color="auto"/>
          <w:left w:val="single" w:sz="4" w:space="0" w:color="auto"/>
          <w:bottom w:val="single" w:sz="4" w:space="1" w:color="auto"/>
          <w:right w:val="single" w:sz="4" w:space="1" w:color="auto"/>
        </w:pBdr>
        <w:shd w:val="clear" w:color="auto" w:fill="FFFFFF" w:themeFill="background1"/>
        <w:jc w:val="both"/>
        <w:rPr>
          <w:rFonts w:ascii="Arial" w:hAnsi="Arial" w:cs="Arial"/>
        </w:rPr>
      </w:pPr>
      <w:r w:rsidRPr="00946CC1">
        <w:rPr>
          <w:rFonts w:ascii="Arial" w:hAnsi="Arial" w:cs="Arial"/>
        </w:rPr>
        <w:t xml:space="preserve">Nikas, A., &amp; Doukas, H. (2022). </w:t>
      </w:r>
      <w:hyperlink r:id="rId58" w:history="1">
        <w:r w:rsidRPr="00946CC1">
          <w:rPr>
            <w:rStyle w:val="Hyperlink"/>
            <w:rFonts w:ascii="Arial" w:hAnsi="Arial" w:cs="Arial"/>
          </w:rPr>
          <w:t>Europe’s energy crisis – climate community must speak up</w:t>
        </w:r>
      </w:hyperlink>
      <w:r w:rsidRPr="00946CC1">
        <w:rPr>
          <w:rFonts w:ascii="Arial" w:hAnsi="Arial" w:cs="Arial"/>
        </w:rPr>
        <w:t xml:space="preserve">. </w:t>
      </w:r>
    </w:p>
    <w:sectPr w:rsidR="005B3757" w:rsidRPr="00946CC1">
      <w:foot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30B84" w14:textId="77777777" w:rsidR="007404E4" w:rsidRDefault="007404E4" w:rsidP="00163696">
      <w:pPr>
        <w:spacing w:after="0" w:line="240" w:lineRule="auto"/>
      </w:pPr>
      <w:r>
        <w:separator/>
      </w:r>
    </w:p>
  </w:endnote>
  <w:endnote w:type="continuationSeparator" w:id="0">
    <w:p w14:paraId="52BFE942" w14:textId="77777777" w:rsidR="007404E4" w:rsidRDefault="007404E4" w:rsidP="0016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0FDA" w14:textId="51C50757" w:rsidR="00F529A5" w:rsidRDefault="00F529A5">
    <w:pPr>
      <w:pStyle w:val="Footer"/>
      <w:jc w:val="center"/>
      <w:rPr>
        <w:caps/>
        <w:color w:val="156082"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4595" w14:textId="77777777" w:rsidR="007404E4" w:rsidRDefault="007404E4" w:rsidP="00163696">
      <w:pPr>
        <w:spacing w:after="0" w:line="240" w:lineRule="auto"/>
      </w:pPr>
      <w:r>
        <w:separator/>
      </w:r>
    </w:p>
  </w:footnote>
  <w:footnote w:type="continuationSeparator" w:id="0">
    <w:p w14:paraId="35F35E89" w14:textId="77777777" w:rsidR="007404E4" w:rsidRDefault="007404E4" w:rsidP="00163696">
      <w:pPr>
        <w:spacing w:after="0" w:line="240" w:lineRule="auto"/>
      </w:pPr>
      <w:r>
        <w:continuationSeparator/>
      </w:r>
    </w:p>
  </w:footnote>
  <w:footnote w:id="1">
    <w:p w14:paraId="0ECD7605" w14:textId="3A58A132" w:rsidR="00163696" w:rsidRDefault="00163696">
      <w:pPr>
        <w:pStyle w:val="FootnoteText"/>
      </w:pPr>
      <w:r>
        <w:rPr>
          <w:rStyle w:val="FootnoteReference"/>
        </w:rPr>
        <w:footnoteRef/>
      </w:r>
      <w:r>
        <w:t xml:space="preserve"> For Member States response, see </w:t>
      </w:r>
      <w:hyperlink r:id="rId1" w:history="1">
        <w:r w:rsidRPr="00163696">
          <w:rPr>
            <w:rStyle w:val="Hyperlink"/>
          </w:rPr>
          <w:t>here</w:t>
        </w:r>
      </w:hyperlink>
      <w:r>
        <w:t xml:space="preserve">. </w:t>
      </w:r>
    </w:p>
  </w:footnote>
  <w:footnote w:id="2">
    <w:p w14:paraId="7D0DD6B2" w14:textId="04D1556D" w:rsidR="007F6729" w:rsidRDefault="007F6729">
      <w:pPr>
        <w:pStyle w:val="FootnoteText"/>
      </w:pPr>
      <w:r>
        <w:rPr>
          <w:rStyle w:val="FootnoteReference"/>
        </w:rPr>
        <w:footnoteRef/>
      </w:r>
      <w:r>
        <w:t xml:space="preserve"> EC. (2019a). The European green deal </w:t>
      </w:r>
    </w:p>
  </w:footnote>
  <w:footnote w:id="3">
    <w:p w14:paraId="6252EF04" w14:textId="5174F564" w:rsidR="005B3757" w:rsidRDefault="005B3757" w:rsidP="005B3757">
      <w:pPr>
        <w:pStyle w:val="FootnoteText"/>
      </w:pPr>
      <w:r>
        <w:rPr>
          <w:rStyle w:val="FootnoteReference"/>
        </w:rPr>
        <w:footnoteRef/>
      </w:r>
      <w:r>
        <w:t xml:space="preserve"> Brussels, 24.10.2023, COM(2023) 650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7F3E"/>
    <w:multiLevelType w:val="hybridMultilevel"/>
    <w:tmpl w:val="79F8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91D42"/>
    <w:multiLevelType w:val="multilevel"/>
    <w:tmpl w:val="5390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B68D8"/>
    <w:multiLevelType w:val="multilevel"/>
    <w:tmpl w:val="C2C6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4A0F1F"/>
    <w:multiLevelType w:val="hybridMultilevel"/>
    <w:tmpl w:val="7F5C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7E40C3"/>
    <w:multiLevelType w:val="multilevel"/>
    <w:tmpl w:val="5C2C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656703"/>
    <w:multiLevelType w:val="hybridMultilevel"/>
    <w:tmpl w:val="C494E8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F7187"/>
    <w:multiLevelType w:val="multilevel"/>
    <w:tmpl w:val="16EC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F6852"/>
    <w:multiLevelType w:val="multilevel"/>
    <w:tmpl w:val="C97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624470">
    <w:abstractNumId w:val="5"/>
  </w:num>
  <w:num w:numId="2" w16cid:durableId="681124159">
    <w:abstractNumId w:val="7"/>
  </w:num>
  <w:num w:numId="3" w16cid:durableId="743799933">
    <w:abstractNumId w:val="0"/>
  </w:num>
  <w:num w:numId="4" w16cid:durableId="1919829668">
    <w:abstractNumId w:val="3"/>
  </w:num>
  <w:num w:numId="5" w16cid:durableId="1040011583">
    <w:abstractNumId w:val="1"/>
  </w:num>
  <w:num w:numId="6" w16cid:durableId="1321887454">
    <w:abstractNumId w:val="2"/>
  </w:num>
  <w:num w:numId="7" w16cid:durableId="99036455">
    <w:abstractNumId w:val="4"/>
  </w:num>
  <w:num w:numId="8" w16cid:durableId="161088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99"/>
    <w:rsid w:val="000546CD"/>
    <w:rsid w:val="00060D83"/>
    <w:rsid w:val="000B30D1"/>
    <w:rsid w:val="000C469B"/>
    <w:rsid w:val="00121BA1"/>
    <w:rsid w:val="00136C11"/>
    <w:rsid w:val="00163696"/>
    <w:rsid w:val="00174A43"/>
    <w:rsid w:val="001866BF"/>
    <w:rsid w:val="001A1E29"/>
    <w:rsid w:val="001E1B6B"/>
    <w:rsid w:val="001F5207"/>
    <w:rsid w:val="001F6CD4"/>
    <w:rsid w:val="002B602F"/>
    <w:rsid w:val="002F5087"/>
    <w:rsid w:val="003476F9"/>
    <w:rsid w:val="00382199"/>
    <w:rsid w:val="00397C1C"/>
    <w:rsid w:val="0044370E"/>
    <w:rsid w:val="0057184A"/>
    <w:rsid w:val="005B3757"/>
    <w:rsid w:val="00615B0C"/>
    <w:rsid w:val="00622D6E"/>
    <w:rsid w:val="006675BF"/>
    <w:rsid w:val="0073187D"/>
    <w:rsid w:val="007404E4"/>
    <w:rsid w:val="00765F4A"/>
    <w:rsid w:val="0078537E"/>
    <w:rsid w:val="007B154A"/>
    <w:rsid w:val="007D65B9"/>
    <w:rsid w:val="007D789E"/>
    <w:rsid w:val="007F6729"/>
    <w:rsid w:val="00827975"/>
    <w:rsid w:val="008902C9"/>
    <w:rsid w:val="008A3148"/>
    <w:rsid w:val="008B275E"/>
    <w:rsid w:val="008B597A"/>
    <w:rsid w:val="00945716"/>
    <w:rsid w:val="00946CC1"/>
    <w:rsid w:val="009922B2"/>
    <w:rsid w:val="009D4F83"/>
    <w:rsid w:val="009F7899"/>
    <w:rsid w:val="00A474DD"/>
    <w:rsid w:val="00A57EC9"/>
    <w:rsid w:val="00AB46A0"/>
    <w:rsid w:val="00AE0893"/>
    <w:rsid w:val="00B545F5"/>
    <w:rsid w:val="00B82550"/>
    <w:rsid w:val="00BC4001"/>
    <w:rsid w:val="00C447A2"/>
    <w:rsid w:val="00CA0371"/>
    <w:rsid w:val="00D1199D"/>
    <w:rsid w:val="00D561C6"/>
    <w:rsid w:val="00D625E8"/>
    <w:rsid w:val="00DC1B0F"/>
    <w:rsid w:val="00DF6E2F"/>
    <w:rsid w:val="00E20B94"/>
    <w:rsid w:val="00E42E54"/>
    <w:rsid w:val="00E62830"/>
    <w:rsid w:val="00EA7703"/>
    <w:rsid w:val="00EC77CC"/>
    <w:rsid w:val="00EE162D"/>
    <w:rsid w:val="00F529A5"/>
    <w:rsid w:val="00F8112A"/>
    <w:rsid w:val="00F868AD"/>
    <w:rsid w:val="00FB0677"/>
    <w:rsid w:val="00FC2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5F79"/>
  <w15:chartTrackingRefBased/>
  <w15:docId w15:val="{48CEED55-C562-4A02-9CB8-29ECBCC2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899"/>
    <w:rPr>
      <w:rFonts w:eastAsiaTheme="majorEastAsia" w:cstheme="majorBidi"/>
      <w:color w:val="272727" w:themeColor="text1" w:themeTint="D8"/>
    </w:rPr>
  </w:style>
  <w:style w:type="paragraph" w:styleId="Title">
    <w:name w:val="Title"/>
    <w:basedOn w:val="Normal"/>
    <w:next w:val="Normal"/>
    <w:link w:val="TitleChar"/>
    <w:uiPriority w:val="10"/>
    <w:qFormat/>
    <w:rsid w:val="009F7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899"/>
    <w:pPr>
      <w:spacing w:before="160"/>
      <w:jc w:val="center"/>
    </w:pPr>
    <w:rPr>
      <w:i/>
      <w:iCs/>
      <w:color w:val="404040" w:themeColor="text1" w:themeTint="BF"/>
    </w:rPr>
  </w:style>
  <w:style w:type="character" w:customStyle="1" w:styleId="QuoteChar">
    <w:name w:val="Quote Char"/>
    <w:basedOn w:val="DefaultParagraphFont"/>
    <w:link w:val="Quote"/>
    <w:uiPriority w:val="29"/>
    <w:rsid w:val="009F7899"/>
    <w:rPr>
      <w:i/>
      <w:iCs/>
      <w:color w:val="404040" w:themeColor="text1" w:themeTint="BF"/>
    </w:rPr>
  </w:style>
  <w:style w:type="paragraph" w:styleId="ListParagraph">
    <w:name w:val="List Paragraph"/>
    <w:basedOn w:val="Normal"/>
    <w:uiPriority w:val="34"/>
    <w:qFormat/>
    <w:rsid w:val="009F7899"/>
    <w:pPr>
      <w:ind w:left="720"/>
      <w:contextualSpacing/>
    </w:pPr>
  </w:style>
  <w:style w:type="character" w:styleId="IntenseEmphasis">
    <w:name w:val="Intense Emphasis"/>
    <w:basedOn w:val="DefaultParagraphFont"/>
    <w:uiPriority w:val="21"/>
    <w:qFormat/>
    <w:rsid w:val="009F7899"/>
    <w:rPr>
      <w:i/>
      <w:iCs/>
      <w:color w:val="0F4761" w:themeColor="accent1" w:themeShade="BF"/>
    </w:rPr>
  </w:style>
  <w:style w:type="paragraph" w:styleId="IntenseQuote">
    <w:name w:val="Intense Quote"/>
    <w:basedOn w:val="Normal"/>
    <w:next w:val="Normal"/>
    <w:link w:val="IntenseQuoteChar"/>
    <w:uiPriority w:val="30"/>
    <w:qFormat/>
    <w:rsid w:val="009F7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899"/>
    <w:rPr>
      <w:i/>
      <w:iCs/>
      <w:color w:val="0F4761" w:themeColor="accent1" w:themeShade="BF"/>
    </w:rPr>
  </w:style>
  <w:style w:type="character" w:styleId="IntenseReference">
    <w:name w:val="Intense Reference"/>
    <w:basedOn w:val="DefaultParagraphFont"/>
    <w:uiPriority w:val="32"/>
    <w:qFormat/>
    <w:rsid w:val="009F7899"/>
    <w:rPr>
      <w:b/>
      <w:bCs/>
      <w:smallCaps/>
      <w:color w:val="0F4761" w:themeColor="accent1" w:themeShade="BF"/>
      <w:spacing w:val="5"/>
    </w:rPr>
  </w:style>
  <w:style w:type="paragraph" w:styleId="FootnoteText">
    <w:name w:val="footnote text"/>
    <w:basedOn w:val="Normal"/>
    <w:link w:val="FootnoteTextChar"/>
    <w:uiPriority w:val="99"/>
    <w:semiHidden/>
    <w:unhideWhenUsed/>
    <w:rsid w:val="00163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696"/>
    <w:rPr>
      <w:sz w:val="20"/>
      <w:szCs w:val="20"/>
    </w:rPr>
  </w:style>
  <w:style w:type="character" w:styleId="FootnoteReference">
    <w:name w:val="footnote reference"/>
    <w:basedOn w:val="DefaultParagraphFont"/>
    <w:uiPriority w:val="99"/>
    <w:semiHidden/>
    <w:unhideWhenUsed/>
    <w:rsid w:val="00163696"/>
    <w:rPr>
      <w:vertAlign w:val="superscript"/>
    </w:rPr>
  </w:style>
  <w:style w:type="character" w:styleId="Hyperlink">
    <w:name w:val="Hyperlink"/>
    <w:basedOn w:val="DefaultParagraphFont"/>
    <w:uiPriority w:val="99"/>
    <w:unhideWhenUsed/>
    <w:rsid w:val="00163696"/>
    <w:rPr>
      <w:color w:val="467886" w:themeColor="hyperlink"/>
      <w:u w:val="single"/>
    </w:rPr>
  </w:style>
  <w:style w:type="character" w:styleId="UnresolvedMention">
    <w:name w:val="Unresolved Mention"/>
    <w:basedOn w:val="DefaultParagraphFont"/>
    <w:uiPriority w:val="99"/>
    <w:semiHidden/>
    <w:unhideWhenUsed/>
    <w:rsid w:val="00163696"/>
    <w:rPr>
      <w:color w:val="605E5C"/>
      <w:shd w:val="clear" w:color="auto" w:fill="E1DFDD"/>
    </w:rPr>
  </w:style>
  <w:style w:type="character" w:styleId="FollowedHyperlink">
    <w:name w:val="FollowedHyperlink"/>
    <w:basedOn w:val="DefaultParagraphFont"/>
    <w:uiPriority w:val="99"/>
    <w:semiHidden/>
    <w:unhideWhenUsed/>
    <w:rsid w:val="001A1E29"/>
    <w:rPr>
      <w:color w:val="96607D" w:themeColor="followedHyperlink"/>
      <w:u w:val="single"/>
    </w:rPr>
  </w:style>
  <w:style w:type="paragraph" w:styleId="NormalWeb">
    <w:name w:val="Normal (Web)"/>
    <w:basedOn w:val="Normal"/>
    <w:uiPriority w:val="99"/>
    <w:semiHidden/>
    <w:unhideWhenUsed/>
    <w:rsid w:val="000546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citation-title">
    <w:name w:val="item-citation-title"/>
    <w:basedOn w:val="DefaultParagraphFont"/>
    <w:rsid w:val="00AB46A0"/>
  </w:style>
  <w:style w:type="character" w:styleId="Strong">
    <w:name w:val="Strong"/>
    <w:basedOn w:val="DefaultParagraphFont"/>
    <w:uiPriority w:val="22"/>
    <w:qFormat/>
    <w:rsid w:val="00615B0C"/>
    <w:rPr>
      <w:b/>
      <w:bCs/>
    </w:rPr>
  </w:style>
  <w:style w:type="paragraph" w:styleId="Header">
    <w:name w:val="header"/>
    <w:basedOn w:val="Normal"/>
    <w:link w:val="HeaderChar"/>
    <w:uiPriority w:val="99"/>
    <w:unhideWhenUsed/>
    <w:rsid w:val="00F52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9A5"/>
  </w:style>
  <w:style w:type="paragraph" w:styleId="Footer">
    <w:name w:val="footer"/>
    <w:basedOn w:val="Normal"/>
    <w:link w:val="FooterChar"/>
    <w:uiPriority w:val="99"/>
    <w:unhideWhenUsed/>
    <w:rsid w:val="00F52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10910">
      <w:bodyDiv w:val="1"/>
      <w:marLeft w:val="0"/>
      <w:marRight w:val="0"/>
      <w:marTop w:val="0"/>
      <w:marBottom w:val="0"/>
      <w:divBdr>
        <w:top w:val="none" w:sz="0" w:space="0" w:color="auto"/>
        <w:left w:val="none" w:sz="0" w:space="0" w:color="auto"/>
        <w:bottom w:val="none" w:sz="0" w:space="0" w:color="auto"/>
        <w:right w:val="none" w:sz="0" w:space="0" w:color="auto"/>
      </w:divBdr>
    </w:div>
    <w:div w:id="313923045">
      <w:bodyDiv w:val="1"/>
      <w:marLeft w:val="0"/>
      <w:marRight w:val="0"/>
      <w:marTop w:val="0"/>
      <w:marBottom w:val="0"/>
      <w:divBdr>
        <w:top w:val="none" w:sz="0" w:space="0" w:color="auto"/>
        <w:left w:val="none" w:sz="0" w:space="0" w:color="auto"/>
        <w:bottom w:val="none" w:sz="0" w:space="0" w:color="auto"/>
        <w:right w:val="none" w:sz="0" w:space="0" w:color="auto"/>
      </w:divBdr>
    </w:div>
    <w:div w:id="413598109">
      <w:bodyDiv w:val="1"/>
      <w:marLeft w:val="0"/>
      <w:marRight w:val="0"/>
      <w:marTop w:val="0"/>
      <w:marBottom w:val="0"/>
      <w:divBdr>
        <w:top w:val="none" w:sz="0" w:space="0" w:color="auto"/>
        <w:left w:val="none" w:sz="0" w:space="0" w:color="auto"/>
        <w:bottom w:val="none" w:sz="0" w:space="0" w:color="auto"/>
        <w:right w:val="none" w:sz="0" w:space="0" w:color="auto"/>
      </w:divBdr>
    </w:div>
    <w:div w:id="445468306">
      <w:bodyDiv w:val="1"/>
      <w:marLeft w:val="0"/>
      <w:marRight w:val="0"/>
      <w:marTop w:val="0"/>
      <w:marBottom w:val="0"/>
      <w:divBdr>
        <w:top w:val="none" w:sz="0" w:space="0" w:color="auto"/>
        <w:left w:val="none" w:sz="0" w:space="0" w:color="auto"/>
        <w:bottom w:val="none" w:sz="0" w:space="0" w:color="auto"/>
        <w:right w:val="none" w:sz="0" w:space="0" w:color="auto"/>
      </w:divBdr>
    </w:div>
    <w:div w:id="519856628">
      <w:bodyDiv w:val="1"/>
      <w:marLeft w:val="0"/>
      <w:marRight w:val="0"/>
      <w:marTop w:val="0"/>
      <w:marBottom w:val="0"/>
      <w:divBdr>
        <w:top w:val="none" w:sz="0" w:space="0" w:color="auto"/>
        <w:left w:val="none" w:sz="0" w:space="0" w:color="auto"/>
        <w:bottom w:val="none" w:sz="0" w:space="0" w:color="auto"/>
        <w:right w:val="none" w:sz="0" w:space="0" w:color="auto"/>
      </w:divBdr>
    </w:div>
    <w:div w:id="531068897">
      <w:bodyDiv w:val="1"/>
      <w:marLeft w:val="0"/>
      <w:marRight w:val="0"/>
      <w:marTop w:val="0"/>
      <w:marBottom w:val="0"/>
      <w:divBdr>
        <w:top w:val="none" w:sz="0" w:space="0" w:color="auto"/>
        <w:left w:val="none" w:sz="0" w:space="0" w:color="auto"/>
        <w:bottom w:val="none" w:sz="0" w:space="0" w:color="auto"/>
        <w:right w:val="none" w:sz="0" w:space="0" w:color="auto"/>
      </w:divBdr>
    </w:div>
    <w:div w:id="535890684">
      <w:bodyDiv w:val="1"/>
      <w:marLeft w:val="0"/>
      <w:marRight w:val="0"/>
      <w:marTop w:val="0"/>
      <w:marBottom w:val="0"/>
      <w:divBdr>
        <w:top w:val="none" w:sz="0" w:space="0" w:color="auto"/>
        <w:left w:val="none" w:sz="0" w:space="0" w:color="auto"/>
        <w:bottom w:val="none" w:sz="0" w:space="0" w:color="auto"/>
        <w:right w:val="none" w:sz="0" w:space="0" w:color="auto"/>
      </w:divBdr>
    </w:div>
    <w:div w:id="559488416">
      <w:bodyDiv w:val="1"/>
      <w:marLeft w:val="0"/>
      <w:marRight w:val="0"/>
      <w:marTop w:val="0"/>
      <w:marBottom w:val="0"/>
      <w:divBdr>
        <w:top w:val="none" w:sz="0" w:space="0" w:color="auto"/>
        <w:left w:val="none" w:sz="0" w:space="0" w:color="auto"/>
        <w:bottom w:val="none" w:sz="0" w:space="0" w:color="auto"/>
        <w:right w:val="none" w:sz="0" w:space="0" w:color="auto"/>
      </w:divBdr>
    </w:div>
    <w:div w:id="775832771">
      <w:bodyDiv w:val="1"/>
      <w:marLeft w:val="0"/>
      <w:marRight w:val="0"/>
      <w:marTop w:val="0"/>
      <w:marBottom w:val="0"/>
      <w:divBdr>
        <w:top w:val="none" w:sz="0" w:space="0" w:color="auto"/>
        <w:left w:val="none" w:sz="0" w:space="0" w:color="auto"/>
        <w:bottom w:val="none" w:sz="0" w:space="0" w:color="auto"/>
        <w:right w:val="none" w:sz="0" w:space="0" w:color="auto"/>
      </w:divBdr>
      <w:divsChild>
        <w:div w:id="1198011220">
          <w:marLeft w:val="0"/>
          <w:marRight w:val="0"/>
          <w:marTop w:val="0"/>
          <w:marBottom w:val="0"/>
          <w:divBdr>
            <w:top w:val="single" w:sz="2" w:space="0" w:color="E3E3E3"/>
            <w:left w:val="single" w:sz="2" w:space="0" w:color="E3E3E3"/>
            <w:bottom w:val="single" w:sz="2" w:space="0" w:color="E3E3E3"/>
            <w:right w:val="single" w:sz="2" w:space="0" w:color="E3E3E3"/>
          </w:divBdr>
          <w:divsChild>
            <w:div w:id="369232355">
              <w:marLeft w:val="0"/>
              <w:marRight w:val="0"/>
              <w:marTop w:val="100"/>
              <w:marBottom w:val="100"/>
              <w:divBdr>
                <w:top w:val="single" w:sz="2" w:space="0" w:color="E3E3E3"/>
                <w:left w:val="single" w:sz="2" w:space="0" w:color="E3E3E3"/>
                <w:bottom w:val="single" w:sz="2" w:space="0" w:color="E3E3E3"/>
                <w:right w:val="single" w:sz="2" w:space="0" w:color="E3E3E3"/>
              </w:divBdr>
              <w:divsChild>
                <w:div w:id="997418535">
                  <w:marLeft w:val="0"/>
                  <w:marRight w:val="0"/>
                  <w:marTop w:val="0"/>
                  <w:marBottom w:val="0"/>
                  <w:divBdr>
                    <w:top w:val="single" w:sz="2" w:space="0" w:color="E3E3E3"/>
                    <w:left w:val="single" w:sz="2" w:space="0" w:color="E3E3E3"/>
                    <w:bottom w:val="single" w:sz="2" w:space="0" w:color="E3E3E3"/>
                    <w:right w:val="single" w:sz="2" w:space="0" w:color="E3E3E3"/>
                  </w:divBdr>
                  <w:divsChild>
                    <w:div w:id="259070993">
                      <w:marLeft w:val="0"/>
                      <w:marRight w:val="0"/>
                      <w:marTop w:val="0"/>
                      <w:marBottom w:val="0"/>
                      <w:divBdr>
                        <w:top w:val="single" w:sz="2" w:space="0" w:color="E3E3E3"/>
                        <w:left w:val="single" w:sz="2" w:space="0" w:color="E3E3E3"/>
                        <w:bottom w:val="single" w:sz="2" w:space="0" w:color="E3E3E3"/>
                        <w:right w:val="single" w:sz="2" w:space="0" w:color="E3E3E3"/>
                      </w:divBdr>
                      <w:divsChild>
                        <w:div w:id="1908030131">
                          <w:marLeft w:val="0"/>
                          <w:marRight w:val="0"/>
                          <w:marTop w:val="0"/>
                          <w:marBottom w:val="0"/>
                          <w:divBdr>
                            <w:top w:val="single" w:sz="2" w:space="0" w:color="E3E3E3"/>
                            <w:left w:val="single" w:sz="2" w:space="0" w:color="E3E3E3"/>
                            <w:bottom w:val="single" w:sz="2" w:space="0" w:color="E3E3E3"/>
                            <w:right w:val="single" w:sz="2" w:space="0" w:color="E3E3E3"/>
                          </w:divBdr>
                          <w:divsChild>
                            <w:div w:id="1063915811">
                              <w:marLeft w:val="0"/>
                              <w:marRight w:val="0"/>
                              <w:marTop w:val="0"/>
                              <w:marBottom w:val="0"/>
                              <w:divBdr>
                                <w:top w:val="single" w:sz="2" w:space="0" w:color="E3E3E3"/>
                                <w:left w:val="single" w:sz="2" w:space="0" w:color="E3E3E3"/>
                                <w:bottom w:val="single" w:sz="2" w:space="0" w:color="E3E3E3"/>
                                <w:right w:val="single" w:sz="2" w:space="0" w:color="E3E3E3"/>
                              </w:divBdr>
                              <w:divsChild>
                                <w:div w:id="1114908960">
                                  <w:marLeft w:val="0"/>
                                  <w:marRight w:val="0"/>
                                  <w:marTop w:val="0"/>
                                  <w:marBottom w:val="0"/>
                                  <w:divBdr>
                                    <w:top w:val="single" w:sz="2" w:space="0" w:color="E3E3E3"/>
                                    <w:left w:val="single" w:sz="2" w:space="0" w:color="E3E3E3"/>
                                    <w:bottom w:val="single" w:sz="2" w:space="0" w:color="E3E3E3"/>
                                    <w:right w:val="single" w:sz="2" w:space="0" w:color="E3E3E3"/>
                                  </w:divBdr>
                                  <w:divsChild>
                                    <w:div w:id="396631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23424666">
      <w:bodyDiv w:val="1"/>
      <w:marLeft w:val="0"/>
      <w:marRight w:val="0"/>
      <w:marTop w:val="0"/>
      <w:marBottom w:val="0"/>
      <w:divBdr>
        <w:top w:val="none" w:sz="0" w:space="0" w:color="auto"/>
        <w:left w:val="none" w:sz="0" w:space="0" w:color="auto"/>
        <w:bottom w:val="none" w:sz="0" w:space="0" w:color="auto"/>
        <w:right w:val="none" w:sz="0" w:space="0" w:color="auto"/>
      </w:divBdr>
    </w:div>
    <w:div w:id="837505926">
      <w:bodyDiv w:val="1"/>
      <w:marLeft w:val="0"/>
      <w:marRight w:val="0"/>
      <w:marTop w:val="0"/>
      <w:marBottom w:val="0"/>
      <w:divBdr>
        <w:top w:val="none" w:sz="0" w:space="0" w:color="auto"/>
        <w:left w:val="none" w:sz="0" w:space="0" w:color="auto"/>
        <w:bottom w:val="none" w:sz="0" w:space="0" w:color="auto"/>
        <w:right w:val="none" w:sz="0" w:space="0" w:color="auto"/>
      </w:divBdr>
    </w:div>
    <w:div w:id="1076051454">
      <w:bodyDiv w:val="1"/>
      <w:marLeft w:val="0"/>
      <w:marRight w:val="0"/>
      <w:marTop w:val="0"/>
      <w:marBottom w:val="0"/>
      <w:divBdr>
        <w:top w:val="none" w:sz="0" w:space="0" w:color="auto"/>
        <w:left w:val="none" w:sz="0" w:space="0" w:color="auto"/>
        <w:bottom w:val="none" w:sz="0" w:space="0" w:color="auto"/>
        <w:right w:val="none" w:sz="0" w:space="0" w:color="auto"/>
      </w:divBdr>
    </w:div>
    <w:div w:id="1110509102">
      <w:bodyDiv w:val="1"/>
      <w:marLeft w:val="0"/>
      <w:marRight w:val="0"/>
      <w:marTop w:val="0"/>
      <w:marBottom w:val="0"/>
      <w:divBdr>
        <w:top w:val="none" w:sz="0" w:space="0" w:color="auto"/>
        <w:left w:val="none" w:sz="0" w:space="0" w:color="auto"/>
        <w:bottom w:val="none" w:sz="0" w:space="0" w:color="auto"/>
        <w:right w:val="none" w:sz="0" w:space="0" w:color="auto"/>
      </w:divBdr>
    </w:div>
    <w:div w:id="1134566235">
      <w:bodyDiv w:val="1"/>
      <w:marLeft w:val="0"/>
      <w:marRight w:val="0"/>
      <w:marTop w:val="0"/>
      <w:marBottom w:val="0"/>
      <w:divBdr>
        <w:top w:val="none" w:sz="0" w:space="0" w:color="auto"/>
        <w:left w:val="none" w:sz="0" w:space="0" w:color="auto"/>
        <w:bottom w:val="none" w:sz="0" w:space="0" w:color="auto"/>
        <w:right w:val="none" w:sz="0" w:space="0" w:color="auto"/>
      </w:divBdr>
    </w:div>
    <w:div w:id="1591231834">
      <w:bodyDiv w:val="1"/>
      <w:marLeft w:val="0"/>
      <w:marRight w:val="0"/>
      <w:marTop w:val="0"/>
      <w:marBottom w:val="0"/>
      <w:divBdr>
        <w:top w:val="none" w:sz="0" w:space="0" w:color="auto"/>
        <w:left w:val="none" w:sz="0" w:space="0" w:color="auto"/>
        <w:bottom w:val="none" w:sz="0" w:space="0" w:color="auto"/>
        <w:right w:val="none" w:sz="0" w:space="0" w:color="auto"/>
      </w:divBdr>
    </w:div>
    <w:div w:id="1951204204">
      <w:bodyDiv w:val="1"/>
      <w:marLeft w:val="0"/>
      <w:marRight w:val="0"/>
      <w:marTop w:val="0"/>
      <w:marBottom w:val="0"/>
      <w:divBdr>
        <w:top w:val="none" w:sz="0" w:space="0" w:color="auto"/>
        <w:left w:val="none" w:sz="0" w:space="0" w:color="auto"/>
        <w:bottom w:val="none" w:sz="0" w:space="0" w:color="auto"/>
        <w:right w:val="none" w:sz="0" w:space="0" w:color="auto"/>
      </w:divBdr>
    </w:div>
    <w:div w:id="2063794872">
      <w:bodyDiv w:val="1"/>
      <w:marLeft w:val="0"/>
      <w:marRight w:val="0"/>
      <w:marTop w:val="0"/>
      <w:marBottom w:val="0"/>
      <w:divBdr>
        <w:top w:val="none" w:sz="0" w:space="0" w:color="auto"/>
        <w:left w:val="none" w:sz="0" w:space="0" w:color="auto"/>
        <w:bottom w:val="none" w:sz="0" w:space="0" w:color="auto"/>
        <w:right w:val="none" w:sz="0" w:space="0" w:color="auto"/>
      </w:divBdr>
      <w:divsChild>
        <w:div w:id="2085443233">
          <w:marLeft w:val="0"/>
          <w:marRight w:val="0"/>
          <w:marTop w:val="0"/>
          <w:marBottom w:val="0"/>
          <w:divBdr>
            <w:top w:val="none" w:sz="0" w:space="0" w:color="auto"/>
            <w:left w:val="none" w:sz="0" w:space="0" w:color="auto"/>
            <w:bottom w:val="none" w:sz="0" w:space="0" w:color="auto"/>
            <w:right w:val="none" w:sz="0" w:space="0" w:color="auto"/>
          </w:divBdr>
          <w:divsChild>
            <w:div w:id="530413122">
              <w:marLeft w:val="0"/>
              <w:marRight w:val="0"/>
              <w:marTop w:val="0"/>
              <w:marBottom w:val="0"/>
              <w:divBdr>
                <w:top w:val="none" w:sz="0" w:space="0" w:color="auto"/>
                <w:left w:val="none" w:sz="0" w:space="0" w:color="auto"/>
                <w:bottom w:val="none" w:sz="0" w:space="0" w:color="auto"/>
                <w:right w:val="none" w:sz="0" w:space="0" w:color="auto"/>
              </w:divBdr>
              <w:divsChild>
                <w:div w:id="1098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00057">
          <w:marLeft w:val="0"/>
          <w:marRight w:val="0"/>
          <w:marTop w:val="0"/>
          <w:marBottom w:val="0"/>
          <w:divBdr>
            <w:top w:val="none" w:sz="0" w:space="0" w:color="auto"/>
            <w:left w:val="none" w:sz="0" w:space="0" w:color="auto"/>
            <w:bottom w:val="none" w:sz="0" w:space="0" w:color="auto"/>
            <w:right w:val="none" w:sz="0" w:space="0" w:color="auto"/>
          </w:divBdr>
          <w:divsChild>
            <w:div w:id="163666430">
              <w:marLeft w:val="0"/>
              <w:marRight w:val="0"/>
              <w:marTop w:val="0"/>
              <w:marBottom w:val="0"/>
              <w:divBdr>
                <w:top w:val="none" w:sz="0" w:space="0" w:color="auto"/>
                <w:left w:val="none" w:sz="0" w:space="0" w:color="auto"/>
                <w:bottom w:val="none" w:sz="0" w:space="0" w:color="auto"/>
                <w:right w:val="none" w:sz="0" w:space="0" w:color="auto"/>
              </w:divBdr>
              <w:divsChild>
                <w:div w:id="1944531832">
                  <w:marLeft w:val="0"/>
                  <w:marRight w:val="0"/>
                  <w:marTop w:val="0"/>
                  <w:marBottom w:val="0"/>
                  <w:divBdr>
                    <w:top w:val="none" w:sz="0" w:space="0" w:color="auto"/>
                    <w:left w:val="none" w:sz="0" w:space="0" w:color="auto"/>
                    <w:bottom w:val="none" w:sz="0" w:space="0" w:color="auto"/>
                    <w:right w:val="none" w:sz="0" w:space="0" w:color="auto"/>
                  </w:divBdr>
                  <w:divsChild>
                    <w:div w:id="983242970">
                      <w:marLeft w:val="0"/>
                      <w:marRight w:val="0"/>
                      <w:marTop w:val="0"/>
                      <w:marBottom w:val="0"/>
                      <w:divBdr>
                        <w:top w:val="none" w:sz="0" w:space="0" w:color="auto"/>
                        <w:left w:val="none" w:sz="0" w:space="0" w:color="auto"/>
                        <w:bottom w:val="none" w:sz="0" w:space="0" w:color="auto"/>
                        <w:right w:val="none" w:sz="0" w:space="0" w:color="auto"/>
                      </w:divBdr>
                      <w:divsChild>
                        <w:div w:id="140729522">
                          <w:marLeft w:val="0"/>
                          <w:marRight w:val="0"/>
                          <w:marTop w:val="0"/>
                          <w:marBottom w:val="0"/>
                          <w:divBdr>
                            <w:top w:val="none" w:sz="0" w:space="0" w:color="auto"/>
                            <w:left w:val="none" w:sz="0" w:space="0" w:color="auto"/>
                            <w:bottom w:val="none" w:sz="0" w:space="0" w:color="auto"/>
                            <w:right w:val="none" w:sz="0" w:space="0" w:color="auto"/>
                          </w:divBdr>
                          <w:divsChild>
                            <w:div w:id="320936024">
                              <w:marLeft w:val="0"/>
                              <w:marRight w:val="0"/>
                              <w:marTop w:val="0"/>
                              <w:marBottom w:val="0"/>
                              <w:divBdr>
                                <w:top w:val="none" w:sz="0" w:space="0" w:color="auto"/>
                                <w:left w:val="none" w:sz="0" w:space="0" w:color="auto"/>
                                <w:bottom w:val="none" w:sz="0" w:space="0" w:color="auto"/>
                                <w:right w:val="none" w:sz="0" w:space="0" w:color="auto"/>
                              </w:divBdr>
                              <w:divsChild>
                                <w:div w:id="1021056592">
                                  <w:marLeft w:val="0"/>
                                  <w:marRight w:val="0"/>
                                  <w:marTop w:val="0"/>
                                  <w:marBottom w:val="0"/>
                                  <w:divBdr>
                                    <w:top w:val="none" w:sz="0" w:space="0" w:color="auto"/>
                                    <w:left w:val="none" w:sz="0" w:space="0" w:color="auto"/>
                                    <w:bottom w:val="none" w:sz="0" w:space="0" w:color="auto"/>
                                    <w:right w:val="none" w:sz="0" w:space="0" w:color="auto"/>
                                  </w:divBdr>
                                  <w:divsChild>
                                    <w:div w:id="198860160">
                                      <w:marLeft w:val="0"/>
                                      <w:marRight w:val="0"/>
                                      <w:marTop w:val="0"/>
                                      <w:marBottom w:val="0"/>
                                      <w:divBdr>
                                        <w:top w:val="none" w:sz="0" w:space="0" w:color="auto"/>
                                        <w:left w:val="none" w:sz="0" w:space="0" w:color="auto"/>
                                        <w:bottom w:val="none" w:sz="0" w:space="0" w:color="auto"/>
                                        <w:right w:val="none" w:sz="0" w:space="0" w:color="auto"/>
                                      </w:divBdr>
                                    </w:div>
                                    <w:div w:id="1600914894">
                                      <w:marLeft w:val="0"/>
                                      <w:marRight w:val="0"/>
                                      <w:marTop w:val="0"/>
                                      <w:marBottom w:val="0"/>
                                      <w:divBdr>
                                        <w:top w:val="none" w:sz="0" w:space="0" w:color="auto"/>
                                        <w:left w:val="none" w:sz="0" w:space="0" w:color="auto"/>
                                        <w:bottom w:val="none" w:sz="0" w:space="0" w:color="auto"/>
                                        <w:right w:val="none" w:sz="0" w:space="0" w:color="auto"/>
                                      </w:divBdr>
                                      <w:divsChild>
                                        <w:div w:id="6687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469220">
              <w:marLeft w:val="0"/>
              <w:marRight w:val="0"/>
              <w:marTop w:val="0"/>
              <w:marBottom w:val="0"/>
              <w:divBdr>
                <w:top w:val="none" w:sz="0" w:space="0" w:color="auto"/>
                <w:left w:val="none" w:sz="0" w:space="0" w:color="auto"/>
                <w:bottom w:val="none" w:sz="0" w:space="0" w:color="auto"/>
                <w:right w:val="none" w:sz="0" w:space="0" w:color="auto"/>
              </w:divBdr>
              <w:divsChild>
                <w:div w:id="172033263">
                  <w:marLeft w:val="0"/>
                  <w:marRight w:val="0"/>
                  <w:marTop w:val="0"/>
                  <w:marBottom w:val="0"/>
                  <w:divBdr>
                    <w:top w:val="none" w:sz="0" w:space="0" w:color="auto"/>
                    <w:left w:val="none" w:sz="0" w:space="0" w:color="auto"/>
                    <w:bottom w:val="none" w:sz="0" w:space="0" w:color="auto"/>
                    <w:right w:val="none" w:sz="0" w:space="0" w:color="auto"/>
                  </w:divBdr>
                </w:div>
              </w:divsChild>
            </w:div>
            <w:div w:id="1811708093">
              <w:marLeft w:val="0"/>
              <w:marRight w:val="0"/>
              <w:marTop w:val="0"/>
              <w:marBottom w:val="0"/>
              <w:divBdr>
                <w:top w:val="none" w:sz="0" w:space="0" w:color="auto"/>
                <w:left w:val="none" w:sz="0" w:space="0" w:color="auto"/>
                <w:bottom w:val="none" w:sz="0" w:space="0" w:color="auto"/>
                <w:right w:val="none" w:sz="0" w:space="0" w:color="auto"/>
              </w:divBdr>
              <w:divsChild>
                <w:div w:id="927740023">
                  <w:marLeft w:val="0"/>
                  <w:marRight w:val="0"/>
                  <w:marTop w:val="0"/>
                  <w:marBottom w:val="0"/>
                  <w:divBdr>
                    <w:top w:val="none" w:sz="0" w:space="0" w:color="auto"/>
                    <w:left w:val="none" w:sz="0" w:space="0" w:color="auto"/>
                    <w:bottom w:val="none" w:sz="0" w:space="0" w:color="auto"/>
                    <w:right w:val="none" w:sz="0" w:space="0" w:color="auto"/>
                  </w:divBdr>
                  <w:divsChild>
                    <w:div w:id="5984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14">
              <w:marLeft w:val="0"/>
              <w:marRight w:val="0"/>
              <w:marTop w:val="0"/>
              <w:marBottom w:val="0"/>
              <w:divBdr>
                <w:top w:val="none" w:sz="0" w:space="0" w:color="auto"/>
                <w:left w:val="none" w:sz="0" w:space="0" w:color="auto"/>
                <w:bottom w:val="none" w:sz="0" w:space="0" w:color="auto"/>
                <w:right w:val="none" w:sz="0" w:space="0" w:color="auto"/>
              </w:divBdr>
              <w:divsChild>
                <w:div w:id="426119767">
                  <w:marLeft w:val="0"/>
                  <w:marRight w:val="0"/>
                  <w:marTop w:val="0"/>
                  <w:marBottom w:val="0"/>
                  <w:divBdr>
                    <w:top w:val="none" w:sz="0" w:space="0" w:color="auto"/>
                    <w:left w:val="none" w:sz="0" w:space="0" w:color="auto"/>
                    <w:bottom w:val="none" w:sz="0" w:space="0" w:color="auto"/>
                    <w:right w:val="none" w:sz="0" w:space="0" w:color="auto"/>
                  </w:divBdr>
                  <w:divsChild>
                    <w:div w:id="1117943864">
                      <w:marLeft w:val="0"/>
                      <w:marRight w:val="0"/>
                      <w:marTop w:val="0"/>
                      <w:marBottom w:val="0"/>
                      <w:divBdr>
                        <w:top w:val="none" w:sz="0" w:space="0" w:color="auto"/>
                        <w:left w:val="none" w:sz="0" w:space="0" w:color="auto"/>
                        <w:bottom w:val="none" w:sz="0" w:space="0" w:color="auto"/>
                        <w:right w:val="none" w:sz="0" w:space="0" w:color="auto"/>
                      </w:divBdr>
                    </w:div>
                    <w:div w:id="762989292">
                      <w:marLeft w:val="0"/>
                      <w:marRight w:val="0"/>
                      <w:marTop w:val="0"/>
                      <w:marBottom w:val="0"/>
                      <w:divBdr>
                        <w:top w:val="none" w:sz="0" w:space="0" w:color="auto"/>
                        <w:left w:val="none" w:sz="0" w:space="0" w:color="auto"/>
                        <w:bottom w:val="none" w:sz="0" w:space="0" w:color="auto"/>
                        <w:right w:val="none" w:sz="0" w:space="0" w:color="auto"/>
                      </w:divBdr>
                    </w:div>
                    <w:div w:id="1543861720">
                      <w:marLeft w:val="0"/>
                      <w:marRight w:val="0"/>
                      <w:marTop w:val="0"/>
                      <w:marBottom w:val="0"/>
                      <w:divBdr>
                        <w:top w:val="none" w:sz="0" w:space="0" w:color="auto"/>
                        <w:left w:val="none" w:sz="0" w:space="0" w:color="auto"/>
                        <w:bottom w:val="none" w:sz="0" w:space="0" w:color="auto"/>
                        <w:right w:val="none" w:sz="0" w:space="0" w:color="auto"/>
                      </w:divBdr>
                    </w:div>
                    <w:div w:id="364865445">
                      <w:marLeft w:val="0"/>
                      <w:marRight w:val="0"/>
                      <w:marTop w:val="0"/>
                      <w:marBottom w:val="0"/>
                      <w:divBdr>
                        <w:top w:val="none" w:sz="0" w:space="0" w:color="auto"/>
                        <w:left w:val="none" w:sz="0" w:space="0" w:color="auto"/>
                        <w:bottom w:val="none" w:sz="0" w:space="0" w:color="auto"/>
                        <w:right w:val="none" w:sz="0" w:space="0" w:color="auto"/>
                      </w:divBdr>
                    </w:div>
                    <w:div w:id="1235313855">
                      <w:marLeft w:val="0"/>
                      <w:marRight w:val="0"/>
                      <w:marTop w:val="0"/>
                      <w:marBottom w:val="0"/>
                      <w:divBdr>
                        <w:top w:val="none" w:sz="0" w:space="0" w:color="auto"/>
                        <w:left w:val="none" w:sz="0" w:space="0" w:color="auto"/>
                        <w:bottom w:val="none" w:sz="0" w:space="0" w:color="auto"/>
                        <w:right w:val="none" w:sz="0" w:space="0" w:color="auto"/>
                      </w:divBdr>
                    </w:div>
                    <w:div w:id="2927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4193">
              <w:marLeft w:val="0"/>
              <w:marRight w:val="0"/>
              <w:marTop w:val="0"/>
              <w:marBottom w:val="0"/>
              <w:divBdr>
                <w:top w:val="none" w:sz="0" w:space="0" w:color="auto"/>
                <w:left w:val="none" w:sz="0" w:space="0" w:color="auto"/>
                <w:bottom w:val="none" w:sz="0" w:space="0" w:color="auto"/>
                <w:right w:val="none" w:sz="0" w:space="0" w:color="auto"/>
              </w:divBdr>
              <w:divsChild>
                <w:div w:id="502211102">
                  <w:marLeft w:val="0"/>
                  <w:marRight w:val="0"/>
                  <w:marTop w:val="0"/>
                  <w:marBottom w:val="0"/>
                  <w:divBdr>
                    <w:top w:val="none" w:sz="0" w:space="0" w:color="auto"/>
                    <w:left w:val="none" w:sz="0" w:space="0" w:color="auto"/>
                    <w:bottom w:val="none" w:sz="0" w:space="0" w:color="auto"/>
                    <w:right w:val="none" w:sz="0" w:space="0" w:color="auto"/>
                  </w:divBdr>
                  <w:divsChild>
                    <w:div w:id="734428236">
                      <w:marLeft w:val="0"/>
                      <w:marRight w:val="0"/>
                      <w:marTop w:val="0"/>
                      <w:marBottom w:val="0"/>
                      <w:divBdr>
                        <w:top w:val="none" w:sz="0" w:space="0" w:color="auto"/>
                        <w:left w:val="none" w:sz="0" w:space="0" w:color="auto"/>
                        <w:bottom w:val="none" w:sz="0" w:space="0" w:color="auto"/>
                        <w:right w:val="none" w:sz="0" w:space="0" w:color="auto"/>
                      </w:divBdr>
                      <w:divsChild>
                        <w:div w:id="15259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32527">
              <w:marLeft w:val="0"/>
              <w:marRight w:val="0"/>
              <w:marTop w:val="0"/>
              <w:marBottom w:val="0"/>
              <w:divBdr>
                <w:top w:val="none" w:sz="0" w:space="0" w:color="auto"/>
                <w:left w:val="none" w:sz="0" w:space="0" w:color="auto"/>
                <w:bottom w:val="none" w:sz="0" w:space="0" w:color="auto"/>
                <w:right w:val="none" w:sz="0" w:space="0" w:color="auto"/>
              </w:divBdr>
              <w:divsChild>
                <w:div w:id="1029792108">
                  <w:marLeft w:val="0"/>
                  <w:marRight w:val="0"/>
                  <w:marTop w:val="0"/>
                  <w:marBottom w:val="0"/>
                  <w:divBdr>
                    <w:top w:val="none" w:sz="0" w:space="0" w:color="auto"/>
                    <w:left w:val="none" w:sz="0" w:space="0" w:color="auto"/>
                    <w:bottom w:val="none" w:sz="0" w:space="0" w:color="auto"/>
                    <w:right w:val="none" w:sz="0" w:space="0" w:color="auto"/>
                  </w:divBdr>
                  <w:divsChild>
                    <w:div w:id="1393500411">
                      <w:marLeft w:val="0"/>
                      <w:marRight w:val="0"/>
                      <w:marTop w:val="0"/>
                      <w:marBottom w:val="0"/>
                      <w:divBdr>
                        <w:top w:val="none" w:sz="0" w:space="0" w:color="auto"/>
                        <w:left w:val="none" w:sz="0" w:space="0" w:color="auto"/>
                        <w:bottom w:val="none" w:sz="0" w:space="0" w:color="auto"/>
                        <w:right w:val="none" w:sz="0" w:space="0" w:color="auto"/>
                      </w:divBdr>
                      <w:divsChild>
                        <w:div w:id="11418620">
                          <w:marLeft w:val="0"/>
                          <w:marRight w:val="0"/>
                          <w:marTop w:val="0"/>
                          <w:marBottom w:val="0"/>
                          <w:divBdr>
                            <w:top w:val="none" w:sz="0" w:space="0" w:color="auto"/>
                            <w:left w:val="none" w:sz="0" w:space="0" w:color="auto"/>
                            <w:bottom w:val="none" w:sz="0" w:space="0" w:color="auto"/>
                            <w:right w:val="none" w:sz="0" w:space="0" w:color="auto"/>
                          </w:divBdr>
                          <w:divsChild>
                            <w:div w:id="1509908697">
                              <w:marLeft w:val="0"/>
                              <w:marRight w:val="0"/>
                              <w:marTop w:val="0"/>
                              <w:marBottom w:val="0"/>
                              <w:divBdr>
                                <w:top w:val="none" w:sz="0" w:space="0" w:color="auto"/>
                                <w:left w:val="none" w:sz="0" w:space="0" w:color="auto"/>
                                <w:bottom w:val="none" w:sz="0" w:space="0" w:color="auto"/>
                                <w:right w:val="none" w:sz="0" w:space="0" w:color="auto"/>
                              </w:divBdr>
                              <w:divsChild>
                                <w:div w:id="1219319890">
                                  <w:marLeft w:val="0"/>
                                  <w:marRight w:val="0"/>
                                  <w:marTop w:val="0"/>
                                  <w:marBottom w:val="0"/>
                                  <w:divBdr>
                                    <w:top w:val="none" w:sz="0" w:space="0" w:color="auto"/>
                                    <w:left w:val="none" w:sz="0" w:space="0" w:color="auto"/>
                                    <w:bottom w:val="none" w:sz="0" w:space="0" w:color="auto"/>
                                    <w:right w:val="none" w:sz="0" w:space="0" w:color="auto"/>
                                  </w:divBdr>
                                  <w:divsChild>
                                    <w:div w:id="278420642">
                                      <w:marLeft w:val="0"/>
                                      <w:marRight w:val="0"/>
                                      <w:marTop w:val="0"/>
                                      <w:marBottom w:val="0"/>
                                      <w:divBdr>
                                        <w:top w:val="none" w:sz="0" w:space="0" w:color="auto"/>
                                        <w:left w:val="none" w:sz="0" w:space="0" w:color="auto"/>
                                        <w:bottom w:val="none" w:sz="0" w:space="0" w:color="auto"/>
                                        <w:right w:val="none" w:sz="0" w:space="0" w:color="auto"/>
                                      </w:divBdr>
                                      <w:divsChild>
                                        <w:div w:id="1857038866">
                                          <w:marLeft w:val="0"/>
                                          <w:marRight w:val="0"/>
                                          <w:marTop w:val="0"/>
                                          <w:marBottom w:val="0"/>
                                          <w:divBdr>
                                            <w:top w:val="none" w:sz="0" w:space="0" w:color="auto"/>
                                            <w:left w:val="none" w:sz="0" w:space="0" w:color="auto"/>
                                            <w:bottom w:val="none" w:sz="0" w:space="0" w:color="auto"/>
                                            <w:right w:val="none" w:sz="0" w:space="0" w:color="auto"/>
                                          </w:divBdr>
                                        </w:div>
                                        <w:div w:id="2049141441">
                                          <w:marLeft w:val="0"/>
                                          <w:marRight w:val="0"/>
                                          <w:marTop w:val="0"/>
                                          <w:marBottom w:val="0"/>
                                          <w:divBdr>
                                            <w:top w:val="none" w:sz="0" w:space="0" w:color="auto"/>
                                            <w:left w:val="none" w:sz="0" w:space="0" w:color="auto"/>
                                            <w:bottom w:val="none" w:sz="0" w:space="0" w:color="auto"/>
                                            <w:right w:val="none" w:sz="0" w:space="0" w:color="auto"/>
                                          </w:divBdr>
                                          <w:divsChild>
                                            <w:div w:id="836188117">
                                              <w:marLeft w:val="0"/>
                                              <w:marRight w:val="0"/>
                                              <w:marTop w:val="0"/>
                                              <w:marBottom w:val="0"/>
                                              <w:divBdr>
                                                <w:top w:val="none" w:sz="0" w:space="0" w:color="auto"/>
                                                <w:left w:val="none" w:sz="0" w:space="0" w:color="auto"/>
                                                <w:bottom w:val="none" w:sz="0" w:space="0" w:color="auto"/>
                                                <w:right w:val="none" w:sz="0" w:space="0" w:color="auto"/>
                                              </w:divBdr>
                                              <w:divsChild>
                                                <w:div w:id="4748995">
                                                  <w:marLeft w:val="0"/>
                                                  <w:marRight w:val="0"/>
                                                  <w:marTop w:val="0"/>
                                                  <w:marBottom w:val="0"/>
                                                  <w:divBdr>
                                                    <w:top w:val="none" w:sz="0" w:space="0" w:color="auto"/>
                                                    <w:left w:val="none" w:sz="0" w:space="0" w:color="auto"/>
                                                    <w:bottom w:val="none" w:sz="0" w:space="0" w:color="auto"/>
                                                    <w:right w:val="none" w:sz="0" w:space="0" w:color="auto"/>
                                                  </w:divBdr>
                                                </w:div>
                                              </w:divsChild>
                                            </w:div>
                                            <w:div w:id="1033462558">
                                              <w:marLeft w:val="0"/>
                                              <w:marRight w:val="0"/>
                                              <w:marTop w:val="0"/>
                                              <w:marBottom w:val="0"/>
                                              <w:divBdr>
                                                <w:top w:val="none" w:sz="0" w:space="0" w:color="auto"/>
                                                <w:left w:val="none" w:sz="0" w:space="0" w:color="auto"/>
                                                <w:bottom w:val="none" w:sz="0" w:space="0" w:color="auto"/>
                                                <w:right w:val="none" w:sz="0" w:space="0" w:color="auto"/>
                                              </w:divBdr>
                                              <w:divsChild>
                                                <w:div w:id="547181912">
                                                  <w:marLeft w:val="0"/>
                                                  <w:marRight w:val="0"/>
                                                  <w:marTop w:val="0"/>
                                                  <w:marBottom w:val="0"/>
                                                  <w:divBdr>
                                                    <w:top w:val="none" w:sz="0" w:space="0" w:color="auto"/>
                                                    <w:left w:val="none" w:sz="0" w:space="0" w:color="auto"/>
                                                    <w:bottom w:val="none" w:sz="0" w:space="0" w:color="auto"/>
                                                    <w:right w:val="none" w:sz="0" w:space="0" w:color="auto"/>
                                                  </w:divBdr>
                                                </w:div>
                                              </w:divsChild>
                                            </w:div>
                                            <w:div w:id="1898054332">
                                              <w:marLeft w:val="0"/>
                                              <w:marRight w:val="0"/>
                                              <w:marTop w:val="0"/>
                                              <w:marBottom w:val="0"/>
                                              <w:divBdr>
                                                <w:top w:val="none" w:sz="0" w:space="0" w:color="auto"/>
                                                <w:left w:val="none" w:sz="0" w:space="0" w:color="auto"/>
                                                <w:bottom w:val="none" w:sz="0" w:space="0" w:color="auto"/>
                                                <w:right w:val="none" w:sz="0" w:space="0" w:color="auto"/>
                                              </w:divBdr>
                                              <w:divsChild>
                                                <w:div w:id="385763403">
                                                  <w:marLeft w:val="0"/>
                                                  <w:marRight w:val="0"/>
                                                  <w:marTop w:val="0"/>
                                                  <w:marBottom w:val="0"/>
                                                  <w:divBdr>
                                                    <w:top w:val="none" w:sz="0" w:space="0" w:color="auto"/>
                                                    <w:left w:val="none" w:sz="0" w:space="0" w:color="auto"/>
                                                    <w:bottom w:val="none" w:sz="0" w:space="0" w:color="auto"/>
                                                    <w:right w:val="none" w:sz="0" w:space="0" w:color="auto"/>
                                                  </w:divBdr>
                                                </w:div>
                                              </w:divsChild>
                                            </w:div>
                                            <w:div w:id="1535341436">
                                              <w:marLeft w:val="0"/>
                                              <w:marRight w:val="0"/>
                                              <w:marTop w:val="0"/>
                                              <w:marBottom w:val="0"/>
                                              <w:divBdr>
                                                <w:top w:val="none" w:sz="0" w:space="0" w:color="auto"/>
                                                <w:left w:val="none" w:sz="0" w:space="0" w:color="auto"/>
                                                <w:bottom w:val="none" w:sz="0" w:space="0" w:color="auto"/>
                                                <w:right w:val="none" w:sz="0" w:space="0" w:color="auto"/>
                                              </w:divBdr>
                                              <w:divsChild>
                                                <w:div w:id="1650288683">
                                                  <w:marLeft w:val="0"/>
                                                  <w:marRight w:val="0"/>
                                                  <w:marTop w:val="0"/>
                                                  <w:marBottom w:val="0"/>
                                                  <w:divBdr>
                                                    <w:top w:val="none" w:sz="0" w:space="0" w:color="auto"/>
                                                    <w:left w:val="none" w:sz="0" w:space="0" w:color="auto"/>
                                                    <w:bottom w:val="none" w:sz="0" w:space="0" w:color="auto"/>
                                                    <w:right w:val="none" w:sz="0" w:space="0" w:color="auto"/>
                                                  </w:divBdr>
                                                </w:div>
                                              </w:divsChild>
                                            </w:div>
                                            <w:div w:id="1159882724">
                                              <w:marLeft w:val="0"/>
                                              <w:marRight w:val="0"/>
                                              <w:marTop w:val="0"/>
                                              <w:marBottom w:val="0"/>
                                              <w:divBdr>
                                                <w:top w:val="none" w:sz="0" w:space="0" w:color="auto"/>
                                                <w:left w:val="none" w:sz="0" w:space="0" w:color="auto"/>
                                                <w:bottom w:val="none" w:sz="0" w:space="0" w:color="auto"/>
                                                <w:right w:val="none" w:sz="0" w:space="0" w:color="auto"/>
                                              </w:divBdr>
                                              <w:divsChild>
                                                <w:div w:id="1983608532">
                                                  <w:marLeft w:val="0"/>
                                                  <w:marRight w:val="0"/>
                                                  <w:marTop w:val="0"/>
                                                  <w:marBottom w:val="0"/>
                                                  <w:divBdr>
                                                    <w:top w:val="none" w:sz="0" w:space="0" w:color="auto"/>
                                                    <w:left w:val="none" w:sz="0" w:space="0" w:color="auto"/>
                                                    <w:bottom w:val="none" w:sz="0" w:space="0" w:color="auto"/>
                                                    <w:right w:val="none" w:sz="0" w:space="0" w:color="auto"/>
                                                  </w:divBdr>
                                                </w:div>
                                              </w:divsChild>
                                            </w:div>
                                            <w:div w:id="875504474">
                                              <w:marLeft w:val="0"/>
                                              <w:marRight w:val="0"/>
                                              <w:marTop w:val="0"/>
                                              <w:marBottom w:val="0"/>
                                              <w:divBdr>
                                                <w:top w:val="none" w:sz="0" w:space="0" w:color="auto"/>
                                                <w:left w:val="none" w:sz="0" w:space="0" w:color="auto"/>
                                                <w:bottom w:val="none" w:sz="0" w:space="0" w:color="auto"/>
                                                <w:right w:val="none" w:sz="0" w:space="0" w:color="auto"/>
                                              </w:divBdr>
                                              <w:divsChild>
                                                <w:div w:id="942953873">
                                                  <w:marLeft w:val="0"/>
                                                  <w:marRight w:val="0"/>
                                                  <w:marTop w:val="0"/>
                                                  <w:marBottom w:val="0"/>
                                                  <w:divBdr>
                                                    <w:top w:val="none" w:sz="0" w:space="0" w:color="auto"/>
                                                    <w:left w:val="none" w:sz="0" w:space="0" w:color="auto"/>
                                                    <w:bottom w:val="none" w:sz="0" w:space="0" w:color="auto"/>
                                                    <w:right w:val="none" w:sz="0" w:space="0" w:color="auto"/>
                                                  </w:divBdr>
                                                </w:div>
                                              </w:divsChild>
                                            </w:div>
                                            <w:div w:id="1550416447">
                                              <w:marLeft w:val="0"/>
                                              <w:marRight w:val="0"/>
                                              <w:marTop w:val="0"/>
                                              <w:marBottom w:val="0"/>
                                              <w:divBdr>
                                                <w:top w:val="none" w:sz="0" w:space="0" w:color="auto"/>
                                                <w:left w:val="none" w:sz="0" w:space="0" w:color="auto"/>
                                                <w:bottom w:val="none" w:sz="0" w:space="0" w:color="auto"/>
                                                <w:right w:val="none" w:sz="0" w:space="0" w:color="auto"/>
                                              </w:divBdr>
                                              <w:divsChild>
                                                <w:div w:id="636109117">
                                                  <w:marLeft w:val="0"/>
                                                  <w:marRight w:val="0"/>
                                                  <w:marTop w:val="0"/>
                                                  <w:marBottom w:val="0"/>
                                                  <w:divBdr>
                                                    <w:top w:val="none" w:sz="0" w:space="0" w:color="auto"/>
                                                    <w:left w:val="none" w:sz="0" w:space="0" w:color="auto"/>
                                                    <w:bottom w:val="none" w:sz="0" w:space="0" w:color="auto"/>
                                                    <w:right w:val="none" w:sz="0" w:space="0" w:color="auto"/>
                                                  </w:divBdr>
                                                  <w:divsChild>
                                                    <w:div w:id="9838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962687">
                  <w:marLeft w:val="0"/>
                  <w:marRight w:val="0"/>
                  <w:marTop w:val="0"/>
                  <w:marBottom w:val="0"/>
                  <w:divBdr>
                    <w:top w:val="none" w:sz="0" w:space="0" w:color="auto"/>
                    <w:left w:val="none" w:sz="0" w:space="0" w:color="auto"/>
                    <w:bottom w:val="none" w:sz="0" w:space="0" w:color="auto"/>
                    <w:right w:val="none" w:sz="0" w:space="0" w:color="auto"/>
                  </w:divBdr>
                  <w:divsChild>
                    <w:div w:id="1918395351">
                      <w:marLeft w:val="0"/>
                      <w:marRight w:val="0"/>
                      <w:marTop w:val="0"/>
                      <w:marBottom w:val="0"/>
                      <w:divBdr>
                        <w:top w:val="none" w:sz="0" w:space="0" w:color="auto"/>
                        <w:left w:val="none" w:sz="0" w:space="0" w:color="auto"/>
                        <w:bottom w:val="none" w:sz="0" w:space="0" w:color="auto"/>
                        <w:right w:val="none" w:sz="0" w:space="0" w:color="auto"/>
                      </w:divBdr>
                      <w:divsChild>
                        <w:div w:id="977959103">
                          <w:marLeft w:val="0"/>
                          <w:marRight w:val="0"/>
                          <w:marTop w:val="0"/>
                          <w:marBottom w:val="0"/>
                          <w:divBdr>
                            <w:top w:val="none" w:sz="0" w:space="0" w:color="auto"/>
                            <w:left w:val="none" w:sz="0" w:space="0" w:color="auto"/>
                            <w:bottom w:val="none" w:sz="0" w:space="0" w:color="auto"/>
                            <w:right w:val="none" w:sz="0" w:space="0" w:color="auto"/>
                          </w:divBdr>
                          <w:divsChild>
                            <w:div w:id="64838037">
                              <w:marLeft w:val="0"/>
                              <w:marRight w:val="0"/>
                              <w:marTop w:val="0"/>
                              <w:marBottom w:val="0"/>
                              <w:divBdr>
                                <w:top w:val="none" w:sz="0" w:space="0" w:color="auto"/>
                                <w:left w:val="none" w:sz="0" w:space="0" w:color="auto"/>
                                <w:bottom w:val="none" w:sz="0" w:space="0" w:color="auto"/>
                                <w:right w:val="none" w:sz="0" w:space="0" w:color="auto"/>
                              </w:divBdr>
                              <w:divsChild>
                                <w:div w:id="2090497432">
                                  <w:marLeft w:val="0"/>
                                  <w:marRight w:val="0"/>
                                  <w:marTop w:val="0"/>
                                  <w:marBottom w:val="0"/>
                                  <w:divBdr>
                                    <w:top w:val="none" w:sz="0" w:space="0" w:color="auto"/>
                                    <w:left w:val="none" w:sz="0" w:space="0" w:color="auto"/>
                                    <w:bottom w:val="none" w:sz="0" w:space="0" w:color="auto"/>
                                    <w:right w:val="none" w:sz="0" w:space="0" w:color="auto"/>
                                  </w:divBdr>
                                  <w:divsChild>
                                    <w:div w:id="1688294055">
                                      <w:marLeft w:val="0"/>
                                      <w:marRight w:val="0"/>
                                      <w:marTop w:val="0"/>
                                      <w:marBottom w:val="0"/>
                                      <w:divBdr>
                                        <w:top w:val="none" w:sz="0" w:space="0" w:color="auto"/>
                                        <w:left w:val="none" w:sz="0" w:space="0" w:color="auto"/>
                                        <w:bottom w:val="none" w:sz="0" w:space="0" w:color="auto"/>
                                        <w:right w:val="none" w:sz="0" w:space="0" w:color="auto"/>
                                      </w:divBdr>
                                      <w:divsChild>
                                        <w:div w:id="5944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718708">
              <w:marLeft w:val="0"/>
              <w:marRight w:val="0"/>
              <w:marTop w:val="0"/>
              <w:marBottom w:val="0"/>
              <w:divBdr>
                <w:top w:val="none" w:sz="0" w:space="0" w:color="auto"/>
                <w:left w:val="none" w:sz="0" w:space="0" w:color="auto"/>
                <w:bottom w:val="none" w:sz="0" w:space="0" w:color="auto"/>
                <w:right w:val="none" w:sz="0" w:space="0" w:color="auto"/>
              </w:divBdr>
              <w:divsChild>
                <w:div w:id="966280566">
                  <w:marLeft w:val="0"/>
                  <w:marRight w:val="0"/>
                  <w:marTop w:val="0"/>
                  <w:marBottom w:val="0"/>
                  <w:divBdr>
                    <w:top w:val="none" w:sz="0" w:space="0" w:color="auto"/>
                    <w:left w:val="none" w:sz="0" w:space="0" w:color="auto"/>
                    <w:bottom w:val="none" w:sz="0" w:space="0" w:color="auto"/>
                    <w:right w:val="none" w:sz="0" w:space="0" w:color="auto"/>
                  </w:divBdr>
                  <w:divsChild>
                    <w:div w:id="632179829">
                      <w:marLeft w:val="0"/>
                      <w:marRight w:val="0"/>
                      <w:marTop w:val="0"/>
                      <w:marBottom w:val="0"/>
                      <w:divBdr>
                        <w:top w:val="none" w:sz="0" w:space="0" w:color="auto"/>
                        <w:left w:val="none" w:sz="0" w:space="0" w:color="auto"/>
                        <w:bottom w:val="none" w:sz="0" w:space="0" w:color="auto"/>
                        <w:right w:val="none" w:sz="0" w:space="0" w:color="auto"/>
                      </w:divBdr>
                      <w:divsChild>
                        <w:div w:id="248781226">
                          <w:marLeft w:val="0"/>
                          <w:marRight w:val="0"/>
                          <w:marTop w:val="0"/>
                          <w:marBottom w:val="0"/>
                          <w:divBdr>
                            <w:top w:val="none" w:sz="0" w:space="0" w:color="auto"/>
                            <w:left w:val="none" w:sz="0" w:space="0" w:color="auto"/>
                            <w:bottom w:val="none" w:sz="0" w:space="0" w:color="auto"/>
                            <w:right w:val="none" w:sz="0" w:space="0" w:color="auto"/>
                          </w:divBdr>
                          <w:divsChild>
                            <w:div w:id="15469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486">
                      <w:marLeft w:val="0"/>
                      <w:marRight w:val="0"/>
                      <w:marTop w:val="0"/>
                      <w:marBottom w:val="0"/>
                      <w:divBdr>
                        <w:top w:val="none" w:sz="0" w:space="0" w:color="auto"/>
                        <w:left w:val="none" w:sz="0" w:space="0" w:color="auto"/>
                        <w:bottom w:val="none" w:sz="0" w:space="0" w:color="auto"/>
                        <w:right w:val="none" w:sz="0" w:space="0" w:color="auto"/>
                      </w:divBdr>
                      <w:divsChild>
                        <w:div w:id="948859283">
                          <w:marLeft w:val="0"/>
                          <w:marRight w:val="0"/>
                          <w:marTop w:val="0"/>
                          <w:marBottom w:val="0"/>
                          <w:divBdr>
                            <w:top w:val="none" w:sz="0" w:space="0" w:color="auto"/>
                            <w:left w:val="none" w:sz="0" w:space="0" w:color="auto"/>
                            <w:bottom w:val="none" w:sz="0" w:space="0" w:color="auto"/>
                            <w:right w:val="none" w:sz="0" w:space="0" w:color="auto"/>
                          </w:divBdr>
                        </w:div>
                        <w:div w:id="1257204343">
                          <w:marLeft w:val="0"/>
                          <w:marRight w:val="0"/>
                          <w:marTop w:val="0"/>
                          <w:marBottom w:val="0"/>
                          <w:divBdr>
                            <w:top w:val="none" w:sz="0" w:space="0" w:color="auto"/>
                            <w:left w:val="none" w:sz="0" w:space="0" w:color="auto"/>
                            <w:bottom w:val="none" w:sz="0" w:space="0" w:color="auto"/>
                            <w:right w:val="none" w:sz="0" w:space="0" w:color="auto"/>
                          </w:divBdr>
                        </w:div>
                      </w:divsChild>
                    </w:div>
                    <w:div w:id="1714772226">
                      <w:marLeft w:val="0"/>
                      <w:marRight w:val="0"/>
                      <w:marTop w:val="0"/>
                      <w:marBottom w:val="0"/>
                      <w:divBdr>
                        <w:top w:val="none" w:sz="0" w:space="0" w:color="auto"/>
                        <w:left w:val="none" w:sz="0" w:space="0" w:color="auto"/>
                        <w:bottom w:val="none" w:sz="0" w:space="0" w:color="auto"/>
                        <w:right w:val="none" w:sz="0" w:space="0" w:color="auto"/>
                      </w:divBdr>
                      <w:divsChild>
                        <w:div w:id="11202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8501">
                  <w:marLeft w:val="0"/>
                  <w:marRight w:val="0"/>
                  <w:marTop w:val="0"/>
                  <w:marBottom w:val="0"/>
                  <w:divBdr>
                    <w:top w:val="none" w:sz="0" w:space="0" w:color="auto"/>
                    <w:left w:val="none" w:sz="0" w:space="0" w:color="auto"/>
                    <w:bottom w:val="none" w:sz="0" w:space="0" w:color="auto"/>
                    <w:right w:val="none" w:sz="0" w:space="0" w:color="auto"/>
                  </w:divBdr>
                  <w:divsChild>
                    <w:div w:id="590355915">
                      <w:marLeft w:val="0"/>
                      <w:marRight w:val="0"/>
                      <w:marTop w:val="0"/>
                      <w:marBottom w:val="0"/>
                      <w:divBdr>
                        <w:top w:val="none" w:sz="0" w:space="0" w:color="auto"/>
                        <w:left w:val="none" w:sz="0" w:space="0" w:color="auto"/>
                        <w:bottom w:val="none" w:sz="0" w:space="0" w:color="auto"/>
                        <w:right w:val="none" w:sz="0" w:space="0" w:color="auto"/>
                      </w:divBdr>
                      <w:divsChild>
                        <w:div w:id="2046127309">
                          <w:marLeft w:val="0"/>
                          <w:marRight w:val="0"/>
                          <w:marTop w:val="0"/>
                          <w:marBottom w:val="0"/>
                          <w:divBdr>
                            <w:top w:val="none" w:sz="0" w:space="0" w:color="auto"/>
                            <w:left w:val="none" w:sz="0" w:space="0" w:color="auto"/>
                            <w:bottom w:val="none" w:sz="0" w:space="0" w:color="auto"/>
                            <w:right w:val="none" w:sz="0" w:space="0" w:color="auto"/>
                          </w:divBdr>
                          <w:divsChild>
                            <w:div w:id="1828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3387">
                  <w:marLeft w:val="0"/>
                  <w:marRight w:val="0"/>
                  <w:marTop w:val="0"/>
                  <w:marBottom w:val="0"/>
                  <w:divBdr>
                    <w:top w:val="none" w:sz="0" w:space="0" w:color="auto"/>
                    <w:left w:val="none" w:sz="0" w:space="0" w:color="auto"/>
                    <w:bottom w:val="none" w:sz="0" w:space="0" w:color="auto"/>
                    <w:right w:val="none" w:sz="0" w:space="0" w:color="auto"/>
                  </w:divBdr>
                  <w:divsChild>
                    <w:div w:id="1727988982">
                      <w:marLeft w:val="0"/>
                      <w:marRight w:val="0"/>
                      <w:marTop w:val="0"/>
                      <w:marBottom w:val="0"/>
                      <w:divBdr>
                        <w:top w:val="none" w:sz="0" w:space="0" w:color="auto"/>
                        <w:left w:val="none" w:sz="0" w:space="0" w:color="auto"/>
                        <w:bottom w:val="none" w:sz="0" w:space="0" w:color="auto"/>
                        <w:right w:val="none" w:sz="0" w:space="0" w:color="auto"/>
                      </w:divBdr>
                      <w:divsChild>
                        <w:div w:id="883296463">
                          <w:marLeft w:val="0"/>
                          <w:marRight w:val="0"/>
                          <w:marTop w:val="0"/>
                          <w:marBottom w:val="0"/>
                          <w:divBdr>
                            <w:top w:val="none" w:sz="0" w:space="0" w:color="auto"/>
                            <w:left w:val="none" w:sz="0" w:space="0" w:color="auto"/>
                            <w:bottom w:val="none" w:sz="0" w:space="0" w:color="auto"/>
                            <w:right w:val="none" w:sz="0" w:space="0" w:color="auto"/>
                          </w:divBdr>
                        </w:div>
                      </w:divsChild>
                    </w:div>
                    <w:div w:id="372114883">
                      <w:marLeft w:val="0"/>
                      <w:marRight w:val="0"/>
                      <w:marTop w:val="0"/>
                      <w:marBottom w:val="0"/>
                      <w:divBdr>
                        <w:top w:val="none" w:sz="0" w:space="0" w:color="auto"/>
                        <w:left w:val="none" w:sz="0" w:space="0" w:color="auto"/>
                        <w:bottom w:val="none" w:sz="0" w:space="0" w:color="auto"/>
                        <w:right w:val="none" w:sz="0" w:space="0" w:color="auto"/>
                      </w:divBdr>
                      <w:divsChild>
                        <w:div w:id="1565290468">
                          <w:marLeft w:val="0"/>
                          <w:marRight w:val="0"/>
                          <w:marTop w:val="0"/>
                          <w:marBottom w:val="0"/>
                          <w:divBdr>
                            <w:top w:val="none" w:sz="0" w:space="0" w:color="auto"/>
                            <w:left w:val="none" w:sz="0" w:space="0" w:color="auto"/>
                            <w:bottom w:val="none" w:sz="0" w:space="0" w:color="auto"/>
                            <w:right w:val="none" w:sz="0" w:space="0" w:color="auto"/>
                          </w:divBdr>
                        </w:div>
                      </w:divsChild>
                    </w:div>
                    <w:div w:id="1150630589">
                      <w:marLeft w:val="0"/>
                      <w:marRight w:val="0"/>
                      <w:marTop w:val="0"/>
                      <w:marBottom w:val="0"/>
                      <w:divBdr>
                        <w:top w:val="none" w:sz="0" w:space="0" w:color="auto"/>
                        <w:left w:val="none" w:sz="0" w:space="0" w:color="auto"/>
                        <w:bottom w:val="none" w:sz="0" w:space="0" w:color="auto"/>
                        <w:right w:val="none" w:sz="0" w:space="0" w:color="auto"/>
                      </w:divBdr>
                      <w:divsChild>
                        <w:div w:id="10288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mate.ec.europa.eu/eu-action/eu-emissions-trading-system-eu-ets_en" TargetMode="External"/><Relationship Id="rId18" Type="http://schemas.openxmlformats.org/officeDocument/2006/relationships/hyperlink" Target="https://commission.europa.eu/energy-climate-change-environment/implementation-eu-countries/energy-and-climate-governance-and-reporting/national-energy-and-climate-plans_en" TargetMode="External"/><Relationship Id="rId26" Type="http://schemas.openxmlformats.org/officeDocument/2006/relationships/hyperlink" Target="https://eur-lex.europa.eu/legal-content/EN/TXT/?uri=celex%3A32022R1854" TargetMode="External"/><Relationship Id="rId39" Type="http://schemas.openxmlformats.org/officeDocument/2006/relationships/hyperlink" Target="https://eur-lex.europa.eu/legal-content/EN/TXT/HTML/?uri=CELEX:62022TN0803" TargetMode="External"/><Relationship Id="rId21" Type="http://schemas.openxmlformats.org/officeDocument/2006/relationships/hyperlink" Target="https://commission.europa.eu/strategy-and-policy/eu-budget/eu-borrower-investor-relations/nextgenerationeu_en" TargetMode="External"/><Relationship Id="rId34" Type="http://schemas.openxmlformats.org/officeDocument/2006/relationships/hyperlink" Target="https://eur-lex.europa.eu/legal-content/EN/TXT/PDF/?uri=CELEX:62022CN0675" TargetMode="External"/><Relationship Id="rId42" Type="http://schemas.openxmlformats.org/officeDocument/2006/relationships/hyperlink" Target="https://eur-lex.europa.eu/legal-content/EN/TXT/HTML/?uri=CELEX:32022R1369" TargetMode="External"/><Relationship Id="rId47" Type="http://schemas.openxmlformats.org/officeDocument/2006/relationships/hyperlink" Target="https://www.europarl.europa.eu/RegData/etudes/STUD/2023/753307/IPOL_STU(2023)753307_EN.pdf" TargetMode="External"/><Relationship Id="rId50" Type="http://schemas.openxmlformats.org/officeDocument/2006/relationships/hyperlink" Target="https://www.bing.com/search?q=9781789906981-book-part-9781789906981-27.pdf&amp;cvid=fda032362f644390a942fe9efdd3d008&amp;gs_lcrp=EgZjaHJvbWUyBggAEEUYOTIGCAEQRRg8MggIAhDpBxj8VdIBBzMwMWowajSoAgCwAgE&amp;FORM=ANAB01&amp;PC=U531" TargetMode="External"/><Relationship Id="rId55" Type="http://schemas.openxmlformats.org/officeDocument/2006/relationships/hyperlink" Target="https://papers.ssrn.com/sol3/papers.cfm?abstract_id=2995409" TargetMode="External"/><Relationship Id="rId7" Type="http://schemas.openxmlformats.org/officeDocument/2006/relationships/hyperlink" Target="https://eur-lex.europa.eu/legal-content/EN/TXT/HTML/?uri=CELEX:52022DC0138" TargetMode="External"/><Relationship Id="rId2" Type="http://schemas.openxmlformats.org/officeDocument/2006/relationships/styles" Target="styles.xml"/><Relationship Id="rId16" Type="http://schemas.openxmlformats.org/officeDocument/2006/relationships/hyperlink" Target="https://climate.ec.europa.eu/eu-action/climate-strategies-targets/governance-energy-union-and-climate-action_en" TargetMode="External"/><Relationship Id="rId29" Type="http://schemas.openxmlformats.org/officeDocument/2006/relationships/hyperlink" Target="https://energy.ec.europa.eu/topics/markets-and-consumers/market-legislation/electricity-market-design_en" TargetMode="External"/><Relationship Id="rId11" Type="http://schemas.openxmlformats.org/officeDocument/2006/relationships/hyperlink" Target="https://energy.ec.europa.eu/topics/renewable-energy/renewable-energy-directive-targets-and-rules/renewable-energy-directive_en" TargetMode="External"/><Relationship Id="rId24" Type="http://schemas.openxmlformats.org/officeDocument/2006/relationships/hyperlink" Target="https://eur-lex.europa.eu/legal-content/EN/TXT/?uri=CELEX%3A12012E122" TargetMode="External"/><Relationship Id="rId32" Type="http://schemas.openxmlformats.org/officeDocument/2006/relationships/hyperlink" Target="https://www.acer.europa.eu/news-and-events/news/acers-first-new-daily-lng-price-assessment-report-published" TargetMode="External"/><Relationship Id="rId37" Type="http://schemas.openxmlformats.org/officeDocument/2006/relationships/hyperlink" Target="https://eur-lex.europa.eu/legal-content/EN/TXT/HTML/?uri=CELEX:62022TN0802" TargetMode="External"/><Relationship Id="rId40" Type="http://schemas.openxmlformats.org/officeDocument/2006/relationships/hyperlink" Target="https://curia.europa.eu/juris/document/document_print.jsf?mode=lst&amp;pageIndex=0&amp;docid=130381&amp;part=1&amp;doclang=EN&amp;text=&amp;dir=&amp;occ=first&amp;cid=825742" TargetMode="External"/><Relationship Id="rId45" Type="http://schemas.openxmlformats.org/officeDocument/2006/relationships/hyperlink" Target="https://www.iea.org/commentaries/europe-s-energy-crisis-understanding-the-drivers-of-the-fall-in-electricity-demand" TargetMode="External"/><Relationship Id="rId53" Type="http://schemas.openxmlformats.org/officeDocument/2006/relationships/hyperlink" Target="https://journals.lub.lu.se/njel/article/view/25414" TargetMode="External"/><Relationship Id="rId58" Type="http://schemas.openxmlformats.org/officeDocument/2006/relationships/hyperlink" Target="https://www.nature.com/articles/d41586-022-02199-5"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single-market-economy.ec.europa.eu/news/updating-2020-industrial-strategy-towards-stronger-single-market-europes-recovery-2021-05-05_en" TargetMode="External"/><Relationship Id="rId14" Type="http://schemas.openxmlformats.org/officeDocument/2006/relationships/hyperlink" Target="https://www.europarl.europa.eu/RegData/etudes/BRIE/2023/747099/EPRS_BRI(2023)747099_EN.pdf" TargetMode="External"/><Relationship Id="rId22" Type="http://schemas.openxmlformats.org/officeDocument/2006/relationships/hyperlink" Target="https://ec.europa.eu/economy_finance/recovery-and-resilience-scoreboard/index.html" TargetMode="External"/><Relationship Id="rId27" Type="http://schemas.openxmlformats.org/officeDocument/2006/relationships/hyperlink" Target="https://data.consilium.europa.eu/doc/document/CM-4715-2022-INIT/en/pdf" TargetMode="External"/><Relationship Id="rId30" Type="http://schemas.openxmlformats.org/officeDocument/2006/relationships/hyperlink" Target="https://eur-lex.europa.eu/legal-content/EN/TXT/?uri=CELEX:32022R2576" TargetMode="External"/><Relationship Id="rId35" Type="http://schemas.openxmlformats.org/officeDocument/2006/relationships/hyperlink" Target="https://eur-lex.europa.eu/legal-content/EN/TXT/HTML/?uri=CELEX:62022TN0759" TargetMode="External"/><Relationship Id="rId43" Type="http://schemas.openxmlformats.org/officeDocument/2006/relationships/hyperlink" Target="https://www.consilium.europa.eu/en/policies/energy-prices-and-security-of-supply/" TargetMode="External"/><Relationship Id="rId48" Type="http://schemas.openxmlformats.org/officeDocument/2006/relationships/hyperlink" Target="https://www.tandfonline.com/doi/full/10.1080/13501763.2021.1918221" TargetMode="External"/><Relationship Id="rId56" Type="http://schemas.openxmlformats.org/officeDocument/2006/relationships/hyperlink" Target="https://brill.com/view/journals/jeep/16/4/article-p323_323.xml" TargetMode="External"/><Relationship Id="rId8" Type="http://schemas.openxmlformats.org/officeDocument/2006/relationships/hyperlink" Target="https://commission.europa.eu/strategy-and-policy/priorities-2019-2024/european-green-deal/repowereu-affordable-secure-and-sustainable-energy-europe_en" TargetMode="External"/><Relationship Id="rId51" Type="http://schemas.openxmlformats.org/officeDocument/2006/relationships/hyperlink" Target="https://eulawlive.com/op-ed-article-122-tfeu-and-the-future-of-the-unions-emergency-powers-by-paul-dermine/" TargetMode="External"/><Relationship Id="rId3" Type="http://schemas.openxmlformats.org/officeDocument/2006/relationships/settings" Target="settings.xml"/><Relationship Id="rId12" Type="http://schemas.openxmlformats.org/officeDocument/2006/relationships/hyperlink" Target="https://energy.ec.europa.eu/topics/energy-efficiency/energy-efficiency-targets-directive-and-rules/energy-efficiency-directive_en" TargetMode="External"/><Relationship Id="rId17" Type="http://schemas.openxmlformats.org/officeDocument/2006/relationships/hyperlink" Target="https://eur-lex.europa.eu/legal-content/EN/TXT/HTML/?uri=CELEX:52019DC0285" TargetMode="External"/><Relationship Id="rId25" Type="http://schemas.openxmlformats.org/officeDocument/2006/relationships/hyperlink" Target="https://eur-lex.europa.eu/legal-content/EN/TXT/HTML/?uri=CELEX:32022R1369" TargetMode="External"/><Relationship Id="rId33" Type="http://schemas.openxmlformats.org/officeDocument/2006/relationships/hyperlink" Target="https://eur-lex.europa.eu/legal-content/EN/TXT/PDF/?uri=OJ:L_202401106" TargetMode="External"/><Relationship Id="rId38" Type="http://schemas.openxmlformats.org/officeDocument/2006/relationships/hyperlink" Target="https://eur-lex.europa.eu/legal-content/EN/TXT/HTML/?uri=CELEX:62022TN0795" TargetMode="External"/><Relationship Id="rId46" Type="http://schemas.openxmlformats.org/officeDocument/2006/relationships/hyperlink" Target="https://www.consilium.europa.eu/en/press/press-releases/2023/12/22/prolongation-of-emergency-regulations-on-security-of-supply-and-energy-prices-council-adopts-measures/pdf/" TargetMode="External"/><Relationship Id="rId59" Type="http://schemas.openxmlformats.org/officeDocument/2006/relationships/footer" Target="footer1.xml"/><Relationship Id="rId20" Type="http://schemas.openxmlformats.org/officeDocument/2006/relationships/hyperlink" Target="https://www.consilium.europa.eu/media/ny3j24sm/much-more-than-a-market-report-by-enrico-letta.pdf" TargetMode="External"/><Relationship Id="rId41" Type="http://schemas.openxmlformats.org/officeDocument/2006/relationships/hyperlink" Target="https://eur-lex.europa.eu/legal-content/EN/TXT/HTML/?uri=CELEX:62022TN0759" TargetMode="External"/><Relationship Id="rId54" Type="http://schemas.openxmlformats.org/officeDocument/2006/relationships/hyperlink" Target="https://hdl.handle.net/1814/7514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ur-lex.europa.eu/legal-content/EN/TXT/?uri=CELEX:52019DC0640" TargetMode="External"/><Relationship Id="rId23" Type="http://schemas.openxmlformats.org/officeDocument/2006/relationships/hyperlink" Target="https://kluwerlawonline.com/journalarticle/Common+Market+Law+Review/59.2/COLA2022031" TargetMode="External"/><Relationship Id="rId28" Type="http://schemas.openxmlformats.org/officeDocument/2006/relationships/hyperlink" Target="https://eur-lex.europa.eu/legal-content/EN/TXT/?uri=CELEX%3A62012CJ0370" TargetMode="External"/><Relationship Id="rId36" Type="http://schemas.openxmlformats.org/officeDocument/2006/relationships/hyperlink" Target="https://eur-lex.europa.eu/legal-content/EN/TXT/HTML/?uri=CELEX:62022TN0775" TargetMode="External"/><Relationship Id="rId49" Type="http://schemas.openxmlformats.org/officeDocument/2006/relationships/hyperlink" Target="https://link.springer.com/article/10.1007/s41358-023-00353-7" TargetMode="External"/><Relationship Id="rId57" Type="http://schemas.openxmlformats.org/officeDocument/2006/relationships/hyperlink" Target="https://kluwerlawonline.com/journalarticle/Common+Market+Law+Review/59.2/COLA2022031" TargetMode="External"/><Relationship Id="rId10" Type="http://schemas.openxmlformats.org/officeDocument/2006/relationships/hyperlink" Target="https://energy.ec.europa.eu/topics/markets-and-consumers/actions-and-measures-energy-prices/repowereu-2-years_en" TargetMode="External"/><Relationship Id="rId31" Type="http://schemas.openxmlformats.org/officeDocument/2006/relationships/hyperlink" Target="https://www.bing.com/search?pglt=43&amp;q=Court+Anagnostakis+case%2C&amp;cvid=1d2ca08173b545d8abc797c5970c7777&amp;gs_lcrp=EgZjaHJvbWUyBggAEEUYOTIGCAEQABhAMggIAhDpBxj8VdIBCDM5NDBqMGoxqAIAsAIA&amp;FORM=ANNAB1&amp;PC=U531&amp;ntref=1" TargetMode="External"/><Relationship Id="rId44" Type="http://schemas.openxmlformats.org/officeDocument/2006/relationships/hyperlink" Target="https://eur-lex.europa.eu/legal-content/EN/TXT/?uri=COM%3A2023%3A650%3AFIN&amp;qid=1698237100377" TargetMode="External"/><Relationship Id="rId52" Type="http://schemas.openxmlformats.org/officeDocument/2006/relationships/hyperlink" Target="https://kluwerlawonline.com/journalarticle/European+Foreign+Affairs+Review/15.4/EERR2010037"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EN/TXT/HTML/?uri=CELEX:52022DC02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kater\Downloads\Energy%20Crisis%20Response%20in%20the%20EU:%20Navigating%20the%20Perfect%20St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European Agency for Cooperation of Energy Regulators</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LELOVITIS (ACER)</dc:creator>
  <cp:keywords/>
  <dc:description/>
  <cp:lastModifiedBy>Aikaterini Iliadou</cp:lastModifiedBy>
  <cp:revision>2</cp:revision>
  <dcterms:created xsi:type="dcterms:W3CDTF">2024-05-29T07:37:00Z</dcterms:created>
  <dcterms:modified xsi:type="dcterms:W3CDTF">2024-05-29T07:37:00Z</dcterms:modified>
</cp:coreProperties>
</file>