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728"/>
        <w:gridCol w:w="7848"/>
      </w:tblGrid>
      <w:tr w:rsidR="00133EE7" w:rsidTr="00133EE7">
        <w:tc>
          <w:tcPr>
            <w:tcW w:w="1728" w:type="dxa"/>
          </w:tcPr>
          <w:p w:rsidR="00133EE7" w:rsidRPr="00775DFD" w:rsidRDefault="00133EE7">
            <w:pPr>
              <w:rPr>
                <w:b/>
                <w:lang w:val="el-GR"/>
              </w:rPr>
            </w:pPr>
            <w:r w:rsidRPr="00775DFD">
              <w:rPr>
                <w:b/>
                <w:lang w:val="el-GR"/>
              </w:rPr>
              <w:t xml:space="preserve">Μάθημα </w:t>
            </w:r>
          </w:p>
        </w:tc>
        <w:tc>
          <w:tcPr>
            <w:tcW w:w="7848" w:type="dxa"/>
          </w:tcPr>
          <w:p w:rsidR="00133EE7" w:rsidRPr="00133EE7" w:rsidRDefault="00133EE7">
            <w:pPr>
              <w:rPr>
                <w:lang w:val="el-GR"/>
              </w:rPr>
            </w:pPr>
            <w:r>
              <w:rPr>
                <w:lang w:val="el-GR"/>
              </w:rPr>
              <w:t xml:space="preserve">Οδοντικό Τραύμα </w:t>
            </w:r>
          </w:p>
        </w:tc>
      </w:tr>
      <w:tr w:rsidR="00133EE7" w:rsidTr="00133EE7">
        <w:tc>
          <w:tcPr>
            <w:tcW w:w="1728" w:type="dxa"/>
          </w:tcPr>
          <w:p w:rsidR="00133EE7" w:rsidRPr="00775DFD" w:rsidRDefault="00133EE7">
            <w:pPr>
              <w:rPr>
                <w:b/>
                <w:lang w:val="el-GR"/>
              </w:rPr>
            </w:pPr>
            <w:r w:rsidRPr="00775DFD">
              <w:rPr>
                <w:b/>
                <w:lang w:val="el-GR"/>
              </w:rPr>
              <w:t xml:space="preserve">Συντονιστής </w:t>
            </w:r>
          </w:p>
        </w:tc>
        <w:tc>
          <w:tcPr>
            <w:tcW w:w="7848" w:type="dxa"/>
          </w:tcPr>
          <w:p w:rsidR="00133EE7" w:rsidRDefault="00A40491">
            <w:pPr>
              <w:rPr>
                <w:lang w:val="el-GR"/>
              </w:rPr>
            </w:pPr>
            <w:r>
              <w:rPr>
                <w:lang w:val="el-GR"/>
              </w:rPr>
              <w:t>Καθ. Ευαγγελία Παπα</w:t>
            </w:r>
            <w:r w:rsidR="00133EE7">
              <w:rPr>
                <w:lang w:val="el-GR"/>
              </w:rPr>
              <w:t xml:space="preserve">γιαννούλη </w:t>
            </w:r>
          </w:p>
        </w:tc>
      </w:tr>
      <w:tr w:rsidR="00133EE7" w:rsidRPr="00230CED" w:rsidTr="00133EE7">
        <w:tc>
          <w:tcPr>
            <w:tcW w:w="1728" w:type="dxa"/>
          </w:tcPr>
          <w:p w:rsidR="00133EE7" w:rsidRPr="00775DFD" w:rsidRDefault="00133EE7">
            <w:pPr>
              <w:rPr>
                <w:b/>
                <w:lang w:val="el-GR"/>
              </w:rPr>
            </w:pPr>
            <w:r w:rsidRPr="00775DFD">
              <w:rPr>
                <w:b/>
                <w:lang w:val="el-GR"/>
              </w:rPr>
              <w:t xml:space="preserve">Εξάμηνο </w:t>
            </w:r>
          </w:p>
        </w:tc>
        <w:tc>
          <w:tcPr>
            <w:tcW w:w="7848" w:type="dxa"/>
          </w:tcPr>
          <w:p w:rsidR="00133EE7" w:rsidRDefault="00BF01E4">
            <w:pPr>
              <w:rPr>
                <w:lang w:val="el-GR"/>
              </w:rPr>
            </w:pPr>
            <w:r>
              <w:rPr>
                <w:lang w:val="el-GR"/>
              </w:rPr>
              <w:t>Χειμερινό (φοιτητές 1</w:t>
            </w:r>
            <w:r w:rsidRPr="00BF01E4">
              <w:rPr>
                <w:vertAlign w:val="superscript"/>
                <w:lang w:val="el-GR"/>
              </w:rPr>
              <w:t>ου</w:t>
            </w:r>
            <w:r>
              <w:rPr>
                <w:lang w:val="el-GR"/>
              </w:rPr>
              <w:t xml:space="preserve"> &amp; 3</w:t>
            </w:r>
            <w:r w:rsidRPr="00BF01E4">
              <w:rPr>
                <w:vertAlign w:val="superscript"/>
                <w:lang w:val="el-GR"/>
              </w:rPr>
              <w:t>ου</w:t>
            </w:r>
            <w:r>
              <w:rPr>
                <w:lang w:val="el-GR"/>
              </w:rPr>
              <w:t xml:space="preserve"> εξαμήνου) </w:t>
            </w:r>
            <w:r w:rsidR="00133EE7">
              <w:rPr>
                <w:lang w:val="el-GR"/>
              </w:rPr>
              <w:t xml:space="preserve"> </w:t>
            </w:r>
          </w:p>
        </w:tc>
      </w:tr>
      <w:tr w:rsidR="00133EE7" w:rsidTr="00133EE7">
        <w:tc>
          <w:tcPr>
            <w:tcW w:w="1728" w:type="dxa"/>
          </w:tcPr>
          <w:p w:rsidR="00133EE7" w:rsidRPr="00775DFD" w:rsidRDefault="00133EE7">
            <w:pPr>
              <w:rPr>
                <w:b/>
                <w:lang w:val="el-GR"/>
              </w:rPr>
            </w:pPr>
            <w:r w:rsidRPr="00775DFD">
              <w:rPr>
                <w:b/>
                <w:lang w:val="el-GR"/>
              </w:rPr>
              <w:t>Ημέρα &amp; Ώρα</w:t>
            </w:r>
          </w:p>
        </w:tc>
        <w:tc>
          <w:tcPr>
            <w:tcW w:w="7848" w:type="dxa"/>
          </w:tcPr>
          <w:p w:rsidR="00133EE7" w:rsidRDefault="00133EE7">
            <w:pPr>
              <w:rPr>
                <w:lang w:val="el-GR"/>
              </w:rPr>
            </w:pPr>
            <w:r>
              <w:rPr>
                <w:lang w:val="el-GR"/>
              </w:rPr>
              <w:t>Πέμπτη,  16:00-17:00</w:t>
            </w:r>
          </w:p>
        </w:tc>
      </w:tr>
    </w:tbl>
    <w:p w:rsidR="00DB723F" w:rsidRDefault="00DB723F" w:rsidP="00DB723F">
      <w:pPr>
        <w:jc w:val="both"/>
        <w:rPr>
          <w:lang w:val="el-GR"/>
        </w:rPr>
      </w:pPr>
    </w:p>
    <w:p w:rsidR="00133EE7" w:rsidRPr="00775DFD" w:rsidRDefault="008C5014">
      <w:pPr>
        <w:rPr>
          <w:b/>
          <w:u w:val="single"/>
          <w:lang w:val="el-GR"/>
        </w:rPr>
      </w:pPr>
      <w:r w:rsidRPr="00775DFD">
        <w:rPr>
          <w:b/>
          <w:u w:val="single"/>
          <w:lang w:val="el-GR"/>
        </w:rPr>
        <w:t xml:space="preserve">Στόχος </w:t>
      </w:r>
    </w:p>
    <w:p w:rsidR="008923C3" w:rsidRDefault="00133EE7" w:rsidP="00133EE7">
      <w:pPr>
        <w:jc w:val="both"/>
        <w:rPr>
          <w:lang w:val="el-GR"/>
        </w:rPr>
      </w:pPr>
      <w:r>
        <w:rPr>
          <w:lang w:val="el-GR"/>
        </w:rPr>
        <w:t xml:space="preserve">Στόχος του μαθήματος είναι να αποκτήσει ο φοιτητής </w:t>
      </w:r>
      <w:r w:rsidR="008750C0">
        <w:rPr>
          <w:lang w:val="el-GR"/>
        </w:rPr>
        <w:t xml:space="preserve">τις ακόλουθες γνώσεις σχετικά με το οδοντικό τραυμα: </w:t>
      </w:r>
      <w:r>
        <w:rPr>
          <w:lang w:val="el-GR"/>
        </w:rPr>
        <w:t xml:space="preserve"> πρόληψη, επιδημιολογία, </w:t>
      </w:r>
      <w:r w:rsidR="008750C0">
        <w:rPr>
          <w:lang w:val="el-GR"/>
        </w:rPr>
        <w:t xml:space="preserve">κλινική εξέταση, </w:t>
      </w:r>
      <w:r>
        <w:rPr>
          <w:lang w:val="el-GR"/>
        </w:rPr>
        <w:t>διάγνωση</w:t>
      </w:r>
      <w:r w:rsidR="008750C0">
        <w:rPr>
          <w:lang w:val="el-GR"/>
        </w:rPr>
        <w:t xml:space="preserve"> και </w:t>
      </w:r>
      <w:r>
        <w:rPr>
          <w:lang w:val="el-GR"/>
        </w:rPr>
        <w:t xml:space="preserve"> σχεδιασμό θεραπείας  </w:t>
      </w:r>
      <w:r w:rsidR="008750C0">
        <w:rPr>
          <w:lang w:val="el-GR"/>
        </w:rPr>
        <w:t xml:space="preserve">καθώς </w:t>
      </w:r>
      <w:r>
        <w:rPr>
          <w:lang w:val="el-GR"/>
        </w:rPr>
        <w:t>και την θεραπευτική αντιμετώπιση τ</w:t>
      </w:r>
      <w:r w:rsidR="008C5014">
        <w:rPr>
          <w:lang w:val="el-GR"/>
        </w:rPr>
        <w:t xml:space="preserve">ου </w:t>
      </w:r>
      <w:r>
        <w:rPr>
          <w:lang w:val="el-GR"/>
        </w:rPr>
        <w:t>τραυματισμ</w:t>
      </w:r>
      <w:r w:rsidR="008C5014">
        <w:rPr>
          <w:lang w:val="el-GR"/>
        </w:rPr>
        <w:t>ού</w:t>
      </w:r>
      <w:r>
        <w:rPr>
          <w:lang w:val="el-GR"/>
        </w:rPr>
        <w:t xml:space="preserve"> των σκληρών οδοντικών ιστών, του πολφού, του περιοδοντίου και των μαλθακών ιστών του στόματος καθώς και τις επιπλοκές που μπορεί να προκύψουν από τα διάφορα είδη </w:t>
      </w:r>
      <w:r w:rsidR="008750C0">
        <w:rPr>
          <w:lang w:val="el-GR"/>
        </w:rPr>
        <w:t>οδοντικών  τραυματισμών</w:t>
      </w:r>
      <w:r w:rsidR="008C5014">
        <w:rPr>
          <w:lang w:val="el-GR"/>
        </w:rPr>
        <w:t>.</w:t>
      </w:r>
    </w:p>
    <w:p w:rsidR="00133EE7" w:rsidRDefault="00133EE7" w:rsidP="00133EE7">
      <w:pPr>
        <w:jc w:val="both"/>
        <w:rPr>
          <w:lang w:val="el-GR"/>
        </w:rPr>
      </w:pPr>
    </w:p>
    <w:p w:rsidR="00133EE7" w:rsidRPr="00775DFD" w:rsidRDefault="008C5014" w:rsidP="00133EE7">
      <w:pPr>
        <w:jc w:val="both"/>
        <w:rPr>
          <w:b/>
          <w:u w:val="single"/>
          <w:lang w:val="el-GR"/>
        </w:rPr>
      </w:pPr>
      <w:r w:rsidRPr="00775DFD">
        <w:rPr>
          <w:b/>
          <w:u w:val="single"/>
          <w:lang w:val="el-GR"/>
        </w:rPr>
        <w:t xml:space="preserve">Σκοπός </w:t>
      </w:r>
    </w:p>
    <w:p w:rsidR="00133EE7" w:rsidRDefault="00133EE7" w:rsidP="00133EE7">
      <w:pPr>
        <w:jc w:val="both"/>
        <w:rPr>
          <w:lang w:val="el-GR"/>
        </w:rPr>
      </w:pPr>
      <w:r>
        <w:rPr>
          <w:lang w:val="el-GR"/>
        </w:rPr>
        <w:t>Με την ολοκλήρωση του μαθήματος ο φοιτητής θα είναι σε θέσει να:</w:t>
      </w:r>
    </w:p>
    <w:p w:rsidR="00133EE7" w:rsidRDefault="008C5014" w:rsidP="00133EE7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π</w:t>
      </w:r>
      <w:r w:rsidR="00133EE7">
        <w:rPr>
          <w:lang w:val="el-GR"/>
        </w:rPr>
        <w:t>εριγράψει την συχνότητα, την αιτιολογία και την κατηγοριοποίηση των οδοντικών τραυματισμών νε</w:t>
      </w:r>
      <w:r>
        <w:rPr>
          <w:lang w:val="el-GR"/>
        </w:rPr>
        <w:t>ογιλών και μονί</w:t>
      </w:r>
      <w:r w:rsidR="00133EE7">
        <w:rPr>
          <w:lang w:val="el-GR"/>
        </w:rPr>
        <w:t>μων δοντιών</w:t>
      </w:r>
    </w:p>
    <w:p w:rsidR="00133EE7" w:rsidRDefault="008C5014" w:rsidP="00133EE7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δ</w:t>
      </w:r>
      <w:r w:rsidR="00133EE7">
        <w:rPr>
          <w:lang w:val="el-GR"/>
        </w:rPr>
        <w:t>ιαγ</w:t>
      </w:r>
      <w:r>
        <w:rPr>
          <w:lang w:val="el-GR"/>
        </w:rPr>
        <w:t>ν</w:t>
      </w:r>
      <w:r w:rsidR="00133EE7">
        <w:rPr>
          <w:lang w:val="el-GR"/>
        </w:rPr>
        <w:t xml:space="preserve">ώσει </w:t>
      </w:r>
      <w:r w:rsidR="008750C0">
        <w:rPr>
          <w:lang w:val="el-GR"/>
        </w:rPr>
        <w:t>τα διάφορα είδη οδοντικών τραυματισμών και να αξιολογήσει την κατάσταση του πολφού</w:t>
      </w:r>
      <w:r>
        <w:rPr>
          <w:lang w:val="el-GR"/>
        </w:rPr>
        <w:t xml:space="preserve"> και του περιοδοντίου</w:t>
      </w:r>
    </w:p>
    <w:p w:rsidR="008750C0" w:rsidRDefault="008C5014" w:rsidP="008750C0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αντιμετωπίσει θεραπευτικά </w:t>
      </w:r>
      <w:r w:rsidR="008750C0">
        <w:rPr>
          <w:lang w:val="el-GR"/>
        </w:rPr>
        <w:t xml:space="preserve"> οδοντικούς τραυματισμούς των σκληρών οδοντικών ιστών, του πολφού, του περιοδοντίου και των μαλθακών ιστών του στόματος</w:t>
      </w:r>
    </w:p>
    <w:p w:rsidR="008750C0" w:rsidRPr="008C5014" w:rsidRDefault="008C5014" w:rsidP="008750C0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ε</w:t>
      </w:r>
      <w:r w:rsidRPr="008C5014">
        <w:rPr>
          <w:lang w:val="el-GR"/>
        </w:rPr>
        <w:t>νημερωθεί σχετικα με την επαναγγείωση του πολφού και την αναγέννηση ιστών στην στοματική κοιλότητα μετά από τραυματισμό</w:t>
      </w:r>
    </w:p>
    <w:p w:rsidR="008750C0" w:rsidRPr="008750C0" w:rsidRDefault="008C5014" w:rsidP="008750C0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δ</w:t>
      </w:r>
      <w:r w:rsidR="008750C0" w:rsidRPr="008750C0">
        <w:rPr>
          <w:lang w:val="el-GR"/>
        </w:rPr>
        <w:t xml:space="preserve">ιαγνώσει και </w:t>
      </w:r>
      <w:r w:rsidR="008750C0">
        <w:rPr>
          <w:lang w:val="el-GR"/>
        </w:rPr>
        <w:t>αντιμετωπίσει</w:t>
      </w:r>
      <w:r w:rsidR="008750C0" w:rsidRPr="008750C0">
        <w:rPr>
          <w:lang w:val="el-GR"/>
        </w:rPr>
        <w:t xml:space="preserve"> επιπλοκές που μπορεί να προκύψο</w:t>
      </w:r>
      <w:r w:rsidR="008750C0">
        <w:rPr>
          <w:lang w:val="el-GR"/>
        </w:rPr>
        <w:t>υν από τα διάφορα είδη οδοντικών  τραυματισμών</w:t>
      </w:r>
      <w:r w:rsidR="008750C0" w:rsidRPr="008750C0">
        <w:rPr>
          <w:lang w:val="el-GR"/>
        </w:rPr>
        <w:t xml:space="preserve"> </w:t>
      </w:r>
    </w:p>
    <w:p w:rsidR="008750C0" w:rsidRDefault="008C5014" w:rsidP="008750C0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δ</w:t>
      </w:r>
      <w:r w:rsidR="008750C0" w:rsidRPr="008750C0">
        <w:rPr>
          <w:lang w:val="el-GR"/>
        </w:rPr>
        <w:t xml:space="preserve">ιαγνώσει και </w:t>
      </w:r>
      <w:r w:rsidR="008750C0">
        <w:rPr>
          <w:lang w:val="el-GR"/>
        </w:rPr>
        <w:t xml:space="preserve">αντιμετωπίσει τις συνέπειες των τραυματισμών των νεογιλών δοντιών στα </w:t>
      </w:r>
      <w:r>
        <w:rPr>
          <w:lang w:val="el-GR"/>
        </w:rPr>
        <w:t>μόνι</w:t>
      </w:r>
      <w:r w:rsidR="008750C0">
        <w:rPr>
          <w:lang w:val="el-GR"/>
        </w:rPr>
        <w:t>μα  διάδοχα δόντια</w:t>
      </w:r>
    </w:p>
    <w:p w:rsidR="008750C0" w:rsidRDefault="008C5014" w:rsidP="008750C0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α</w:t>
      </w:r>
      <w:r w:rsidR="008750C0">
        <w:rPr>
          <w:lang w:val="el-GR"/>
        </w:rPr>
        <w:t xml:space="preserve">ξιολογήσει την λειτουργία τον μασητικού συστήματος </w:t>
      </w:r>
    </w:p>
    <w:p w:rsidR="00A03C99" w:rsidRDefault="00A03C99" w:rsidP="00775DFD">
      <w:pPr>
        <w:jc w:val="both"/>
        <w:rPr>
          <w:b/>
          <w:u w:val="single"/>
          <w:lang w:val="el-GR"/>
        </w:rPr>
      </w:pPr>
    </w:p>
    <w:p w:rsidR="00DB723F" w:rsidRPr="00DB723F" w:rsidRDefault="00DB723F" w:rsidP="00DB723F">
      <w:pPr>
        <w:jc w:val="both"/>
        <w:rPr>
          <w:lang w:val="el-GR"/>
        </w:rPr>
      </w:pPr>
      <w:r>
        <w:rPr>
          <w:lang w:val="el-GR"/>
        </w:rPr>
        <w:t>Το μάθημα θα γίνεται υπο μορφήν σεμιναρίου με συζήτηση σχετικής βιβλιογραφίας, που</w:t>
      </w:r>
      <w:r w:rsidRPr="00A03C99">
        <w:rPr>
          <w:lang w:val="el-GR"/>
        </w:rPr>
        <w:t xml:space="preserve"> </w:t>
      </w:r>
      <w:r>
        <w:rPr>
          <w:lang w:val="el-GR"/>
        </w:rPr>
        <w:t xml:space="preserve">θα δίδεται στους φοιτητές εκ των προτέρων και κλινικών  περιστατικών που θα παρουσιάζονται από τους διδάσκοντες. </w:t>
      </w:r>
    </w:p>
    <w:p w:rsidR="00A03C99" w:rsidRDefault="00A03C99" w:rsidP="00775DFD">
      <w:pPr>
        <w:jc w:val="both"/>
        <w:rPr>
          <w:b/>
          <w:u w:val="single"/>
          <w:lang w:val="el-GR"/>
        </w:rPr>
      </w:pPr>
    </w:p>
    <w:p w:rsidR="00A03C99" w:rsidRDefault="00A03C99" w:rsidP="00775DFD">
      <w:pPr>
        <w:jc w:val="both"/>
        <w:rPr>
          <w:b/>
          <w:u w:val="single"/>
          <w:lang w:val="el-GR"/>
        </w:rPr>
      </w:pPr>
    </w:p>
    <w:p w:rsidR="00DB723F" w:rsidRDefault="00DB723F" w:rsidP="00775DFD">
      <w:pPr>
        <w:jc w:val="both"/>
        <w:rPr>
          <w:b/>
          <w:u w:val="single"/>
          <w:lang w:val="el-GR"/>
        </w:rPr>
      </w:pPr>
    </w:p>
    <w:p w:rsidR="00775DFD" w:rsidRPr="00775DFD" w:rsidRDefault="00775DFD" w:rsidP="00775DFD">
      <w:pPr>
        <w:jc w:val="both"/>
        <w:rPr>
          <w:b/>
          <w:u w:val="single"/>
          <w:lang w:val="el-GR"/>
        </w:rPr>
      </w:pPr>
      <w:r w:rsidRPr="00775DFD">
        <w:rPr>
          <w:b/>
          <w:u w:val="single"/>
          <w:lang w:val="el-GR"/>
        </w:rPr>
        <w:lastRenderedPageBreak/>
        <w:t xml:space="preserve">Θεματολογία – Διδάσκοντες </w:t>
      </w: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8"/>
        <w:gridCol w:w="5598"/>
        <w:gridCol w:w="4032"/>
      </w:tblGrid>
      <w:tr w:rsidR="00BF01E4" w:rsidTr="00775DFD">
        <w:tc>
          <w:tcPr>
            <w:tcW w:w="558" w:type="dxa"/>
          </w:tcPr>
          <w:p w:rsidR="00BF01E4" w:rsidRDefault="00BF01E4" w:rsidP="00BF01E4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5598" w:type="dxa"/>
          </w:tcPr>
          <w:p w:rsidR="00BF01E4" w:rsidRDefault="00BF01E4" w:rsidP="00BF01E4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Επιδημιολογία – Ταξινόμηση – Πρόληψη </w:t>
            </w:r>
          </w:p>
        </w:tc>
        <w:tc>
          <w:tcPr>
            <w:tcW w:w="4032" w:type="dxa"/>
          </w:tcPr>
          <w:p w:rsidR="00BF01E4" w:rsidRDefault="00BF01E4" w:rsidP="008750C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Λέκτορας  Γ. Βαδιάκας </w:t>
            </w:r>
          </w:p>
        </w:tc>
      </w:tr>
      <w:tr w:rsidR="00BF01E4" w:rsidTr="00775DFD">
        <w:tc>
          <w:tcPr>
            <w:tcW w:w="558" w:type="dxa"/>
          </w:tcPr>
          <w:p w:rsidR="00BF01E4" w:rsidRDefault="00BF01E4" w:rsidP="008750C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5598" w:type="dxa"/>
          </w:tcPr>
          <w:p w:rsidR="00BF01E4" w:rsidRDefault="00BF01E4" w:rsidP="008750C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Εξέταση - Διάγνωση – Σχέδιο θεραπείας </w:t>
            </w:r>
          </w:p>
        </w:tc>
        <w:tc>
          <w:tcPr>
            <w:tcW w:w="4032" w:type="dxa"/>
          </w:tcPr>
          <w:p w:rsidR="00BF01E4" w:rsidRDefault="00230CED" w:rsidP="008750C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Καθ. Ευαγγελία </w:t>
            </w:r>
            <w:proofErr w:type="spellStart"/>
            <w:r>
              <w:rPr>
                <w:lang w:val="el-GR"/>
              </w:rPr>
              <w:t>Παπα</w:t>
            </w:r>
            <w:r w:rsidR="00BF01E4">
              <w:rPr>
                <w:lang w:val="el-GR"/>
              </w:rPr>
              <w:t>γιαννούλη</w:t>
            </w:r>
            <w:proofErr w:type="spellEnd"/>
          </w:p>
        </w:tc>
      </w:tr>
      <w:tr w:rsidR="00BF01E4" w:rsidTr="00775DFD">
        <w:tc>
          <w:tcPr>
            <w:tcW w:w="558" w:type="dxa"/>
          </w:tcPr>
          <w:p w:rsidR="00BF01E4" w:rsidRDefault="00BF01E4" w:rsidP="008750C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5598" w:type="dxa"/>
          </w:tcPr>
          <w:p w:rsidR="00BF01E4" w:rsidRDefault="00BF01E4" w:rsidP="008750C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Κατάγματα μύλης </w:t>
            </w:r>
          </w:p>
        </w:tc>
        <w:tc>
          <w:tcPr>
            <w:tcW w:w="4032" w:type="dxa"/>
          </w:tcPr>
          <w:p w:rsidR="00BF01E4" w:rsidRDefault="00BF01E4" w:rsidP="008750C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Μίνως Σταυριδάκης </w:t>
            </w:r>
          </w:p>
        </w:tc>
      </w:tr>
      <w:tr w:rsidR="00BF01E4" w:rsidTr="00775DFD">
        <w:tc>
          <w:tcPr>
            <w:tcW w:w="558" w:type="dxa"/>
          </w:tcPr>
          <w:p w:rsidR="00BF01E4" w:rsidRDefault="00BF01E4" w:rsidP="008750C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5598" w:type="dxa"/>
          </w:tcPr>
          <w:p w:rsidR="00BF01E4" w:rsidRDefault="00BF01E4" w:rsidP="008750C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Κατάγματα μύλης – ρίζας </w:t>
            </w:r>
          </w:p>
        </w:tc>
        <w:tc>
          <w:tcPr>
            <w:tcW w:w="4032" w:type="dxa"/>
          </w:tcPr>
          <w:p w:rsidR="00BF01E4" w:rsidRDefault="00BF01E4" w:rsidP="008750C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Καθ. Κωνσταντίνος Ουλής </w:t>
            </w:r>
          </w:p>
        </w:tc>
      </w:tr>
      <w:tr w:rsidR="00BF01E4" w:rsidTr="00775DFD">
        <w:tc>
          <w:tcPr>
            <w:tcW w:w="558" w:type="dxa"/>
          </w:tcPr>
          <w:p w:rsidR="00BF01E4" w:rsidRDefault="00BF01E4" w:rsidP="008750C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5598" w:type="dxa"/>
          </w:tcPr>
          <w:p w:rsidR="00BF01E4" w:rsidRDefault="00BF01E4" w:rsidP="008750C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Κατάγματα  ρίζας</w:t>
            </w:r>
          </w:p>
        </w:tc>
        <w:tc>
          <w:tcPr>
            <w:tcW w:w="4032" w:type="dxa"/>
          </w:tcPr>
          <w:p w:rsidR="00BF01E4" w:rsidRDefault="00BF01E4" w:rsidP="008750C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Καθ. Κωνσταντίνος Ουλής</w:t>
            </w:r>
          </w:p>
        </w:tc>
      </w:tr>
      <w:tr w:rsidR="00BF01E4" w:rsidTr="00775DFD">
        <w:tc>
          <w:tcPr>
            <w:tcW w:w="558" w:type="dxa"/>
          </w:tcPr>
          <w:p w:rsidR="00BF01E4" w:rsidRDefault="00BF01E4" w:rsidP="008750C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5598" w:type="dxa"/>
          </w:tcPr>
          <w:p w:rsidR="00BF01E4" w:rsidRDefault="00BF01E4" w:rsidP="008750C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Διάσειση, κινητικότητα χωρίς μετατόπιση, πλαγια μετατόπιση </w:t>
            </w:r>
          </w:p>
        </w:tc>
        <w:tc>
          <w:tcPr>
            <w:tcW w:w="4032" w:type="dxa"/>
          </w:tcPr>
          <w:p w:rsidR="00BF01E4" w:rsidRDefault="00BF01E4" w:rsidP="008750C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Καθ. Ευαγγελία Παπαπγιαννούλη</w:t>
            </w:r>
          </w:p>
        </w:tc>
      </w:tr>
      <w:tr w:rsidR="00BF01E4" w:rsidTr="00775DFD">
        <w:tc>
          <w:tcPr>
            <w:tcW w:w="558" w:type="dxa"/>
          </w:tcPr>
          <w:p w:rsidR="00BF01E4" w:rsidRDefault="00BF01E4" w:rsidP="008750C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5598" w:type="dxa"/>
          </w:tcPr>
          <w:p w:rsidR="00BF01E4" w:rsidRDefault="00BF01E4" w:rsidP="008750C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Ενσφήνωση </w:t>
            </w:r>
          </w:p>
        </w:tc>
        <w:tc>
          <w:tcPr>
            <w:tcW w:w="4032" w:type="dxa"/>
          </w:tcPr>
          <w:p w:rsidR="00BF01E4" w:rsidRDefault="00BF01E4" w:rsidP="008750C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Καθ. Κωνσταντίνος Ουλής</w:t>
            </w:r>
          </w:p>
        </w:tc>
      </w:tr>
      <w:tr w:rsidR="00BF01E4" w:rsidTr="00775DFD">
        <w:tc>
          <w:tcPr>
            <w:tcW w:w="558" w:type="dxa"/>
          </w:tcPr>
          <w:p w:rsidR="00BF01E4" w:rsidRDefault="00BF01E4" w:rsidP="008750C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5598" w:type="dxa"/>
          </w:tcPr>
          <w:p w:rsidR="00BF01E4" w:rsidRDefault="00BF01E4" w:rsidP="008750C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Μερική και ολική εκγόμφωση </w:t>
            </w:r>
          </w:p>
        </w:tc>
        <w:tc>
          <w:tcPr>
            <w:tcW w:w="4032" w:type="dxa"/>
          </w:tcPr>
          <w:p w:rsidR="00BF01E4" w:rsidRDefault="00230CED" w:rsidP="008750C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Καθ. Ευαγγελία Παπα</w:t>
            </w:r>
            <w:r w:rsidR="00BF01E4">
              <w:rPr>
                <w:lang w:val="el-GR"/>
              </w:rPr>
              <w:t>γιαννούλη</w:t>
            </w:r>
          </w:p>
        </w:tc>
      </w:tr>
      <w:tr w:rsidR="00BF01E4" w:rsidTr="00775DFD">
        <w:tc>
          <w:tcPr>
            <w:tcW w:w="558" w:type="dxa"/>
          </w:tcPr>
          <w:p w:rsidR="00BF01E4" w:rsidRDefault="00BF01E4" w:rsidP="008750C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5598" w:type="dxa"/>
          </w:tcPr>
          <w:p w:rsidR="00BF01E4" w:rsidRDefault="00BF01E4" w:rsidP="008750C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Τραυματισμοί της φατνιακής απόφυσης και του οστού </w:t>
            </w:r>
          </w:p>
        </w:tc>
        <w:tc>
          <w:tcPr>
            <w:tcW w:w="4032" w:type="dxa"/>
          </w:tcPr>
          <w:p w:rsidR="00BF01E4" w:rsidRDefault="00BF01E4" w:rsidP="008750C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Καθ. Ιωάννης Ιατρού </w:t>
            </w:r>
          </w:p>
        </w:tc>
      </w:tr>
      <w:tr w:rsidR="00BF01E4" w:rsidTr="00775DFD">
        <w:tc>
          <w:tcPr>
            <w:tcW w:w="558" w:type="dxa"/>
          </w:tcPr>
          <w:p w:rsidR="00BF01E4" w:rsidRDefault="00BF01E4" w:rsidP="008750C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5598" w:type="dxa"/>
          </w:tcPr>
          <w:p w:rsidR="00BF01E4" w:rsidRDefault="00BF01E4" w:rsidP="008750C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Μετατραυματικές επιπλοκές </w:t>
            </w:r>
          </w:p>
        </w:tc>
        <w:tc>
          <w:tcPr>
            <w:tcW w:w="4032" w:type="dxa"/>
          </w:tcPr>
          <w:p w:rsidR="00BF01E4" w:rsidRDefault="00BF01E4" w:rsidP="008750C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Λέκτορας  Γ. Βαδιάκας</w:t>
            </w:r>
          </w:p>
        </w:tc>
      </w:tr>
      <w:tr w:rsidR="00BF01E4" w:rsidTr="00775DFD">
        <w:tc>
          <w:tcPr>
            <w:tcW w:w="558" w:type="dxa"/>
          </w:tcPr>
          <w:p w:rsidR="00BF01E4" w:rsidRDefault="00BF01E4" w:rsidP="00BF01E4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11</w:t>
            </w:r>
          </w:p>
        </w:tc>
        <w:tc>
          <w:tcPr>
            <w:tcW w:w="5598" w:type="dxa"/>
          </w:tcPr>
          <w:p w:rsidR="00BF01E4" w:rsidRDefault="00BF01E4" w:rsidP="00BF01E4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Ε</w:t>
            </w:r>
            <w:r w:rsidRPr="008C5014">
              <w:rPr>
                <w:lang w:val="el-GR"/>
              </w:rPr>
              <w:t xml:space="preserve">παναγγείωση </w:t>
            </w:r>
            <w:r>
              <w:rPr>
                <w:lang w:val="el-GR"/>
              </w:rPr>
              <w:t xml:space="preserve">του </w:t>
            </w:r>
            <w:r w:rsidRPr="008C5014">
              <w:rPr>
                <w:lang w:val="el-GR"/>
              </w:rPr>
              <w:t xml:space="preserve">πολφού </w:t>
            </w:r>
          </w:p>
        </w:tc>
        <w:tc>
          <w:tcPr>
            <w:tcW w:w="4032" w:type="dxa"/>
          </w:tcPr>
          <w:p w:rsidR="00BF01E4" w:rsidRDefault="00BF01E4" w:rsidP="008750C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Αν. Καθ. Ευάγγελος Κοντακιώτης </w:t>
            </w:r>
          </w:p>
        </w:tc>
      </w:tr>
      <w:tr w:rsidR="00BF01E4" w:rsidTr="00775DFD">
        <w:tc>
          <w:tcPr>
            <w:tcW w:w="558" w:type="dxa"/>
          </w:tcPr>
          <w:p w:rsidR="00BF01E4" w:rsidRDefault="00BF01E4" w:rsidP="008750C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12</w:t>
            </w:r>
          </w:p>
        </w:tc>
        <w:tc>
          <w:tcPr>
            <w:tcW w:w="5598" w:type="dxa"/>
          </w:tcPr>
          <w:p w:rsidR="00BF01E4" w:rsidRDefault="00BF01E4" w:rsidP="008750C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Σ</w:t>
            </w:r>
            <w:r w:rsidRPr="008C5014">
              <w:rPr>
                <w:lang w:val="el-GR"/>
              </w:rPr>
              <w:t>υνέπειες των τραυματισμών των νεογιλών δοντιών στα μόνιμα  διάδοχα δόντια</w:t>
            </w:r>
          </w:p>
        </w:tc>
        <w:tc>
          <w:tcPr>
            <w:tcW w:w="4032" w:type="dxa"/>
          </w:tcPr>
          <w:p w:rsidR="00A03C99" w:rsidRDefault="00A03C99" w:rsidP="008750C0">
            <w:pPr>
              <w:jc w:val="both"/>
              <w:rPr>
                <w:lang w:val="el-GR"/>
              </w:rPr>
            </w:pPr>
          </w:p>
          <w:p w:rsidR="00BF01E4" w:rsidRDefault="00BF01E4" w:rsidP="008750C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Λέκτορας  Γ. Βαδιάκας</w:t>
            </w:r>
          </w:p>
        </w:tc>
      </w:tr>
      <w:tr w:rsidR="00BF01E4" w:rsidTr="00775DFD">
        <w:tc>
          <w:tcPr>
            <w:tcW w:w="558" w:type="dxa"/>
          </w:tcPr>
          <w:p w:rsidR="00BF01E4" w:rsidRDefault="00BF01E4" w:rsidP="008750C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13</w:t>
            </w:r>
          </w:p>
        </w:tc>
        <w:tc>
          <w:tcPr>
            <w:tcW w:w="5598" w:type="dxa"/>
          </w:tcPr>
          <w:p w:rsidR="00BF01E4" w:rsidRDefault="00BF01E4" w:rsidP="008750C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Εξετάσεις </w:t>
            </w:r>
          </w:p>
        </w:tc>
        <w:tc>
          <w:tcPr>
            <w:tcW w:w="4032" w:type="dxa"/>
          </w:tcPr>
          <w:p w:rsidR="00BF01E4" w:rsidRDefault="00BF01E4" w:rsidP="008750C0">
            <w:pPr>
              <w:jc w:val="both"/>
              <w:rPr>
                <w:lang w:val="el-GR"/>
              </w:rPr>
            </w:pPr>
          </w:p>
        </w:tc>
      </w:tr>
    </w:tbl>
    <w:p w:rsidR="008750C0" w:rsidRDefault="008750C0" w:rsidP="008750C0">
      <w:pPr>
        <w:jc w:val="both"/>
        <w:rPr>
          <w:lang w:val="el-GR"/>
        </w:rPr>
      </w:pPr>
    </w:p>
    <w:sectPr w:rsidR="008750C0" w:rsidSect="00892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928BE"/>
    <w:multiLevelType w:val="hybridMultilevel"/>
    <w:tmpl w:val="0FDCB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80D10"/>
    <w:multiLevelType w:val="hybridMultilevel"/>
    <w:tmpl w:val="0FDCB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3EE7"/>
    <w:rsid w:val="00133EE7"/>
    <w:rsid w:val="00230CED"/>
    <w:rsid w:val="00437510"/>
    <w:rsid w:val="00682875"/>
    <w:rsid w:val="00775DFD"/>
    <w:rsid w:val="008750C0"/>
    <w:rsid w:val="008923C3"/>
    <w:rsid w:val="008C5014"/>
    <w:rsid w:val="00A0201F"/>
    <w:rsid w:val="00A03C99"/>
    <w:rsid w:val="00A40491"/>
    <w:rsid w:val="00BF01E4"/>
    <w:rsid w:val="00DB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3E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2013-06-07T10:38:00Z</dcterms:created>
  <dcterms:modified xsi:type="dcterms:W3CDTF">2013-06-07T10:38:00Z</dcterms:modified>
</cp:coreProperties>
</file>