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807801" w:rsidTr="00807801">
        <w:tc>
          <w:tcPr>
            <w:tcW w:w="4261" w:type="dxa"/>
          </w:tcPr>
          <w:p w:rsidR="00807801" w:rsidRPr="00807801" w:rsidRDefault="00807801" w:rsidP="00807801">
            <w:pPr>
              <w:spacing w:line="480" w:lineRule="auto"/>
              <w:rPr>
                <w:color w:val="FF0000"/>
              </w:rPr>
            </w:pPr>
            <w:r w:rsidRPr="00807801">
              <w:rPr>
                <w:color w:val="FF0000"/>
              </w:rPr>
              <w:t xml:space="preserve">ΩΡΕΣ </w:t>
            </w:r>
          </w:p>
        </w:tc>
        <w:tc>
          <w:tcPr>
            <w:tcW w:w="4261" w:type="dxa"/>
          </w:tcPr>
          <w:p w:rsidR="00807801" w:rsidRPr="00807801" w:rsidRDefault="00807801" w:rsidP="00807801">
            <w:pPr>
              <w:spacing w:line="480" w:lineRule="auto"/>
              <w:rPr>
                <w:color w:val="FF0000"/>
              </w:rPr>
            </w:pPr>
            <w:r w:rsidRPr="00807801">
              <w:rPr>
                <w:color w:val="FF0000"/>
              </w:rPr>
              <w:t>ΟΜΑΔΕΣ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15.15-15.35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14</w:t>
            </w:r>
            <w:r w:rsidRPr="00807801">
              <w:rPr>
                <w:vertAlign w:val="superscript"/>
              </w:rPr>
              <w:t>ο</w:t>
            </w:r>
            <w:r>
              <w:t xml:space="preserve"> ΝΗΠ. ΑΘΗΝΩΝ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15.35-15.55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124</w:t>
            </w:r>
            <w:r w:rsidRPr="00807801">
              <w:rPr>
                <w:vertAlign w:val="superscript"/>
              </w:rPr>
              <w:t>ο</w:t>
            </w:r>
            <w:r>
              <w:t xml:space="preserve"> ΝΗΠ. ΑΘΗΝΩΝ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15.55-16.15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138</w:t>
            </w:r>
            <w:r w:rsidRPr="00807801">
              <w:rPr>
                <w:vertAlign w:val="superscript"/>
              </w:rPr>
              <w:t>ο</w:t>
            </w:r>
            <w:r>
              <w:t xml:space="preserve"> ΝΗΠ. ΑΘΗΝΩΝ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16.15-16.35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6</w:t>
            </w:r>
            <w:r w:rsidRPr="00807801">
              <w:rPr>
                <w:vertAlign w:val="superscript"/>
              </w:rPr>
              <w:t>ο</w:t>
            </w:r>
            <w:r>
              <w:t xml:space="preserve"> ΓΑΛΑΤΣΙΟΥ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16.45-17.05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</w:t>
            </w:r>
            <w:r w:rsidRPr="00807801">
              <w:rPr>
                <w:vertAlign w:val="superscript"/>
              </w:rPr>
              <w:t>ο</w:t>
            </w:r>
            <w:r>
              <w:t xml:space="preserve"> ΗΛΙΟΥΠΟΛΗΣ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17.05-17.25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3</w:t>
            </w:r>
            <w:r w:rsidRPr="00807801">
              <w:rPr>
                <w:vertAlign w:val="superscript"/>
              </w:rPr>
              <w:t>ο</w:t>
            </w:r>
            <w:r>
              <w:t xml:space="preserve"> ΑΓΙΑΣ ΠΑΡΑΣΚΕΥΗΣ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17.25-17.45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23</w:t>
            </w:r>
            <w:r w:rsidRPr="00807801">
              <w:rPr>
                <w:vertAlign w:val="superscript"/>
              </w:rPr>
              <w:t>ο</w:t>
            </w:r>
            <w:r>
              <w:t xml:space="preserve"> ΝΕΑΣ ΙΩΝΙΑΣ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17.45-18.05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2</w:t>
            </w:r>
            <w:r w:rsidRPr="00807801">
              <w:rPr>
                <w:vertAlign w:val="superscript"/>
              </w:rPr>
              <w:t>ο</w:t>
            </w:r>
            <w:r>
              <w:t xml:space="preserve"> ΝΕΟΥ ΨΥΧΙΚΟΥ</w:t>
            </w:r>
          </w:p>
        </w:tc>
      </w:tr>
      <w:tr w:rsidR="00807801" w:rsidTr="00807801"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18.05-18.25</w:t>
            </w:r>
          </w:p>
        </w:tc>
        <w:tc>
          <w:tcPr>
            <w:tcW w:w="4261" w:type="dxa"/>
          </w:tcPr>
          <w:p w:rsidR="00807801" w:rsidRDefault="00807801" w:rsidP="00807801">
            <w:pPr>
              <w:spacing w:line="480" w:lineRule="auto"/>
            </w:pPr>
            <w:r>
              <w:t>15</w:t>
            </w:r>
            <w:r w:rsidRPr="00807801">
              <w:rPr>
                <w:vertAlign w:val="superscript"/>
              </w:rPr>
              <w:t>ο</w:t>
            </w:r>
            <w:r>
              <w:t xml:space="preserve"> ΚΑΛΛΙΘΕΑΣ</w:t>
            </w:r>
          </w:p>
        </w:tc>
      </w:tr>
    </w:tbl>
    <w:p w:rsidR="00186079" w:rsidRDefault="00186079"/>
    <w:sectPr w:rsidR="00186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07801"/>
    <w:rsid w:val="00186079"/>
    <w:rsid w:val="008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2025-01-20T09:40:00Z</dcterms:created>
  <dcterms:modified xsi:type="dcterms:W3CDTF">2025-01-20T09:40:00Z</dcterms:modified>
</cp:coreProperties>
</file>