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337F4" w14:textId="52CFF8C0" w:rsidR="007B5C0B" w:rsidRPr="00A9523C" w:rsidRDefault="00C15DDF" w:rsidP="00FC39BA">
      <w:pPr>
        <w:spacing w:line="360" w:lineRule="auto"/>
        <w:rPr>
          <w:sz w:val="36"/>
          <w:lang w:val="en-US"/>
        </w:rPr>
      </w:pPr>
      <w:bookmarkStart w:id="0" w:name="_GoBack"/>
      <w:bookmarkEnd w:id="0"/>
      <w:r>
        <w:rPr>
          <w:sz w:val="36"/>
        </w:rPr>
        <w:t xml:space="preserve">Δεύτερη </w:t>
      </w:r>
      <w:r w:rsidR="00F02A85">
        <w:rPr>
          <w:sz w:val="36"/>
        </w:rPr>
        <w:t>Πρόοδος</w:t>
      </w:r>
      <w:r w:rsidR="00FC39BA">
        <w:rPr>
          <w:sz w:val="36"/>
        </w:rPr>
        <w:t xml:space="preserve"> Επαγωγικής</w:t>
      </w:r>
      <w:r w:rsidR="00E55473">
        <w:rPr>
          <w:sz w:val="36"/>
        </w:rPr>
        <w:t xml:space="preserve">, </w:t>
      </w:r>
      <w:r w:rsidR="007B5C0B">
        <w:rPr>
          <w:sz w:val="36"/>
        </w:rPr>
        <w:t>Δεκέμβρ</w:t>
      </w:r>
      <w:r w:rsidR="00E55473">
        <w:rPr>
          <w:sz w:val="36"/>
        </w:rPr>
        <w:t>ιος</w:t>
      </w:r>
      <w:r w:rsidR="00A9523C">
        <w:rPr>
          <w:sz w:val="36"/>
        </w:rPr>
        <w:t xml:space="preserve"> 202</w:t>
      </w:r>
      <w:r w:rsidR="00A9523C">
        <w:rPr>
          <w:sz w:val="36"/>
          <w:lang w:val="en-US"/>
        </w:rPr>
        <w:t>4</w:t>
      </w:r>
    </w:p>
    <w:p w14:paraId="1F8BFF50" w14:textId="77777777" w:rsidR="00BC566A" w:rsidRPr="0067008C" w:rsidRDefault="00863D26" w:rsidP="00863D26">
      <w:pPr>
        <w:spacing w:after="0" w:line="240" w:lineRule="auto"/>
        <w:rPr>
          <w:sz w:val="18"/>
          <w:szCs w:val="18"/>
        </w:rPr>
      </w:pPr>
      <w:r w:rsidRPr="0067008C">
        <w:rPr>
          <w:sz w:val="18"/>
          <w:szCs w:val="18"/>
        </w:rPr>
        <w:t>Πρέπει να απαντήσετε σ’ όλα τα θέματα. Τα αρχεία δεδομένα που απαιτούνται σε κάποιες περιπτώσεις βρίσκονται στον “</w:t>
      </w:r>
      <w:r w:rsidRPr="0067008C">
        <w:rPr>
          <w:sz w:val="18"/>
          <w:szCs w:val="18"/>
          <w:lang w:val="en-US"/>
        </w:rPr>
        <w:t>guide</w:t>
      </w:r>
      <w:r w:rsidRPr="0067008C">
        <w:rPr>
          <w:sz w:val="18"/>
          <w:szCs w:val="18"/>
        </w:rPr>
        <w:t xml:space="preserve"> </w:t>
      </w:r>
      <w:r w:rsidRPr="0067008C">
        <w:rPr>
          <w:sz w:val="18"/>
          <w:szCs w:val="18"/>
          <w:lang w:val="en-US"/>
        </w:rPr>
        <w:t>to</w:t>
      </w:r>
      <w:r w:rsidRPr="0067008C">
        <w:rPr>
          <w:sz w:val="18"/>
          <w:szCs w:val="18"/>
        </w:rPr>
        <w:t xml:space="preserve"> </w:t>
      </w:r>
      <w:r w:rsidRPr="0067008C">
        <w:rPr>
          <w:sz w:val="18"/>
          <w:szCs w:val="18"/>
          <w:lang w:val="en-US"/>
        </w:rPr>
        <w:t>data</w:t>
      </w:r>
      <w:r w:rsidRPr="0067008C">
        <w:rPr>
          <w:sz w:val="18"/>
          <w:szCs w:val="18"/>
        </w:rPr>
        <w:t xml:space="preserve"> </w:t>
      </w:r>
      <w:r w:rsidRPr="0067008C">
        <w:rPr>
          <w:sz w:val="18"/>
          <w:szCs w:val="18"/>
          <w:lang w:val="en-US"/>
        </w:rPr>
        <w:t>analysis</w:t>
      </w:r>
      <w:r w:rsidRPr="0067008C">
        <w:rPr>
          <w:sz w:val="18"/>
          <w:szCs w:val="18"/>
        </w:rPr>
        <w:t xml:space="preserve">” που αν δεν τον έχετε ήδη θα τον βρείτε συμπιεσμένο  στον φάκελο «Έγγραφα\Δεδομένα» της </w:t>
      </w:r>
      <w:r w:rsidRPr="0067008C">
        <w:rPr>
          <w:sz w:val="18"/>
          <w:szCs w:val="18"/>
          <w:lang w:val="en-US"/>
        </w:rPr>
        <w:t>e</w:t>
      </w:r>
      <w:r w:rsidRPr="0067008C">
        <w:rPr>
          <w:sz w:val="18"/>
          <w:szCs w:val="18"/>
        </w:rPr>
        <w:t>-</w:t>
      </w:r>
      <w:r w:rsidRPr="0067008C">
        <w:rPr>
          <w:sz w:val="18"/>
          <w:szCs w:val="18"/>
          <w:lang w:val="en-US"/>
        </w:rPr>
        <w:t>class</w:t>
      </w:r>
      <w:r w:rsidRPr="0067008C">
        <w:rPr>
          <w:sz w:val="18"/>
          <w:szCs w:val="18"/>
        </w:rPr>
        <w:t>.</w:t>
      </w:r>
      <w:r w:rsidR="00BC566A" w:rsidRPr="0067008C">
        <w:rPr>
          <w:sz w:val="18"/>
          <w:szCs w:val="18"/>
        </w:rPr>
        <w:t xml:space="preserve"> </w:t>
      </w:r>
    </w:p>
    <w:p w14:paraId="6798E751" w14:textId="76B108AA" w:rsidR="00863D26" w:rsidRDefault="00BC566A" w:rsidP="00863D26">
      <w:pPr>
        <w:spacing w:after="0" w:line="240" w:lineRule="auto"/>
        <w:rPr>
          <w:sz w:val="18"/>
          <w:szCs w:val="18"/>
        </w:rPr>
      </w:pPr>
      <w:r w:rsidRPr="0067008C">
        <w:rPr>
          <w:sz w:val="18"/>
          <w:szCs w:val="18"/>
        </w:rPr>
        <w:t xml:space="preserve">Η απαντήσεις σας θα καταχωρηθούν σε ένα αρχείο </w:t>
      </w:r>
      <w:r w:rsidRPr="0067008C">
        <w:rPr>
          <w:sz w:val="18"/>
          <w:szCs w:val="18"/>
          <w:lang w:val="en-US"/>
        </w:rPr>
        <w:t>Word</w:t>
      </w:r>
      <w:r w:rsidRPr="0067008C">
        <w:rPr>
          <w:sz w:val="18"/>
          <w:szCs w:val="18"/>
        </w:rPr>
        <w:t xml:space="preserve">. </w:t>
      </w:r>
      <w:r w:rsidR="00C270DE">
        <w:rPr>
          <w:sz w:val="18"/>
          <w:szCs w:val="18"/>
        </w:rPr>
        <w:t>Τα</w:t>
      </w:r>
      <w:r w:rsidRPr="0067008C">
        <w:rPr>
          <w:sz w:val="18"/>
          <w:szCs w:val="18"/>
        </w:rPr>
        <w:t xml:space="preserve"> θέματα που απαιτούν τεκμηρίωση με πίνακες αποτελεσμάτων του </w:t>
      </w:r>
      <w:r w:rsidRPr="0067008C">
        <w:rPr>
          <w:sz w:val="18"/>
          <w:szCs w:val="18"/>
          <w:lang w:val="en-US"/>
        </w:rPr>
        <w:t>SPSS</w:t>
      </w:r>
      <w:r w:rsidR="00C270DE">
        <w:rPr>
          <w:sz w:val="18"/>
          <w:szCs w:val="18"/>
        </w:rPr>
        <w:t>,</w:t>
      </w:r>
      <w:r w:rsidRPr="0067008C">
        <w:rPr>
          <w:sz w:val="18"/>
          <w:szCs w:val="18"/>
        </w:rPr>
        <w:t xml:space="preserve"> θα συνοδεύονται από αυτούς τους πίνακες (</w:t>
      </w:r>
      <w:r w:rsidR="00C270DE">
        <w:rPr>
          <w:sz w:val="18"/>
          <w:szCs w:val="18"/>
        </w:rPr>
        <w:t xml:space="preserve">προτίμηση: </w:t>
      </w:r>
      <w:r w:rsidRPr="0067008C">
        <w:rPr>
          <w:sz w:val="18"/>
          <w:szCs w:val="18"/>
        </w:rPr>
        <w:t>με “</w:t>
      </w:r>
      <w:r w:rsidRPr="0067008C">
        <w:rPr>
          <w:sz w:val="18"/>
          <w:szCs w:val="18"/>
          <w:lang w:val="en-US"/>
        </w:rPr>
        <w:t>copy</w:t>
      </w:r>
      <w:r w:rsidRPr="0067008C">
        <w:rPr>
          <w:sz w:val="18"/>
          <w:szCs w:val="18"/>
        </w:rPr>
        <w:t xml:space="preserve"> </w:t>
      </w:r>
      <w:r w:rsidRPr="0067008C">
        <w:rPr>
          <w:sz w:val="18"/>
          <w:szCs w:val="18"/>
          <w:lang w:val="en-US"/>
        </w:rPr>
        <w:t>special</w:t>
      </w:r>
      <w:r w:rsidRPr="0067008C">
        <w:rPr>
          <w:sz w:val="18"/>
          <w:szCs w:val="18"/>
        </w:rPr>
        <w:t>” και επιλογή “</w:t>
      </w:r>
      <w:r w:rsidRPr="0067008C">
        <w:rPr>
          <w:sz w:val="18"/>
          <w:szCs w:val="18"/>
          <w:lang w:val="en-US"/>
        </w:rPr>
        <w:t>image</w:t>
      </w:r>
      <w:r w:rsidRPr="0067008C">
        <w:rPr>
          <w:sz w:val="18"/>
          <w:szCs w:val="18"/>
        </w:rPr>
        <w:t>”</w:t>
      </w:r>
      <w:r w:rsidR="0067008C" w:rsidRPr="0067008C">
        <w:rPr>
          <w:sz w:val="18"/>
          <w:szCs w:val="18"/>
        </w:rPr>
        <w:t xml:space="preserve">  και  στη συνέχεια </w:t>
      </w:r>
      <w:r w:rsidR="00A80A77">
        <w:rPr>
          <w:sz w:val="18"/>
          <w:szCs w:val="18"/>
        </w:rPr>
        <w:t xml:space="preserve">ειδική </w:t>
      </w:r>
      <w:r w:rsidR="0067008C" w:rsidRPr="0067008C">
        <w:rPr>
          <w:sz w:val="18"/>
          <w:szCs w:val="18"/>
        </w:rPr>
        <w:t>επικόλληση</w:t>
      </w:r>
      <w:r w:rsidR="0067008C">
        <w:rPr>
          <w:sz w:val="18"/>
          <w:szCs w:val="18"/>
        </w:rPr>
        <w:t xml:space="preserve"> </w:t>
      </w:r>
      <w:r w:rsidR="00A80A77">
        <w:rPr>
          <w:sz w:val="18"/>
          <w:szCs w:val="18"/>
        </w:rPr>
        <w:t xml:space="preserve">ως </w:t>
      </w:r>
      <w:r w:rsidR="0067008C" w:rsidRPr="0067008C">
        <w:rPr>
          <w:sz w:val="18"/>
          <w:szCs w:val="18"/>
        </w:rPr>
        <w:t>εικόνα</w:t>
      </w:r>
      <w:r w:rsidR="00A80A77">
        <w:rPr>
          <w:sz w:val="18"/>
          <w:szCs w:val="18"/>
        </w:rPr>
        <w:t xml:space="preserve"> </w:t>
      </w:r>
      <w:r w:rsidR="0067008C" w:rsidRPr="0067008C">
        <w:rPr>
          <w:sz w:val="18"/>
          <w:szCs w:val="18"/>
        </w:rPr>
        <w:t xml:space="preserve"> στον </w:t>
      </w:r>
      <w:r w:rsidR="0067008C" w:rsidRPr="0067008C">
        <w:rPr>
          <w:sz w:val="18"/>
          <w:szCs w:val="18"/>
          <w:lang w:val="en-US"/>
        </w:rPr>
        <w:t>word</w:t>
      </w:r>
      <w:r w:rsidR="0067008C" w:rsidRPr="0067008C">
        <w:rPr>
          <w:sz w:val="18"/>
          <w:szCs w:val="18"/>
        </w:rPr>
        <w:t>)</w:t>
      </w:r>
      <w:r w:rsidR="00C270DE">
        <w:rPr>
          <w:sz w:val="18"/>
          <w:szCs w:val="18"/>
        </w:rPr>
        <w:t xml:space="preserve">. </w:t>
      </w:r>
      <w:r w:rsidR="0067008C" w:rsidRPr="0067008C">
        <w:rPr>
          <w:sz w:val="18"/>
          <w:szCs w:val="18"/>
        </w:rPr>
        <w:t xml:space="preserve"> </w:t>
      </w:r>
      <w:r w:rsidR="00C270DE">
        <w:rPr>
          <w:sz w:val="18"/>
          <w:szCs w:val="18"/>
        </w:rPr>
        <w:t xml:space="preserve">Το αρχείο </w:t>
      </w:r>
      <w:r w:rsidR="00C270DE">
        <w:rPr>
          <w:sz w:val="18"/>
          <w:szCs w:val="18"/>
          <w:lang w:val="en-US"/>
        </w:rPr>
        <w:t>wo</w:t>
      </w:r>
      <w:proofErr w:type="spellStart"/>
      <w:r w:rsidR="00C270DE">
        <w:rPr>
          <w:sz w:val="18"/>
          <w:szCs w:val="18"/>
        </w:rPr>
        <w:t>rd</w:t>
      </w:r>
      <w:proofErr w:type="spellEnd"/>
      <w:r w:rsidR="00C270DE">
        <w:rPr>
          <w:sz w:val="18"/>
          <w:szCs w:val="18"/>
        </w:rPr>
        <w:t xml:space="preserve"> θα</w:t>
      </w:r>
      <w:r w:rsidRPr="0067008C">
        <w:rPr>
          <w:sz w:val="18"/>
          <w:szCs w:val="18"/>
        </w:rPr>
        <w:t xml:space="preserve">  αναρτηθεί στην εργασία με τίτλο </w:t>
      </w:r>
      <w:hyperlink r:id="rId6" w:history="1">
        <w:r w:rsidRPr="0067008C">
          <w:rPr>
            <w:rStyle w:val="-"/>
            <w:sz w:val="18"/>
            <w:szCs w:val="18"/>
          </w:rPr>
          <w:t>Δεύτερη πρόοδος Επαγωγικής Στατιστικής</w:t>
        </w:r>
      </w:hyperlink>
      <w:r w:rsidRPr="0067008C">
        <w:rPr>
          <w:sz w:val="18"/>
          <w:szCs w:val="18"/>
        </w:rPr>
        <w:t xml:space="preserve"> στη θέση «εργασίες» της </w:t>
      </w:r>
      <w:r w:rsidRPr="0067008C">
        <w:rPr>
          <w:sz w:val="18"/>
          <w:szCs w:val="18"/>
          <w:lang w:val="en-US"/>
        </w:rPr>
        <w:t>e</w:t>
      </w:r>
      <w:r w:rsidRPr="0067008C">
        <w:rPr>
          <w:sz w:val="18"/>
          <w:szCs w:val="18"/>
        </w:rPr>
        <w:t>-</w:t>
      </w:r>
      <w:r w:rsidRPr="0067008C">
        <w:rPr>
          <w:sz w:val="18"/>
          <w:szCs w:val="18"/>
          <w:lang w:val="en-US"/>
        </w:rPr>
        <w:t>class</w:t>
      </w:r>
      <w:r w:rsidRPr="0067008C">
        <w:rPr>
          <w:sz w:val="18"/>
          <w:szCs w:val="18"/>
        </w:rPr>
        <w:t xml:space="preserve">. </w:t>
      </w:r>
    </w:p>
    <w:p w14:paraId="00A64A70" w14:textId="6EDB5147" w:rsidR="001E2C4B" w:rsidRPr="0067008C" w:rsidRDefault="001E2C4B" w:rsidP="00863D26">
      <w:pPr>
        <w:spacing w:after="0" w:line="240" w:lineRule="auto"/>
        <w:rPr>
          <w:sz w:val="18"/>
          <w:szCs w:val="18"/>
        </w:rPr>
      </w:pPr>
    </w:p>
    <w:p w14:paraId="392695FD" w14:textId="77777777" w:rsidR="00863D26" w:rsidRPr="00863D26" w:rsidRDefault="00863D26" w:rsidP="00863D26">
      <w:pPr>
        <w:spacing w:after="0" w:line="240" w:lineRule="auto"/>
        <w:rPr>
          <w:sz w:val="24"/>
        </w:rPr>
      </w:pPr>
    </w:p>
    <w:p w14:paraId="731BC147" w14:textId="77777777" w:rsidR="00766DDB" w:rsidRPr="001E2C4B" w:rsidRDefault="00766DDB" w:rsidP="00A27AC7">
      <w:pPr>
        <w:spacing w:line="360" w:lineRule="auto"/>
        <w:rPr>
          <w:sz w:val="32"/>
        </w:rPr>
      </w:pPr>
      <w:r w:rsidRPr="001E2C4B">
        <w:rPr>
          <w:sz w:val="32"/>
        </w:rPr>
        <w:t>Θέματα</w:t>
      </w:r>
    </w:p>
    <w:p w14:paraId="0AD2A5CD" w14:textId="3BB7BEC8" w:rsidR="004626E2" w:rsidRDefault="00856AF1" w:rsidP="004626E2">
      <w:pPr>
        <w:pStyle w:val="a3"/>
        <w:numPr>
          <w:ilvl w:val="0"/>
          <w:numId w:val="7"/>
        </w:num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jc w:val="both"/>
      </w:pPr>
      <w:r>
        <w:t xml:space="preserve"> </w:t>
      </w:r>
      <w:r w:rsidR="004626E2">
        <w:t xml:space="preserve">(1 </w:t>
      </w:r>
      <w:proofErr w:type="spellStart"/>
      <w:r w:rsidR="004626E2">
        <w:t>μον</w:t>
      </w:r>
      <w:proofErr w:type="spellEnd"/>
      <w:r w:rsidR="00E55473">
        <w:t>.</w:t>
      </w:r>
      <w:r w:rsidR="004626E2" w:rsidRPr="009313E8">
        <w:t>)</w:t>
      </w:r>
      <w:r w:rsidR="004626E2">
        <w:t xml:space="preserve"> Ποια από τα παρακάτω ισχύουν </w:t>
      </w:r>
      <w:r w:rsidR="004626E2" w:rsidRPr="000B663D">
        <w:t>στον έλεγχο της μηδενικής υπόθεσης αναφορικά με τις μέσες τιμές δυο πληθυσμών;</w:t>
      </w:r>
      <w:r w:rsidR="004626E2">
        <w:t xml:space="preserve"> </w:t>
      </w:r>
    </w:p>
    <w:p w14:paraId="4E2F5741" w14:textId="77777777" w:rsidR="004626E2" w:rsidRPr="000B663D" w:rsidRDefault="004626E2" w:rsidP="004626E2">
      <w:pPr>
        <w:pStyle w:val="a3"/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r w:rsidRPr="000B663D">
        <w:t xml:space="preserve">α. </w:t>
      </w:r>
      <w:r>
        <w:t>Η</w:t>
      </w:r>
      <w:r w:rsidRPr="000B663D">
        <w:t xml:space="preserve"> μηδενική υπόθεση στον μονόπλευρο έλεγχο δεν περιλαμβάνει πάντα την ισότητα</w:t>
      </w:r>
      <w:r>
        <w:t xml:space="preserve"> </w:t>
      </w:r>
      <w:r w:rsidRPr="009313E8">
        <w:t>“=”</w:t>
      </w:r>
    </w:p>
    <w:p w14:paraId="093331C8" w14:textId="77777777" w:rsidR="004626E2" w:rsidRPr="000B663D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r>
        <w:t xml:space="preserve">β. </w:t>
      </w:r>
      <w:r>
        <w:rPr>
          <w:lang w:val="en-US"/>
        </w:rPr>
        <w:t>H</w:t>
      </w:r>
      <w:r w:rsidRPr="000B663D">
        <w:t xml:space="preserve"> μηδενική υπόθεση στον έλεγχο με ανεξάρτητα δείγματα ισοδυναμεί με την ισότητα των διακυμάνσεων των δυο πληθυσμών</w:t>
      </w:r>
    </w:p>
    <w:p w14:paraId="0C097EFB" w14:textId="77777777" w:rsidR="004626E2" w:rsidRPr="000B663D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r w:rsidRPr="000B663D">
        <w:t xml:space="preserve">γ. </w:t>
      </w:r>
      <w:r>
        <w:t xml:space="preserve">Στον μονόπλευρο έλεγχο η πιθανότητα </w:t>
      </w:r>
      <w:r>
        <w:rPr>
          <w:lang w:val="en-US"/>
        </w:rPr>
        <w:t>p</w:t>
      </w:r>
      <w:r>
        <w:t xml:space="preserve"> λανθασμένης απόρριψης της </w:t>
      </w:r>
      <w:proofErr w:type="spellStart"/>
      <w:r>
        <w:t>Ηο</w:t>
      </w:r>
      <w:proofErr w:type="spellEnd"/>
      <w:r>
        <w:t>,</w:t>
      </w:r>
      <w:r w:rsidRPr="001B2326">
        <w:t xml:space="preserve"> </w:t>
      </w:r>
      <w:r>
        <w:t xml:space="preserve">η οποία συγκρίνεται με το 0,05, είναι το μισό της τιμής </w:t>
      </w:r>
      <w:r w:rsidRPr="001B2326">
        <w:t>“</w:t>
      </w:r>
      <w:r>
        <w:rPr>
          <w:lang w:val="en-US"/>
        </w:rPr>
        <w:t>sign</w:t>
      </w:r>
      <w:r w:rsidRPr="001B2326">
        <w:t>”</w:t>
      </w:r>
      <w:r w:rsidRPr="00E64BA1">
        <w:t xml:space="preserve"> </w:t>
      </w:r>
      <w:r>
        <w:t xml:space="preserve">που δίνεται από το </w:t>
      </w:r>
      <w:r>
        <w:rPr>
          <w:lang w:val="en-US"/>
        </w:rPr>
        <w:t>SPSS</w:t>
      </w:r>
      <w:r w:rsidRPr="00E64BA1">
        <w:t xml:space="preserve"> </w:t>
      </w:r>
      <w:r>
        <w:t xml:space="preserve"> </w:t>
      </w:r>
    </w:p>
    <w:p w14:paraId="635914EF" w14:textId="77777777" w:rsidR="004626E2" w:rsidRPr="000B663D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r>
        <w:t>δ. Η</w:t>
      </w:r>
      <w:r w:rsidRPr="000B663D">
        <w:t xml:space="preserve"> μηδενική υπόθεση στον έλεγχο σχετιζόμενων δειγμάτων μπορεί να είναι μ1-μ2=5</w:t>
      </w:r>
    </w:p>
    <w:p w14:paraId="6B85060A" w14:textId="77777777" w:rsidR="004626E2" w:rsidRPr="000B663D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r w:rsidRPr="000B663D">
        <w:t>ε. Όταν απορρίπτουμε την μηδενική υπόθεση, η πιθανότητα να είναι αληθής είναι πάντα 0.</w:t>
      </w:r>
    </w:p>
    <w:p w14:paraId="69459914" w14:textId="77777777" w:rsidR="004626E2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proofErr w:type="spellStart"/>
      <w:r>
        <w:t>Στ</w:t>
      </w:r>
      <w:proofErr w:type="spellEnd"/>
      <w:r>
        <w:t>. Ό</w:t>
      </w:r>
      <w:r w:rsidRPr="000B663D">
        <w:t>ταν μια υπόθεση απορρίπτεται σε επίπεδο α=0,001 τότε απορρίπτεται και σε επίπεδο α=0,05</w:t>
      </w:r>
    </w:p>
    <w:p w14:paraId="2E0E8063" w14:textId="7C6BED50" w:rsidR="004626E2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  <w:r>
        <w:t>ζ. Αν δεν απορριφθεί η μηδενική υπόθεση ο ερευνητής δεν μπορεί να ελπίζει στην απόρριψή της εκτελώντας την ανάλυση με</w:t>
      </w:r>
      <w:r w:rsidR="003926DB">
        <w:t xml:space="preserve"> μεγαλύτερο μέγεθος δειγμάτων.</w:t>
      </w:r>
    </w:p>
    <w:p w14:paraId="537C13A4" w14:textId="77777777" w:rsidR="003926DB" w:rsidRDefault="003926DB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</w:p>
    <w:p w14:paraId="7D6033EC" w14:textId="54C15055" w:rsidR="004626E2" w:rsidRPr="00941218" w:rsidRDefault="008C2C11" w:rsidP="00ED304B">
      <w:pPr>
        <w:pStyle w:val="a3"/>
        <w:numPr>
          <w:ilvl w:val="0"/>
          <w:numId w:val="7"/>
        </w:numPr>
      </w:pPr>
      <w:r w:rsidRPr="008C2C11">
        <w:t xml:space="preserve">(0,5 </w:t>
      </w:r>
      <w:proofErr w:type="spellStart"/>
      <w:r>
        <w:t>μον</w:t>
      </w:r>
      <w:proofErr w:type="spellEnd"/>
      <w:r w:rsidR="00E55473">
        <w:t>.</w:t>
      </w:r>
      <w:r>
        <w:t>)</w:t>
      </w:r>
      <w:r w:rsidR="001E2C4B">
        <w:t xml:space="preserve"> </w:t>
      </w:r>
      <w:r w:rsidR="00ED304B" w:rsidRPr="00ED304B">
        <w:t>Ένα δείγμα 50 εθελοντών μαθητών χωρίζεται με τυχαίο τρόπο σε δύο ομάδες των 25 μαθητών. Και οι δύο ομάδες συμπληρώνουν ερωτηματολόγιο που αξιολογεί με μια ποσοτική κλίμακα (0-100) τη στάση τους απέναντι σε ανάπηρους μαθητές. Η πρώτη ομάδα Α ακολουθεί ένα πρόγραμμα 2 εβδομάδων με στόχο της βελτίωση της στάσεων απέναντι σε αναπήρους ενώ η ομάδα Β δεν ακολουθεί κανένα πρόγραμμα. Και οι δύο ομάδες συμπληρώνουν ξανά το ίδιο ερωτηματολόγιο και αξιολογο</w:t>
      </w:r>
      <w:r w:rsidR="00ED304B">
        <w:t>ύνται με την ίδια κλίμακα</w:t>
      </w:r>
      <w:r w:rsidR="002F1889">
        <w:t xml:space="preserve"> 1 εβδομάδα μετά το τέλος του προγράμματος. </w:t>
      </w:r>
      <w:r w:rsidR="00ED304B">
        <w:t xml:space="preserve"> Ποιον</w:t>
      </w:r>
      <w:r w:rsidR="002F1889">
        <w:t xml:space="preserve"> έλεγχο</w:t>
      </w:r>
      <w:r w:rsidR="00ED304B">
        <w:t xml:space="preserve"> θα επιλέγατε</w:t>
      </w:r>
      <w:r w:rsidR="00ED304B" w:rsidRPr="00ED304B">
        <w:t xml:space="preserve"> για την αξιολόγηση της αποτελεσματικότητας του προγράμματος χρησιμοποιώντας την μεταβλητή της μεταβολής των στάσεων των 50 μαθητών;</w:t>
      </w:r>
      <w:r w:rsidR="004626E2" w:rsidRPr="00941218">
        <w:t xml:space="preserve"> </w:t>
      </w:r>
    </w:p>
    <w:p w14:paraId="6EB4DC64" w14:textId="77777777" w:rsidR="004626E2" w:rsidRDefault="004626E2" w:rsidP="00854B7C">
      <w:pPr>
        <w:pStyle w:val="a3"/>
        <w:numPr>
          <w:ilvl w:val="2"/>
          <w:numId w:val="7"/>
        </w:numPr>
      </w:pPr>
      <w:r>
        <w:t xml:space="preserve">Τον έλεγχο t του </w:t>
      </w:r>
      <w:proofErr w:type="spellStart"/>
      <w:r>
        <w:t>Student</w:t>
      </w:r>
      <w:proofErr w:type="spellEnd"/>
      <w:r>
        <w:t xml:space="preserve"> κατά ζεύγη τιμών      </w:t>
      </w:r>
    </w:p>
    <w:p w14:paraId="2B77EBAE" w14:textId="77777777" w:rsidR="004626E2" w:rsidRDefault="004626E2" w:rsidP="00854B7C">
      <w:pPr>
        <w:pStyle w:val="a3"/>
        <w:numPr>
          <w:ilvl w:val="2"/>
          <w:numId w:val="7"/>
        </w:numPr>
      </w:pPr>
      <w:r>
        <w:t>Τον έλεγχο Χ</w:t>
      </w:r>
      <w:r w:rsidRPr="004626E2">
        <w:rPr>
          <w:vertAlign w:val="superscript"/>
        </w:rPr>
        <w:t xml:space="preserve">2 </w:t>
      </w:r>
      <w:r>
        <w:t xml:space="preserve"> ανεξαρτησίας   </w:t>
      </w:r>
    </w:p>
    <w:p w14:paraId="329935B9" w14:textId="77777777" w:rsidR="004626E2" w:rsidRDefault="004626E2" w:rsidP="00854B7C">
      <w:pPr>
        <w:pStyle w:val="a3"/>
        <w:numPr>
          <w:ilvl w:val="2"/>
          <w:numId w:val="7"/>
        </w:numPr>
      </w:pPr>
      <w:r>
        <w:t xml:space="preserve">Τον συντελεστή  συσχέτισης </w:t>
      </w:r>
      <w:r w:rsidRPr="004626E2">
        <w:rPr>
          <w:lang w:val="en-US"/>
        </w:rPr>
        <w:t>r</w:t>
      </w:r>
      <w:r>
        <w:t xml:space="preserve">      </w:t>
      </w:r>
    </w:p>
    <w:p w14:paraId="3AAEC6EF" w14:textId="77777777" w:rsidR="004626E2" w:rsidRDefault="004626E2" w:rsidP="00854B7C">
      <w:pPr>
        <w:pStyle w:val="a3"/>
        <w:numPr>
          <w:ilvl w:val="2"/>
          <w:numId w:val="7"/>
        </w:numPr>
      </w:pPr>
      <w:r>
        <w:t>Τον έλεγχο  Χ</w:t>
      </w:r>
      <w:r w:rsidRPr="004626E2">
        <w:rPr>
          <w:vertAlign w:val="superscript"/>
        </w:rPr>
        <w:t xml:space="preserve">2 </w:t>
      </w:r>
      <w:r>
        <w:t xml:space="preserve"> καλής προσαρμογής   </w:t>
      </w:r>
    </w:p>
    <w:p w14:paraId="5E1298A9" w14:textId="77777777" w:rsidR="004626E2" w:rsidRDefault="004626E2" w:rsidP="00854B7C">
      <w:pPr>
        <w:pStyle w:val="a3"/>
        <w:numPr>
          <w:ilvl w:val="2"/>
          <w:numId w:val="7"/>
        </w:num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jc w:val="both"/>
      </w:pPr>
      <w:r>
        <w:t xml:space="preserve">Τον έλεγχο t του </w:t>
      </w:r>
      <w:proofErr w:type="spellStart"/>
      <w:r>
        <w:t>Student</w:t>
      </w:r>
      <w:proofErr w:type="spellEnd"/>
      <w:r>
        <w:t xml:space="preserve"> ανεξαρτήτων δειγμάτων</w:t>
      </w:r>
      <w:r w:rsidRPr="00A54851">
        <w:t xml:space="preserve">  </w:t>
      </w:r>
      <w:r>
        <w:t xml:space="preserve">  </w:t>
      </w:r>
    </w:p>
    <w:p w14:paraId="0A77836F" w14:textId="5A0A64E6" w:rsidR="004626E2" w:rsidRDefault="004626E2" w:rsidP="00854B7C">
      <w:pPr>
        <w:pStyle w:val="a3"/>
        <w:numPr>
          <w:ilvl w:val="2"/>
          <w:numId w:val="7"/>
        </w:num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jc w:val="both"/>
      </w:pPr>
      <w:r>
        <w:t xml:space="preserve">Τον συντελεστή μεταβλητότητας    </w:t>
      </w:r>
    </w:p>
    <w:p w14:paraId="5BCDC217" w14:textId="77777777" w:rsidR="003926DB" w:rsidRDefault="003926DB" w:rsidP="003926DB">
      <w:pPr>
        <w:pStyle w:val="a3"/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800"/>
        <w:jc w:val="both"/>
      </w:pPr>
    </w:p>
    <w:p w14:paraId="4BD9933E" w14:textId="1733A7B2" w:rsidR="00F61F3F" w:rsidRPr="003926DB" w:rsidRDefault="008C2C11" w:rsidP="00F61F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(0,5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μον</w:t>
      </w:r>
      <w:proofErr w:type="spellEnd"/>
      <w:r w:rsidR="00E55473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071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1F3F" w:rsidRPr="003926DB">
        <w:rPr>
          <w:rFonts w:ascii="Times New Roman" w:hAnsi="Times New Roman"/>
          <w:color w:val="000000" w:themeColor="text1"/>
          <w:sz w:val="24"/>
          <w:szCs w:val="24"/>
        </w:rPr>
        <w:t>Οι επιδόσεις στα μαθηματικά ενός τυχαίου δείγματος μαθητών γυμνασίου μετρήθηκαν με ένα τεστ δύο φορές με χρονική διαφορά τριών μηνών και βρέθηκε ο συντελεστής συσχέτισης r ανάμεσα στις δύο επιδόσεις (Επίδοση_1 και Επίδοση_2). Ποια από τις παρακάτω προτά</w:t>
      </w:r>
      <w:r w:rsidR="001E2C4B">
        <w:rPr>
          <w:rFonts w:ascii="Times New Roman" w:hAnsi="Times New Roman"/>
          <w:color w:val="000000" w:themeColor="text1"/>
          <w:sz w:val="24"/>
          <w:szCs w:val="24"/>
        </w:rPr>
        <w:t>σεις είναι λανθασμένη</w:t>
      </w:r>
      <w:r w:rsidR="00F61F3F" w:rsidRPr="003926D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F2878A" w14:textId="77777777" w:rsidR="00F61F3F" w:rsidRPr="00531477" w:rsidRDefault="00F61F3F" w:rsidP="00F61F3F">
      <w:pPr>
        <w:pStyle w:val="a3"/>
        <w:numPr>
          <w:ilvl w:val="1"/>
          <w:numId w:val="7"/>
        </w:numPr>
        <w:spacing w:after="0" w:line="240" w:lineRule="auto"/>
        <w:rPr>
          <w:rStyle w:val="docssharedwiztogglelabeledlabeltext"/>
        </w:rPr>
      </w:pPr>
      <w:r w:rsidRPr="00531477">
        <w:rPr>
          <w:rStyle w:val="docssharedwiztogglelabeledlabeltext"/>
        </w:rPr>
        <w:t>Αν ο συντελεστής r έχει θετική τιμή αυτό σημαίνει ότι οι μαθητές με τους μικρότερους βαθμούς στην πρώτη μέτρηση είναι εκείνοι με τους μικρότερους βαθμούς και στη δεύτερη μέτρηση</w:t>
      </w:r>
    </w:p>
    <w:p w14:paraId="1746A70E" w14:textId="77777777" w:rsidR="00F61F3F" w:rsidRPr="00531477" w:rsidRDefault="00F61F3F" w:rsidP="00F61F3F">
      <w:pPr>
        <w:pStyle w:val="a3"/>
        <w:numPr>
          <w:ilvl w:val="1"/>
          <w:numId w:val="7"/>
        </w:numPr>
        <w:spacing w:after="0" w:line="240" w:lineRule="auto"/>
        <w:rPr>
          <w:rStyle w:val="docssharedwiztogglelabeledlabeltext"/>
        </w:rPr>
      </w:pPr>
      <w:r w:rsidRPr="00531477">
        <w:rPr>
          <w:rStyle w:val="docssharedwiztogglelabeledlabeltext"/>
        </w:rPr>
        <w:t>Αν ο συντελεστής r έχει θετική τιμή αυτό σημαίνει ότι ο μέσος μαθητής του δείγματος βελτίωσε την επίδοσή του κατά τη δεύτερη μέτρηση</w:t>
      </w:r>
    </w:p>
    <w:p w14:paraId="0C83898C" w14:textId="77777777" w:rsidR="00F61F3F" w:rsidRPr="00531477" w:rsidRDefault="00F61F3F" w:rsidP="00F61F3F">
      <w:pPr>
        <w:pStyle w:val="a3"/>
        <w:numPr>
          <w:ilvl w:val="1"/>
          <w:numId w:val="7"/>
        </w:numPr>
        <w:spacing w:after="0" w:line="240" w:lineRule="auto"/>
        <w:rPr>
          <w:rStyle w:val="docssharedwiztogglelabeledlabeltext"/>
        </w:rPr>
      </w:pPr>
      <w:r w:rsidRPr="00531477">
        <w:rPr>
          <w:rStyle w:val="docssharedwiztogglelabeledlabeltext"/>
        </w:rPr>
        <w:t>Υπάρχει σχεδόν βεβαιότητα ότι ο συντελεστής r έχει θετική τιμή</w:t>
      </w:r>
    </w:p>
    <w:p w14:paraId="2D4081F3" w14:textId="77777777" w:rsidR="00F61F3F" w:rsidRPr="00D85581" w:rsidRDefault="00F61F3F" w:rsidP="00F61F3F">
      <w:pPr>
        <w:pStyle w:val="a3"/>
        <w:numPr>
          <w:ilvl w:val="1"/>
          <w:numId w:val="7"/>
        </w:numPr>
        <w:spacing w:after="0" w:line="240" w:lineRule="auto"/>
        <w:rPr>
          <w:rStyle w:val="docssharedwiztogglelabeledlabeltext"/>
        </w:rPr>
      </w:pPr>
      <w:r w:rsidRPr="00531477">
        <w:rPr>
          <w:rStyle w:val="docssharedwiztogglelabeledlabeltext"/>
        </w:rPr>
        <w:t>Αν ο συντελεστής r έχει αρνητική τιμή αυτό σημαίνει ότι οι μαθητές με τους μεγαλύτερους βαθμούς στην πρώτη μέτρηση είναι εκείνοι με τους μικρότερους βαθμούς και στη δεύτερη μέτρηση</w:t>
      </w:r>
    </w:p>
    <w:p w14:paraId="1EC602B3" w14:textId="77777777" w:rsidR="004626E2" w:rsidRPr="004104A8" w:rsidRDefault="004626E2" w:rsidP="004626E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126"/>
        <w:jc w:val="both"/>
      </w:pPr>
    </w:p>
    <w:p w14:paraId="7712DA60" w14:textId="77777777" w:rsidR="00B53A98" w:rsidRDefault="00B53A98" w:rsidP="00B53A98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Cs w:val="24"/>
          <w:lang w:eastAsia="el-GR"/>
        </w:rPr>
      </w:pPr>
    </w:p>
    <w:p w14:paraId="295089C4" w14:textId="2241A7DA" w:rsidR="0074273E" w:rsidRPr="007E6C80" w:rsidRDefault="0050711F" w:rsidP="00F61F3F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(0,75</w:t>
      </w:r>
      <w:r w:rsidR="008C2C11">
        <w:rPr>
          <w:rFonts w:ascii="Times New Roman" w:hAnsi="Times New Roman"/>
          <w:color w:val="000000"/>
        </w:rPr>
        <w:t xml:space="preserve"> </w:t>
      </w:r>
      <w:proofErr w:type="spellStart"/>
      <w:r w:rsidR="008C2C11">
        <w:rPr>
          <w:rFonts w:ascii="Times New Roman" w:hAnsi="Times New Roman"/>
          <w:color w:val="000000"/>
        </w:rPr>
        <w:t>μον</w:t>
      </w:r>
      <w:proofErr w:type="spellEnd"/>
      <w:r w:rsidR="00E55473">
        <w:rPr>
          <w:rFonts w:ascii="Times New Roman" w:hAnsi="Times New Roman"/>
          <w:color w:val="000000"/>
        </w:rPr>
        <w:t>.</w:t>
      </w:r>
      <w:r w:rsidR="008C2C11">
        <w:rPr>
          <w:rFonts w:ascii="Times New Roman" w:hAnsi="Times New Roman"/>
          <w:color w:val="000000"/>
        </w:rPr>
        <w:t>)</w:t>
      </w:r>
      <w:r w:rsidR="001305EE">
        <w:rPr>
          <w:rFonts w:ascii="Times New Roman" w:hAnsi="Times New Roman"/>
          <w:color w:val="000000"/>
        </w:rPr>
        <w:t xml:space="preserve"> </w:t>
      </w:r>
      <w:r w:rsidR="0074273E" w:rsidRPr="007E6C80">
        <w:rPr>
          <w:rFonts w:ascii="Times New Roman" w:hAnsi="Times New Roman"/>
          <w:color w:val="000000"/>
        </w:rPr>
        <w:t>Να προσδιοριστεί ο τύπος του ελέγχου</w:t>
      </w:r>
      <w:r w:rsidR="00E55473">
        <w:rPr>
          <w:rFonts w:ascii="Times New Roman" w:hAnsi="Times New Roman"/>
          <w:color w:val="000000"/>
        </w:rPr>
        <w:t xml:space="preserve"> </w:t>
      </w:r>
      <w:r w:rsidR="0074273E" w:rsidRPr="007E6C80">
        <w:rPr>
          <w:rFonts w:ascii="Times New Roman" w:hAnsi="Times New Roman"/>
          <w:color w:val="000000"/>
        </w:rPr>
        <w:t xml:space="preserve">(ανεξαρτήτων ή σχετιζόμενων δειγμάτων) και να διατυπωθούν η μηδενική υπόθεση και η εναλλακτική υπόθεση που πρέπει να χρησιμοποιηθούν για </w:t>
      </w:r>
      <w:r w:rsidR="001305EE">
        <w:rPr>
          <w:rFonts w:ascii="Times New Roman" w:hAnsi="Times New Roman"/>
          <w:color w:val="000000"/>
        </w:rPr>
        <w:t>τον έλεγχο των παρακάτω ερευνητικών ερωτημάτων ή υποθέσεων</w:t>
      </w:r>
      <w:r w:rsidR="0074273E" w:rsidRPr="007E6C80">
        <w:rPr>
          <w:rFonts w:ascii="Times New Roman" w:hAnsi="Times New Roman"/>
          <w:color w:val="000000"/>
        </w:rPr>
        <w:t>:</w:t>
      </w:r>
    </w:p>
    <w:p w14:paraId="11C1E578" w14:textId="1793DC88" w:rsidR="00867743" w:rsidRDefault="00B70284" w:rsidP="0086774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Η μέση βελτίωση της επίδοσης (κλίμακα επίδοσης 5-50)</w:t>
      </w:r>
      <w:r w:rsidR="0074273E" w:rsidRPr="008677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μετά</w:t>
      </w:r>
      <w:r w:rsidR="0074273E" w:rsidRPr="00867743">
        <w:rPr>
          <w:rFonts w:ascii="Times New Roman" w:hAnsi="Times New Roman"/>
          <w:color w:val="000000"/>
        </w:rPr>
        <w:t xml:space="preserve"> κάποια παρέμβαση σε ένα δείγμα και τις τιμές του ίδιου δείγματος μετά την π</w:t>
      </w:r>
      <w:r>
        <w:rPr>
          <w:rFonts w:ascii="Times New Roman" w:hAnsi="Times New Roman"/>
          <w:color w:val="000000"/>
        </w:rPr>
        <w:t>αρέμβαση είναι μεγαλύτερη από 5</w:t>
      </w:r>
    </w:p>
    <w:p w14:paraId="568CE816" w14:textId="58FAEA78" w:rsidR="0074273E" w:rsidRPr="00867743" w:rsidRDefault="0074273E" w:rsidP="0086774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 w:rsidRPr="00867743">
        <w:rPr>
          <w:rFonts w:ascii="Times New Roman" w:hAnsi="Times New Roman"/>
          <w:color w:val="000000"/>
        </w:rPr>
        <w:t xml:space="preserve">Η μέση απώλεια βάρους σε άτομα που συμμετείχαν σε ένα διαιτητικό πρόγραμμα ξεπερνά τα 10 </w:t>
      </w:r>
      <w:proofErr w:type="spellStart"/>
      <w:r w:rsidRPr="00867743">
        <w:rPr>
          <w:rFonts w:ascii="Times New Roman" w:hAnsi="Times New Roman"/>
          <w:color w:val="000000"/>
          <w:lang w:val="en-US"/>
        </w:rPr>
        <w:t>kgr</w:t>
      </w:r>
      <w:proofErr w:type="spellEnd"/>
      <w:r w:rsidRPr="00867743">
        <w:rPr>
          <w:rFonts w:ascii="Times New Roman" w:hAnsi="Times New Roman"/>
          <w:color w:val="000000"/>
        </w:rPr>
        <w:t xml:space="preserve">. </w:t>
      </w:r>
    </w:p>
    <w:p w14:paraId="76B0765F" w14:textId="77777777" w:rsidR="0074273E" w:rsidRPr="007E6C80" w:rsidRDefault="0074273E" w:rsidP="0074273E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 w:rsidRPr="007E6C80">
        <w:rPr>
          <w:rFonts w:ascii="Times New Roman" w:hAnsi="Times New Roman"/>
          <w:color w:val="000000"/>
        </w:rPr>
        <w:t>Υπάρχει διαφορά ως προς τη μέση ηλικία ανάμεσα σε χρήστες και μη χρήστες διαδικτύου;</w:t>
      </w:r>
    </w:p>
    <w:p w14:paraId="0CFF70F3" w14:textId="104F13E5" w:rsidR="0074273E" w:rsidRPr="001B6B82" w:rsidRDefault="0074273E" w:rsidP="001B6B82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 w:rsidRPr="007E6C80">
        <w:rPr>
          <w:rFonts w:ascii="Times New Roman" w:hAnsi="Times New Roman"/>
          <w:color w:val="000000"/>
        </w:rPr>
        <w:t>Η αντι</w:t>
      </w:r>
      <w:r w:rsidR="00E55473">
        <w:rPr>
          <w:rFonts w:ascii="Times New Roman" w:hAnsi="Times New Roman"/>
          <w:color w:val="000000"/>
        </w:rPr>
        <w:t xml:space="preserve">λαμβανόμενη ευτυχία των Ελλήνων </w:t>
      </w:r>
      <w:r w:rsidRPr="007E6C80">
        <w:rPr>
          <w:rFonts w:ascii="Times New Roman" w:hAnsi="Times New Roman"/>
          <w:color w:val="000000"/>
        </w:rPr>
        <w:t>(κλίμακα μέτρησης 0-10) όπως καταγράφεται από δύο έρευνες του 2005 και του 2011</w:t>
      </w:r>
      <w:r w:rsidR="00942535">
        <w:rPr>
          <w:rFonts w:ascii="Times New Roman" w:hAnsi="Times New Roman"/>
          <w:color w:val="000000"/>
        </w:rPr>
        <w:t xml:space="preserve"> (με δύο διαφορετικά δείγματα αντίστοιχα) </w:t>
      </w:r>
      <w:r w:rsidRPr="007E6C80">
        <w:rPr>
          <w:rFonts w:ascii="Times New Roman" w:hAnsi="Times New Roman"/>
          <w:color w:val="000000"/>
        </w:rPr>
        <w:t>είναι σε πτωτική πορεία.</w:t>
      </w:r>
      <w:r w:rsidR="008E7828" w:rsidRPr="001B6B82">
        <w:rPr>
          <w:rFonts w:ascii="Times New Roman" w:hAnsi="Times New Roman"/>
          <w:lang w:eastAsia="el-GR"/>
        </w:rPr>
        <w:t xml:space="preserve"> </w:t>
      </w:r>
    </w:p>
    <w:p w14:paraId="7667600B" w14:textId="4453ABEC" w:rsidR="00C46DDB" w:rsidRPr="008813E3" w:rsidRDefault="00C46DDB" w:rsidP="00C46DD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lang w:eastAsia="el-GR"/>
        </w:rPr>
      </w:pPr>
      <w:r>
        <w:rPr>
          <w:rFonts w:ascii="Times New Roman" w:hAnsi="Times New Roman"/>
          <w:lang w:eastAsia="el-GR"/>
        </w:rPr>
        <w:t xml:space="preserve"> </w:t>
      </w:r>
      <w:r w:rsidR="008C2C11">
        <w:rPr>
          <w:rFonts w:ascii="Times New Roman" w:hAnsi="Times New Roman"/>
          <w:lang w:eastAsia="el-GR"/>
        </w:rPr>
        <w:t>(1</w:t>
      </w:r>
      <w:r w:rsidR="0050711F">
        <w:rPr>
          <w:rFonts w:ascii="Times New Roman" w:hAnsi="Times New Roman"/>
          <w:lang w:eastAsia="el-GR"/>
        </w:rPr>
        <w:t>,25</w:t>
      </w:r>
      <w:r w:rsidR="008C2C11">
        <w:rPr>
          <w:rFonts w:ascii="Times New Roman" w:hAnsi="Times New Roman"/>
          <w:lang w:eastAsia="el-GR"/>
        </w:rPr>
        <w:t xml:space="preserve"> </w:t>
      </w:r>
      <w:proofErr w:type="spellStart"/>
      <w:r w:rsidR="008C2C11">
        <w:rPr>
          <w:rFonts w:ascii="Times New Roman" w:hAnsi="Times New Roman"/>
          <w:lang w:eastAsia="el-GR"/>
        </w:rPr>
        <w:t>μον</w:t>
      </w:r>
      <w:proofErr w:type="spellEnd"/>
      <w:r w:rsidR="00E55473">
        <w:rPr>
          <w:rFonts w:ascii="Times New Roman" w:hAnsi="Times New Roman"/>
          <w:lang w:eastAsia="el-GR"/>
        </w:rPr>
        <w:t>.</w:t>
      </w:r>
      <w:r w:rsidR="008C2C11">
        <w:rPr>
          <w:rFonts w:ascii="Times New Roman" w:hAnsi="Times New Roman"/>
          <w:lang w:eastAsia="el-GR"/>
        </w:rPr>
        <w:t>)</w:t>
      </w:r>
      <w:r>
        <w:rPr>
          <w:rFonts w:ascii="Times New Roman" w:hAnsi="Times New Roman"/>
          <w:lang w:eastAsia="el-GR"/>
        </w:rPr>
        <w:t xml:space="preserve"> </w:t>
      </w:r>
      <w:r w:rsidR="00A25562" w:rsidRPr="007E6C80">
        <w:rPr>
          <w:rFonts w:ascii="Times New Roman" w:hAnsi="Times New Roman"/>
          <w:lang w:eastAsia="el-GR"/>
        </w:rPr>
        <w:t xml:space="preserve">Προκειμένου  να διερευνηθεί η επίδραση του βαθμού </w:t>
      </w:r>
      <w:proofErr w:type="spellStart"/>
      <w:r w:rsidR="00A25562" w:rsidRPr="007E6C80">
        <w:rPr>
          <w:rFonts w:ascii="Times New Roman" w:hAnsi="Times New Roman"/>
          <w:lang w:eastAsia="el-GR"/>
        </w:rPr>
        <w:t>αστικότητας</w:t>
      </w:r>
      <w:proofErr w:type="spellEnd"/>
      <w:r w:rsidR="00A25562" w:rsidRPr="007E6C80">
        <w:rPr>
          <w:rFonts w:ascii="Times New Roman" w:hAnsi="Times New Roman"/>
          <w:lang w:eastAsia="el-GR"/>
        </w:rPr>
        <w:t xml:space="preserve"> της περιοχής διαμονής (μεταβλητή </w:t>
      </w:r>
      <w:proofErr w:type="spellStart"/>
      <w:r w:rsidR="00A25562" w:rsidRPr="007E6C80">
        <w:rPr>
          <w:rFonts w:ascii="Times New Roman" w:hAnsi="Times New Roman"/>
          <w:i/>
          <w:lang w:val="en-US" w:eastAsia="el-GR"/>
        </w:rPr>
        <w:t>domicil</w:t>
      </w:r>
      <w:proofErr w:type="spellEnd"/>
      <w:r w:rsidR="00A25562" w:rsidRPr="007E6C80">
        <w:rPr>
          <w:rFonts w:ascii="Times New Roman" w:hAnsi="Times New Roman"/>
          <w:lang w:eastAsia="el-GR"/>
        </w:rPr>
        <w:t xml:space="preserve">) στο επίπεδο </w:t>
      </w:r>
      <w:proofErr w:type="spellStart"/>
      <w:r w:rsidR="00A25562" w:rsidRPr="007E6C80">
        <w:rPr>
          <w:rFonts w:ascii="Times New Roman" w:hAnsi="Times New Roman"/>
          <w:lang w:eastAsia="el-GR"/>
        </w:rPr>
        <w:t>ξενοφοβικών</w:t>
      </w:r>
      <w:proofErr w:type="spellEnd"/>
      <w:r w:rsidR="00A25562" w:rsidRPr="007E6C80">
        <w:rPr>
          <w:rFonts w:ascii="Times New Roman" w:hAnsi="Times New Roman"/>
          <w:lang w:eastAsia="el-GR"/>
        </w:rPr>
        <w:t xml:space="preserve"> δηλώσεων (κλίμακα «ξενοφοβία</w:t>
      </w:r>
      <w:r w:rsidR="00972BDE">
        <w:rPr>
          <w:rFonts w:ascii="Times New Roman" w:hAnsi="Times New Roman"/>
          <w:lang w:eastAsia="el-GR"/>
        </w:rPr>
        <w:t>ς» που κατασκευάστηκε στο θέμα 3</w:t>
      </w:r>
      <w:r w:rsidR="00A25562" w:rsidRPr="007E6C80">
        <w:rPr>
          <w:rFonts w:ascii="Times New Roman" w:hAnsi="Times New Roman"/>
          <w:lang w:eastAsia="el-GR"/>
        </w:rPr>
        <w:t xml:space="preserve">) </w:t>
      </w:r>
      <w:r>
        <w:rPr>
          <w:rFonts w:ascii="Times New Roman" w:hAnsi="Times New Roman"/>
          <w:lang w:eastAsia="el-GR"/>
        </w:rPr>
        <w:t>θα</w:t>
      </w:r>
      <w:r w:rsidR="00A25562" w:rsidRPr="007E6C80">
        <w:rPr>
          <w:rFonts w:ascii="Times New Roman" w:hAnsi="Times New Roman"/>
          <w:lang w:eastAsia="el-GR"/>
        </w:rPr>
        <w:t xml:space="preserve"> χρησιμοποιηθεί το αρχείο της έρευνας του 2011 «</w:t>
      </w:r>
      <w:r w:rsidR="00E307A3">
        <w:rPr>
          <w:rFonts w:ascii="Times New Roman" w:hAnsi="Times New Roman"/>
          <w:lang w:eastAsia="el-GR"/>
        </w:rPr>
        <w:t>SS_EKKE_2011.sav</w:t>
      </w:r>
      <w:r w:rsidR="00A25562" w:rsidRPr="007E6C80">
        <w:rPr>
          <w:rFonts w:ascii="Times New Roman" w:hAnsi="Times New Roman"/>
          <w:lang w:eastAsia="el-GR"/>
        </w:rPr>
        <w:t xml:space="preserve">». </w:t>
      </w:r>
      <w:r>
        <w:rPr>
          <w:rFonts w:ascii="Times New Roman" w:hAnsi="Times New Roman"/>
          <w:lang w:eastAsia="el-GR"/>
        </w:rPr>
        <w:t xml:space="preserve">Να </w:t>
      </w:r>
      <w:r w:rsidRPr="007E6C80">
        <w:rPr>
          <w:rFonts w:ascii="Times New Roman" w:hAnsi="Times New Roman"/>
          <w:lang w:eastAsia="el-GR"/>
        </w:rPr>
        <w:t xml:space="preserve">δημιουργηθεί η κλίμακα της </w:t>
      </w:r>
      <w:r>
        <w:rPr>
          <w:rFonts w:ascii="Times New Roman" w:hAnsi="Times New Roman"/>
          <w:lang w:eastAsia="el-GR"/>
        </w:rPr>
        <w:t>«</w:t>
      </w:r>
      <w:r w:rsidRPr="007E6C80">
        <w:rPr>
          <w:rFonts w:ascii="Times New Roman" w:hAnsi="Times New Roman"/>
          <w:lang w:eastAsia="el-GR"/>
        </w:rPr>
        <w:t>ξενοφοβίας</w:t>
      </w:r>
      <w:r>
        <w:rPr>
          <w:rFonts w:ascii="Times New Roman" w:hAnsi="Times New Roman"/>
          <w:lang w:eastAsia="el-GR"/>
        </w:rPr>
        <w:t>»</w:t>
      </w:r>
      <w:r w:rsidRPr="007E6C80">
        <w:rPr>
          <w:rFonts w:ascii="Times New Roman" w:hAnsi="Times New Roman"/>
          <w:lang w:eastAsia="el-GR"/>
        </w:rPr>
        <w:t xml:space="preserve"> με τη βοήθεια της παρακάτω ρουτίνας του </w:t>
      </w:r>
      <w:r w:rsidRPr="007E6C80">
        <w:rPr>
          <w:rFonts w:ascii="Times New Roman" w:hAnsi="Times New Roman"/>
          <w:lang w:val="en-US" w:eastAsia="el-GR"/>
        </w:rPr>
        <w:t>SPSS</w:t>
      </w:r>
      <w:r>
        <w:rPr>
          <w:rFonts w:ascii="Times New Roman" w:hAnsi="Times New Roman"/>
          <w:lang w:eastAsia="el-GR"/>
        </w:rPr>
        <w:t xml:space="preserve"> (εναλλακτικά από το μενού </w:t>
      </w:r>
      <w:r>
        <w:rPr>
          <w:rFonts w:ascii="Times New Roman" w:hAnsi="Times New Roman"/>
          <w:lang w:val="en-US" w:eastAsia="el-GR"/>
        </w:rPr>
        <w:t>Transform</w:t>
      </w:r>
      <w:r w:rsidRPr="00C46DDB">
        <w:rPr>
          <w:rFonts w:ascii="Times New Roman" w:hAnsi="Times New Roman"/>
          <w:lang w:eastAsia="el-GR"/>
        </w:rPr>
        <w:t>=&gt;</w:t>
      </w:r>
      <w:r>
        <w:rPr>
          <w:rFonts w:ascii="Times New Roman" w:hAnsi="Times New Roman"/>
          <w:lang w:val="en-US" w:eastAsia="el-GR"/>
        </w:rPr>
        <w:t>compute</w:t>
      </w:r>
      <w:r w:rsidRPr="00C46DDB">
        <w:rPr>
          <w:rFonts w:ascii="Times New Roman" w:hAnsi="Times New Roman"/>
          <w:lang w:eastAsia="el-GR"/>
        </w:rPr>
        <w:t>)</w:t>
      </w:r>
      <w:r w:rsidRPr="007E6C80">
        <w:rPr>
          <w:rFonts w:ascii="Times New Roman" w:hAnsi="Times New Roman"/>
          <w:lang w:eastAsia="el-GR"/>
        </w:rPr>
        <w:t>:</w:t>
      </w:r>
    </w:p>
    <w:p w14:paraId="76DC8AD7" w14:textId="77777777" w:rsidR="00C46DDB" w:rsidRPr="008813E3" w:rsidRDefault="00C46DDB" w:rsidP="00C46DDB">
      <w:pPr>
        <w:pStyle w:val="a3"/>
        <w:autoSpaceDE w:val="0"/>
        <w:autoSpaceDN w:val="0"/>
        <w:adjustRightInd w:val="0"/>
        <w:spacing w:after="120"/>
        <w:ind w:firstLine="720"/>
        <w:rPr>
          <w:rFonts w:ascii="Times New Roman" w:hAnsi="Times New Roman"/>
          <w:color w:val="000000"/>
          <w:lang w:val="en-US" w:eastAsia="el-GR"/>
        </w:rPr>
      </w:pPr>
      <w:r w:rsidRPr="008813E3">
        <w:rPr>
          <w:rFonts w:ascii="Times New Roman" w:hAnsi="Times New Roman"/>
          <w:color w:val="000000"/>
          <w:lang w:val="en-US" w:eastAsia="el-GR"/>
        </w:rPr>
        <w:t xml:space="preserve">COMPUTE </w:t>
      </w:r>
      <w:r w:rsidRPr="008813E3">
        <w:rPr>
          <w:rFonts w:ascii="Times New Roman" w:hAnsi="Times New Roman"/>
          <w:color w:val="000000"/>
          <w:lang w:eastAsia="el-GR"/>
        </w:rPr>
        <w:t>ξενοφοβία</w:t>
      </w:r>
      <w:r w:rsidRPr="008813E3">
        <w:rPr>
          <w:rFonts w:ascii="Times New Roman" w:hAnsi="Times New Roman"/>
          <w:color w:val="000000"/>
          <w:lang w:val="en-US" w:eastAsia="el-GR"/>
        </w:rPr>
        <w:t xml:space="preserve">=10 - </w:t>
      </w:r>
      <w:proofErr w:type="gramStart"/>
      <w:r w:rsidRPr="008813E3">
        <w:rPr>
          <w:rFonts w:ascii="Times New Roman" w:hAnsi="Times New Roman"/>
          <w:color w:val="000000"/>
          <w:lang w:val="en-US" w:eastAsia="el-GR"/>
        </w:rPr>
        <w:t>MEAN(</w:t>
      </w:r>
      <w:proofErr w:type="spellStart"/>
      <w:proofErr w:type="gramEnd"/>
      <w:r w:rsidRPr="008813E3">
        <w:rPr>
          <w:rFonts w:ascii="Times New Roman" w:hAnsi="Times New Roman"/>
          <w:color w:val="000000"/>
          <w:lang w:val="en-US" w:eastAsia="el-GR"/>
        </w:rPr>
        <w:t>imbgeco</w:t>
      </w:r>
      <w:proofErr w:type="spellEnd"/>
      <w:r w:rsidRPr="008813E3">
        <w:rPr>
          <w:rFonts w:ascii="Times New Roman" w:hAnsi="Times New Roman"/>
          <w:color w:val="000000"/>
          <w:lang w:val="en-US" w:eastAsia="el-GR"/>
        </w:rPr>
        <w:t xml:space="preserve"> to </w:t>
      </w:r>
      <w:proofErr w:type="spellStart"/>
      <w:r w:rsidRPr="008813E3">
        <w:rPr>
          <w:rFonts w:ascii="Times New Roman" w:hAnsi="Times New Roman"/>
          <w:color w:val="000000"/>
          <w:lang w:val="en-US" w:eastAsia="el-GR"/>
        </w:rPr>
        <w:t>imwbcnt</w:t>
      </w:r>
      <w:proofErr w:type="spellEnd"/>
      <w:r w:rsidRPr="008813E3">
        <w:rPr>
          <w:rFonts w:ascii="Times New Roman" w:hAnsi="Times New Roman"/>
          <w:color w:val="000000"/>
          <w:lang w:val="en-US" w:eastAsia="el-GR"/>
        </w:rPr>
        <w:t>).</w:t>
      </w:r>
    </w:p>
    <w:p w14:paraId="05C75C43" w14:textId="77777777" w:rsidR="00C46DDB" w:rsidRPr="008C2C11" w:rsidRDefault="00C46DDB" w:rsidP="00C46DDB">
      <w:pPr>
        <w:pStyle w:val="a3"/>
        <w:autoSpaceDE w:val="0"/>
        <w:autoSpaceDN w:val="0"/>
        <w:adjustRightInd w:val="0"/>
        <w:spacing w:after="120"/>
        <w:ind w:firstLine="720"/>
        <w:rPr>
          <w:rFonts w:ascii="Times New Roman" w:hAnsi="Times New Roman"/>
          <w:color w:val="000000"/>
          <w:lang w:eastAsia="el-GR"/>
        </w:rPr>
      </w:pPr>
      <w:r w:rsidRPr="008813E3">
        <w:rPr>
          <w:rFonts w:ascii="Times New Roman" w:hAnsi="Times New Roman"/>
          <w:color w:val="000000"/>
          <w:lang w:val="en-US" w:eastAsia="el-GR"/>
        </w:rPr>
        <w:t>EXECUTE</w:t>
      </w:r>
      <w:r w:rsidRPr="001B6B82">
        <w:rPr>
          <w:rFonts w:ascii="Times New Roman" w:hAnsi="Times New Roman"/>
          <w:color w:val="000000"/>
          <w:lang w:eastAsia="el-GR"/>
        </w:rPr>
        <w:t>.</w:t>
      </w:r>
    </w:p>
    <w:p w14:paraId="30E862AC" w14:textId="6EF23713" w:rsidR="00A25562" w:rsidRPr="007E6C80" w:rsidRDefault="00A25562" w:rsidP="00C46DDB">
      <w:pPr>
        <w:autoSpaceDE w:val="0"/>
        <w:autoSpaceDN w:val="0"/>
        <w:adjustRightInd w:val="0"/>
        <w:spacing w:after="120"/>
        <w:ind w:firstLine="7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t>Να απαντηθούν τα παρακάτω:</w:t>
      </w:r>
    </w:p>
    <w:p w14:paraId="5E1E409E" w14:textId="6A92B054" w:rsidR="00A25562" w:rsidRPr="007E6C80" w:rsidRDefault="00A25562" w:rsidP="00867743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t xml:space="preserve">Να υπολογιστούν τα βασικά περιγραφικά στατιστικά της «ξενοφοβίας») για κάθε  κατηγορία της μεταβλητής </w:t>
      </w:r>
      <w:proofErr w:type="spellStart"/>
      <w:r w:rsidRPr="007E6C80">
        <w:rPr>
          <w:rFonts w:ascii="Times New Roman" w:hAnsi="Times New Roman"/>
          <w:i/>
          <w:lang w:val="en-US" w:eastAsia="el-GR"/>
        </w:rPr>
        <w:t>domicil</w:t>
      </w:r>
      <w:proofErr w:type="spellEnd"/>
    </w:p>
    <w:p w14:paraId="49A1C8F6" w14:textId="77777777" w:rsidR="00A25562" w:rsidRPr="007E6C80" w:rsidRDefault="00A25562" w:rsidP="00867743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t xml:space="preserve">Να δημιουργηθούν </w:t>
      </w:r>
      <w:proofErr w:type="spellStart"/>
      <w:r w:rsidRPr="007E6C80">
        <w:rPr>
          <w:rFonts w:ascii="Times New Roman" w:hAnsi="Times New Roman"/>
          <w:lang w:eastAsia="el-GR"/>
        </w:rPr>
        <w:t>θηκογράμματα</w:t>
      </w:r>
      <w:proofErr w:type="spellEnd"/>
      <w:r w:rsidRPr="007E6C80">
        <w:rPr>
          <w:rFonts w:ascii="Times New Roman" w:hAnsi="Times New Roman"/>
          <w:lang w:eastAsia="el-GR"/>
        </w:rPr>
        <w:t xml:space="preserve"> της «ξενοφοβίας» ανά κατηγορία βαθμού </w:t>
      </w:r>
      <w:proofErr w:type="spellStart"/>
      <w:r w:rsidRPr="007E6C80">
        <w:rPr>
          <w:rFonts w:ascii="Times New Roman" w:hAnsi="Times New Roman"/>
          <w:lang w:eastAsia="el-GR"/>
        </w:rPr>
        <w:t>αστικότητας</w:t>
      </w:r>
      <w:proofErr w:type="spellEnd"/>
    </w:p>
    <w:p w14:paraId="5EA75DDB" w14:textId="77777777" w:rsidR="00A25562" w:rsidRPr="007E6C80" w:rsidRDefault="00A25562" w:rsidP="00867743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t>Φαίνεται λογική η παραδοχή της ισότητας των διακυμάνσεων μεταξύ των ομάδων; Η προϋπόθεση της κανονικότητας;</w:t>
      </w:r>
    </w:p>
    <w:p w14:paraId="55C88841" w14:textId="77777777" w:rsidR="00A25562" w:rsidRPr="007E6C80" w:rsidRDefault="00A25562" w:rsidP="00867743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lastRenderedPageBreak/>
        <w:t xml:space="preserve">Να εκτελεστεί μια Ανάλυση διακύμανσης με ένα παράγοντα. Ποιο είναι το συμπέρασμά σας αναφορικά με την μηδενική υπόθεση; </w:t>
      </w:r>
    </w:p>
    <w:p w14:paraId="091FFC75" w14:textId="77777777" w:rsidR="00A25562" w:rsidRPr="00FC39BA" w:rsidRDefault="00A25562" w:rsidP="00867743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t xml:space="preserve">Ποιες κατηγορίες </w:t>
      </w:r>
      <w:proofErr w:type="spellStart"/>
      <w:r w:rsidRPr="007E6C80">
        <w:rPr>
          <w:rFonts w:ascii="Times New Roman" w:hAnsi="Times New Roman"/>
          <w:lang w:eastAsia="el-GR"/>
        </w:rPr>
        <w:t>αστικότητας</w:t>
      </w:r>
      <w:proofErr w:type="spellEnd"/>
      <w:r w:rsidRPr="007E6C80">
        <w:rPr>
          <w:rFonts w:ascii="Times New Roman" w:hAnsi="Times New Roman"/>
          <w:lang w:eastAsia="el-GR"/>
        </w:rPr>
        <w:t xml:space="preserve"> διαφέρουν σημαντικά μεταξύ τους χρησιμοποιώντας τον έλεγχο </w:t>
      </w:r>
      <w:proofErr w:type="spellStart"/>
      <w:r w:rsidRPr="007E6C80">
        <w:rPr>
          <w:rFonts w:ascii="Times New Roman" w:hAnsi="Times New Roman"/>
          <w:lang w:val="en-US" w:eastAsia="el-GR"/>
        </w:rPr>
        <w:t>Bonferroni</w:t>
      </w:r>
      <w:proofErr w:type="spellEnd"/>
      <w:r w:rsidRPr="007E6C80">
        <w:rPr>
          <w:rFonts w:ascii="Times New Roman" w:hAnsi="Times New Roman"/>
          <w:lang w:eastAsia="el-GR"/>
        </w:rPr>
        <w:t>;</w:t>
      </w:r>
    </w:p>
    <w:p w14:paraId="2B24DBFD" w14:textId="77777777" w:rsidR="00A25562" w:rsidRPr="007E6C80" w:rsidRDefault="00A25562" w:rsidP="00867743">
      <w:pPr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Times New Roman" w:hAnsi="Times New Roman"/>
          <w:lang w:eastAsia="el-GR"/>
        </w:rPr>
      </w:pPr>
      <w:r w:rsidRPr="007E6C80">
        <w:rPr>
          <w:rFonts w:ascii="Times New Roman" w:hAnsi="Times New Roman"/>
          <w:lang w:eastAsia="el-GR"/>
        </w:rPr>
        <w:t>Γράψτε μια σύντομη αναφορά σχολιάζοντας με μη στατιστικούς όρους το αποτέλεσμα;</w:t>
      </w:r>
    </w:p>
    <w:p w14:paraId="40183753" w14:textId="58F74FD4" w:rsidR="00631057" w:rsidRPr="000D59B2" w:rsidRDefault="00C46DDB" w:rsidP="00F61F3F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(1 </w:t>
      </w:r>
      <w:proofErr w:type="spellStart"/>
      <w:r>
        <w:rPr>
          <w:rFonts w:ascii="Times New Roman" w:hAnsi="Times New Roman"/>
          <w:bCs/>
        </w:rPr>
        <w:t>μον</w:t>
      </w:r>
      <w:proofErr w:type="spellEnd"/>
      <w:r w:rsidR="00E5547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) </w:t>
      </w:r>
      <w:r w:rsidR="00631057" w:rsidRPr="00AC78DA">
        <w:rPr>
          <w:rFonts w:ascii="Times New Roman" w:hAnsi="Times New Roman"/>
          <w:bCs/>
        </w:rPr>
        <w:t>Είναι γνωστό ότι το ποσοστό χρηστών διαδικτύου παγκοσμίως έχει σταθερά αυξητική τάση. Με δεδομένο ότι το ποσοστό των  Ελλήνων χρηστών διαδικτύου το 2005 ανερχόταν στο 35%, μπορεί να ειπωθεί ότι η διαπίστωση αυτή επαληθεύεται από την Κοινωνική Έρευνα του 2011</w:t>
      </w:r>
      <w:r w:rsidR="00631057" w:rsidRPr="00386A22">
        <w:rPr>
          <w:b/>
        </w:rPr>
        <w:t xml:space="preserve"> </w:t>
      </w:r>
      <w:r w:rsidR="00631057" w:rsidRPr="00A13C97">
        <w:rPr>
          <w:rFonts w:ascii="Times New Roman" w:hAnsi="Times New Roman"/>
          <w:bCs/>
        </w:rPr>
        <w:t>(</w:t>
      </w:r>
      <w:r w:rsidR="00A13C97" w:rsidRPr="00A13C97">
        <w:rPr>
          <w:rFonts w:ascii="Times New Roman" w:hAnsi="Times New Roman"/>
          <w:i/>
          <w:color w:val="000000"/>
        </w:rPr>
        <w:t>α</w:t>
      </w:r>
      <w:r w:rsidR="00631057" w:rsidRPr="00CC3E8B">
        <w:rPr>
          <w:rFonts w:ascii="Times New Roman" w:hAnsi="Times New Roman"/>
          <w:i/>
          <w:color w:val="000000"/>
        </w:rPr>
        <w:t>πό τα δεδομένα του αρχείου «</w:t>
      </w:r>
      <w:r w:rsidR="00E307A3">
        <w:rPr>
          <w:rFonts w:ascii="Times New Roman" w:hAnsi="Times New Roman"/>
          <w:i/>
          <w:color w:val="000000"/>
        </w:rPr>
        <w:t>SS_EKKE_2011.sav</w:t>
      </w:r>
      <w:r w:rsidR="00631057" w:rsidRPr="00CC3E8B">
        <w:rPr>
          <w:rFonts w:ascii="Times New Roman" w:hAnsi="Times New Roman"/>
          <w:i/>
          <w:color w:val="000000"/>
        </w:rPr>
        <w:t xml:space="preserve">» της  Ευρωπαϊκής κοινωνικής έρευνας του 2011 θα χρησιμοποιηθεί η μεταβλητή  </w:t>
      </w:r>
      <w:r w:rsidR="000D59B2" w:rsidRPr="00CC3E8B">
        <w:rPr>
          <w:rFonts w:ascii="Times New Roman" w:hAnsi="Times New Roman"/>
          <w:i/>
          <w:color w:val="000000"/>
        </w:rPr>
        <w:t>netuse</w:t>
      </w:r>
      <w:r w:rsidR="00631057" w:rsidRPr="0097159D">
        <w:rPr>
          <w:rFonts w:ascii="Times New Roman" w:hAnsi="Times New Roman"/>
          <w:i/>
          <w:color w:val="000000"/>
        </w:rPr>
        <w:t>1</w:t>
      </w:r>
      <w:r w:rsidR="00631057" w:rsidRPr="00CC3E8B">
        <w:rPr>
          <w:rFonts w:ascii="Times New Roman" w:hAnsi="Times New Roman"/>
          <w:i/>
          <w:color w:val="000000"/>
        </w:rPr>
        <w:t xml:space="preserve"> </w:t>
      </w:r>
      <w:r w:rsidR="00631057" w:rsidRPr="000D59B2">
        <w:rPr>
          <w:rFonts w:ascii="Times New Roman" w:hAnsi="Times New Roman"/>
          <w:color w:val="000000"/>
        </w:rPr>
        <w:t>«</w:t>
      </w:r>
      <w:r w:rsidR="00631057" w:rsidRPr="000D59B2">
        <w:rPr>
          <w:rFonts w:ascii="Times New Roman" w:hAnsi="Times New Roman"/>
          <w:bCs/>
        </w:rPr>
        <w:t>Χρήση διαδικτύου και ηλεκτρονικού ταχυδρομείου».)</w:t>
      </w:r>
    </w:p>
    <w:p w14:paraId="7C0F50C0" w14:textId="77777777" w:rsidR="000D59B2" w:rsidRDefault="000D59B2" w:rsidP="00867743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 w:rsidRPr="000D59B2">
        <w:rPr>
          <w:rFonts w:ascii="Times New Roman" w:hAnsi="Times New Roman"/>
          <w:bCs/>
        </w:rPr>
        <w:t xml:space="preserve">Να προσδιοριστεί ο πληθυσμός για τον οποίο γίνεται </w:t>
      </w:r>
      <w:r>
        <w:rPr>
          <w:rFonts w:ascii="Times New Roman" w:hAnsi="Times New Roman"/>
          <w:bCs/>
        </w:rPr>
        <w:t>ο έλεγχος.</w:t>
      </w:r>
    </w:p>
    <w:p w14:paraId="7299E1A3" w14:textId="0D30C763" w:rsidR="000D59B2" w:rsidRPr="000D59B2" w:rsidRDefault="00A13C97" w:rsidP="00867743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Σε </w:t>
      </w:r>
      <w:r w:rsidR="000D59B2">
        <w:rPr>
          <w:rFonts w:ascii="Times New Roman" w:hAnsi="Times New Roman"/>
          <w:bCs/>
        </w:rPr>
        <w:t xml:space="preserve">μια σύντομη παράγραφο να γραφεί το αποτέλεσμα όπως ακριβώς </w:t>
      </w:r>
      <w:r w:rsidR="00DB3D0F">
        <w:rPr>
          <w:rFonts w:ascii="Times New Roman" w:hAnsi="Times New Roman"/>
          <w:bCs/>
        </w:rPr>
        <w:t>θα γραφόταν σε μια επιστημονική εργασία</w:t>
      </w:r>
    </w:p>
    <w:p w14:paraId="1EAF1319" w14:textId="22BE62B7" w:rsidR="00D65EF2" w:rsidRPr="00CC3E8B" w:rsidRDefault="0050711F" w:rsidP="00F61F3F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(0,5 </w:t>
      </w:r>
      <w:proofErr w:type="spellStart"/>
      <w:r>
        <w:rPr>
          <w:rFonts w:ascii="Times New Roman" w:hAnsi="Times New Roman"/>
          <w:color w:val="000000"/>
        </w:rPr>
        <w:t>μον</w:t>
      </w:r>
      <w:proofErr w:type="spellEnd"/>
      <w:r w:rsidR="00E5547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) </w:t>
      </w:r>
      <w:r w:rsidR="00D65EF2" w:rsidRPr="00CC3E8B">
        <w:rPr>
          <w:rFonts w:ascii="Times New Roman" w:hAnsi="Times New Roman"/>
          <w:color w:val="000000"/>
        </w:rPr>
        <w:t>Σε ποιο από τα παρακάτω ζεύγη μεταβλητών θεωρείτε ότι ένα</w:t>
      </w:r>
      <w:r w:rsidR="00A13C97">
        <w:rPr>
          <w:rFonts w:ascii="Times New Roman" w:hAnsi="Times New Roman"/>
          <w:color w:val="000000"/>
        </w:rPr>
        <w:t>ς</w:t>
      </w:r>
      <w:r w:rsidR="00D65EF2" w:rsidRPr="00CC3E8B">
        <w:rPr>
          <w:rFonts w:ascii="Times New Roman" w:hAnsi="Times New Roman"/>
          <w:color w:val="000000"/>
        </w:rPr>
        <w:t xml:space="preserve"> πίνακας </w:t>
      </w:r>
      <w:r w:rsidR="00972BDE">
        <w:rPr>
          <w:rFonts w:ascii="Times New Roman" w:hAnsi="Times New Roman"/>
          <w:color w:val="000000"/>
        </w:rPr>
        <w:t xml:space="preserve">συνάφειας </w:t>
      </w:r>
      <w:r w:rsidR="00D65EF2" w:rsidRPr="00CC3E8B">
        <w:rPr>
          <w:rFonts w:ascii="Times New Roman" w:hAnsi="Times New Roman"/>
          <w:color w:val="000000"/>
        </w:rPr>
        <w:t>είναι κατάλληλος;</w:t>
      </w:r>
    </w:p>
    <w:p w14:paraId="3D7C73EF" w14:textId="77777777" w:rsidR="00D65EF2" w:rsidRPr="00CC3E8B" w:rsidRDefault="00D65EF2" w:rsidP="00786296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color w:val="000000"/>
          <w:sz w:val="20"/>
          <w:szCs w:val="18"/>
        </w:rPr>
      </w:pPr>
      <w:r w:rsidRPr="00CC3E8B">
        <w:rPr>
          <w:rFonts w:ascii="Times New Roman" w:hAnsi="Times New Roman"/>
          <w:color w:val="000000"/>
          <w:sz w:val="20"/>
          <w:szCs w:val="18"/>
        </w:rPr>
        <w:t>Βάρος σε κιλά και χρόνος εβδομαδιαίας τηλεθέασης</w:t>
      </w:r>
    </w:p>
    <w:p w14:paraId="6A786719" w14:textId="77777777" w:rsidR="00D65EF2" w:rsidRPr="00CC3E8B" w:rsidRDefault="00D65EF2" w:rsidP="00786296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color w:val="000000"/>
          <w:sz w:val="20"/>
          <w:szCs w:val="18"/>
        </w:rPr>
      </w:pPr>
      <w:r w:rsidRPr="00CC3E8B">
        <w:rPr>
          <w:rFonts w:ascii="Times New Roman" w:hAnsi="Times New Roman"/>
          <w:color w:val="000000"/>
          <w:sz w:val="20"/>
          <w:szCs w:val="18"/>
        </w:rPr>
        <w:t>Φύλο και μορφωτικό επίπεδο σε έτη</w:t>
      </w:r>
    </w:p>
    <w:p w14:paraId="28180AAB" w14:textId="77777777" w:rsidR="00D65EF2" w:rsidRPr="00CC3E8B" w:rsidRDefault="00D65EF2" w:rsidP="00786296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color w:val="000000"/>
          <w:sz w:val="20"/>
          <w:szCs w:val="18"/>
        </w:rPr>
      </w:pPr>
      <w:r w:rsidRPr="00CC3E8B">
        <w:rPr>
          <w:rFonts w:ascii="Times New Roman" w:hAnsi="Times New Roman"/>
          <w:color w:val="000000"/>
          <w:sz w:val="20"/>
          <w:szCs w:val="18"/>
        </w:rPr>
        <w:t>Θερμοκρασία του σώματος και επιβίωση μετά την εγχείρηση</w:t>
      </w:r>
    </w:p>
    <w:p w14:paraId="3D5DFAC4" w14:textId="77777777" w:rsidR="00D65EF2" w:rsidRDefault="00D65EF2" w:rsidP="00786296">
      <w:pPr>
        <w:pStyle w:val="a3"/>
        <w:numPr>
          <w:ilvl w:val="0"/>
          <w:numId w:val="1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color w:val="000000"/>
          <w:sz w:val="20"/>
          <w:szCs w:val="18"/>
        </w:rPr>
      </w:pPr>
      <w:r w:rsidRPr="00CC3E8B">
        <w:rPr>
          <w:rFonts w:ascii="Times New Roman" w:hAnsi="Times New Roman"/>
          <w:color w:val="000000"/>
          <w:sz w:val="20"/>
          <w:szCs w:val="18"/>
        </w:rPr>
        <w:t xml:space="preserve">Χρήση διαδικτύου (ναι/όχι) και κοινωνικό στρώμα (5-βαθμη κλίμακα) </w:t>
      </w:r>
    </w:p>
    <w:p w14:paraId="3DF65B06" w14:textId="7CDDD321" w:rsidR="00922118" w:rsidRDefault="0050711F" w:rsidP="0048790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(1 </w:t>
      </w:r>
      <w:proofErr w:type="spellStart"/>
      <w:r>
        <w:rPr>
          <w:rFonts w:ascii="Times New Roman" w:hAnsi="Times New Roman"/>
          <w:color w:val="000000"/>
        </w:rPr>
        <w:t>μον</w:t>
      </w:r>
      <w:proofErr w:type="spellEnd"/>
      <w:r w:rsidR="00E5547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) </w:t>
      </w:r>
      <w:r w:rsidR="0048790C">
        <w:rPr>
          <w:rFonts w:ascii="Times New Roman" w:hAnsi="Times New Roman"/>
          <w:color w:val="000000"/>
        </w:rPr>
        <w:t xml:space="preserve">Οι </w:t>
      </w:r>
      <w:r w:rsidR="00922118">
        <w:rPr>
          <w:rFonts w:ascii="Times New Roman" w:hAnsi="Times New Roman"/>
          <w:color w:val="000000"/>
        </w:rPr>
        <w:t xml:space="preserve">δύο παρακάτω </w:t>
      </w:r>
      <w:r w:rsidR="0048790C">
        <w:rPr>
          <w:rFonts w:ascii="Times New Roman" w:hAnsi="Times New Roman"/>
          <w:color w:val="000000"/>
        </w:rPr>
        <w:t xml:space="preserve">πίνακες αναφέρονται στη διερεύνηση της επίδρασης της </w:t>
      </w:r>
      <w:r w:rsidR="00922118">
        <w:rPr>
          <w:rFonts w:ascii="Times New Roman" w:hAnsi="Times New Roman"/>
          <w:color w:val="000000"/>
        </w:rPr>
        <w:t>αστικοποίησης</w:t>
      </w:r>
      <w:r w:rsidR="0048790C">
        <w:rPr>
          <w:rFonts w:ascii="Times New Roman" w:hAnsi="Times New Roman"/>
          <w:color w:val="000000"/>
        </w:rPr>
        <w:t xml:space="preserve"> του τόπου κατοικίας των νέων </w:t>
      </w:r>
      <w:r w:rsidR="00922118">
        <w:rPr>
          <w:rFonts w:ascii="Times New Roman" w:hAnsi="Times New Roman"/>
          <w:color w:val="000000"/>
        </w:rPr>
        <w:t>πάνω στις απόψεις</w:t>
      </w:r>
      <w:r w:rsidR="0048790C">
        <w:rPr>
          <w:rFonts w:ascii="Times New Roman" w:hAnsi="Times New Roman"/>
          <w:color w:val="000000"/>
        </w:rPr>
        <w:t xml:space="preserve"> τους για </w:t>
      </w:r>
      <w:r w:rsidR="00922118">
        <w:rPr>
          <w:rFonts w:ascii="Times New Roman" w:hAnsi="Times New Roman"/>
          <w:color w:val="000000"/>
        </w:rPr>
        <w:t xml:space="preserve">τη </w:t>
      </w:r>
      <w:r w:rsidR="00722BE8">
        <w:rPr>
          <w:rFonts w:ascii="Times New Roman" w:hAnsi="Times New Roman"/>
          <w:color w:val="000000"/>
        </w:rPr>
        <w:t>σημαντικότητα</w:t>
      </w:r>
      <w:r w:rsidR="00922118">
        <w:rPr>
          <w:rFonts w:ascii="Times New Roman" w:hAnsi="Times New Roman"/>
          <w:color w:val="000000"/>
        </w:rPr>
        <w:t xml:space="preserve"> της θρησκείας</w:t>
      </w:r>
      <w:r w:rsidR="00365911">
        <w:rPr>
          <w:rFonts w:ascii="Times New Roman" w:hAnsi="Times New Roman"/>
          <w:color w:val="000000"/>
        </w:rPr>
        <w:t>.</w:t>
      </w:r>
      <w:r w:rsidR="00922118">
        <w:rPr>
          <w:rFonts w:ascii="Times New Roman" w:hAnsi="Times New Roman"/>
          <w:color w:val="000000"/>
        </w:rPr>
        <w:t xml:space="preserve"> Να επιλεγεί η κατάλληλη απάντηση :</w:t>
      </w:r>
    </w:p>
    <w:p w14:paraId="31B29035" w14:textId="38C32966" w:rsidR="0048790C" w:rsidRDefault="00922118" w:rsidP="00922118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Ισχύουν οι προϋποθέσεις της εκτέλεσης του ελέγχου </w:t>
      </w:r>
      <w:r w:rsidRPr="00922118">
        <w:rPr>
          <w:rFonts w:ascii="Times New Roman" w:hAnsi="Times New Roman"/>
          <w:color w:val="000000"/>
        </w:rPr>
        <w:t>χ</w:t>
      </w:r>
      <w:r w:rsidRPr="00680227">
        <w:rPr>
          <w:rFonts w:ascii="Times New Roman" w:hAnsi="Times New Roman"/>
          <w:color w:val="000000"/>
          <w:vertAlign w:val="superscript"/>
        </w:rPr>
        <w:t>2</w:t>
      </w:r>
      <w:r w:rsidRPr="009221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ανεξαρτησίας</w:t>
      </w:r>
      <w:r w:rsidR="0048790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τόσο στο δείγμα των ανδρών όσο και στο δείγμα των γυναικών. Η αστικοποίηση δεν έχει σημαντική επίδραση στις απόψεις για την </w:t>
      </w:r>
      <w:r w:rsidR="008C2C11">
        <w:rPr>
          <w:rFonts w:ascii="Times New Roman" w:hAnsi="Times New Roman"/>
          <w:color w:val="000000"/>
        </w:rPr>
        <w:t>σημαντικότητα</w:t>
      </w:r>
      <w:r w:rsidR="008C2C11" w:rsidRPr="0062542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της </w:t>
      </w:r>
      <w:r w:rsidR="00625420">
        <w:rPr>
          <w:rFonts w:ascii="Times New Roman" w:hAnsi="Times New Roman"/>
          <w:color w:val="000000"/>
        </w:rPr>
        <w:t>θρησκείας ούτε στους άνδρες αλλά ούτε και στις γυναίκες. Όσο μεγαλύτερη η αστικοποίηση τόσο χαμηλότερο το ποσοστό αυτών που θεωρούν τη θρησκεία πολύ σημαντική.</w:t>
      </w:r>
    </w:p>
    <w:p w14:paraId="10E9ACB7" w14:textId="633ACA89" w:rsidR="00625420" w:rsidRDefault="00625420" w:rsidP="00625420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Ισχύουν οι προϋποθέσεις της εκτέλεσης του ελέγχου </w:t>
      </w:r>
      <w:r w:rsidRPr="00922118">
        <w:rPr>
          <w:rFonts w:ascii="Times New Roman" w:hAnsi="Times New Roman"/>
          <w:color w:val="000000"/>
        </w:rPr>
        <w:t>χ</w:t>
      </w:r>
      <w:r w:rsidRPr="00680227">
        <w:rPr>
          <w:rFonts w:ascii="Times New Roman" w:hAnsi="Times New Roman"/>
          <w:color w:val="000000"/>
          <w:vertAlign w:val="superscript"/>
        </w:rPr>
        <w:t>2</w:t>
      </w:r>
      <w:r w:rsidRPr="009221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ανεξαρτησίας τόσο στο δείγμα των ανδρών όσο και στο δείγμα των γυναικών. Η αστικοποίηση έχει σημαντική επίδραση στις απόψεις για την </w:t>
      </w:r>
      <w:r w:rsidR="008C2C11">
        <w:rPr>
          <w:rFonts w:ascii="Times New Roman" w:hAnsi="Times New Roman"/>
          <w:color w:val="000000"/>
        </w:rPr>
        <w:t>σημαντικότητα</w:t>
      </w:r>
      <w:r w:rsidR="008C2C11" w:rsidRPr="0062542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της θρησκείας στους άνδρες αλλά όχι  στις γυναίκες. </w:t>
      </w:r>
      <w:r w:rsidRPr="00625420">
        <w:rPr>
          <w:rFonts w:ascii="Times New Roman" w:hAnsi="Times New Roman"/>
          <w:color w:val="000000"/>
        </w:rPr>
        <w:t>Όσο μεγαλύτερη η αστικοποίηση τόσο χαμηλότερο το ποσοστό αυτών που θεωρούν τη θρησκεία πολύ σημαντική.</w:t>
      </w:r>
    </w:p>
    <w:p w14:paraId="7F7534F5" w14:textId="13640900" w:rsidR="00625420" w:rsidRDefault="00625420" w:rsidP="00625420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Δεν ισχύουν οι προϋποθέσεις της εκτέλεσης του ελέγχου </w:t>
      </w:r>
      <w:r w:rsidRPr="00922118">
        <w:rPr>
          <w:rFonts w:ascii="Times New Roman" w:hAnsi="Times New Roman"/>
          <w:color w:val="000000"/>
        </w:rPr>
        <w:t>χ</w:t>
      </w:r>
      <w:r w:rsidRPr="00680227">
        <w:rPr>
          <w:rFonts w:ascii="Times New Roman" w:hAnsi="Times New Roman"/>
          <w:color w:val="000000"/>
          <w:vertAlign w:val="superscript"/>
        </w:rPr>
        <w:t>2</w:t>
      </w:r>
      <w:r w:rsidRPr="009221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ανεξαρτησίας ούτε στο δείγμα των ανδρών ούτε στο δείγμα των γυναικών</w:t>
      </w:r>
      <w:r w:rsidR="00EE1603">
        <w:rPr>
          <w:rFonts w:ascii="Times New Roman" w:hAnsi="Times New Roman"/>
          <w:color w:val="000000"/>
        </w:rPr>
        <w:t xml:space="preserve"> και συνεπώς ο έλεγχος δεν είναι έγκυρος.</w:t>
      </w:r>
    </w:p>
    <w:p w14:paraId="35B9802C" w14:textId="1E4A3C6A" w:rsidR="00625420" w:rsidRDefault="00625420" w:rsidP="00625420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25420">
        <w:rPr>
          <w:rFonts w:ascii="Times New Roman" w:hAnsi="Times New Roman"/>
          <w:color w:val="000000"/>
        </w:rPr>
        <w:t>Ισχύουν οι προϋποθέσεις της εκτέλεσης του ελέγχου χ</w:t>
      </w:r>
      <w:r w:rsidRPr="00680227">
        <w:rPr>
          <w:rFonts w:ascii="Times New Roman" w:hAnsi="Times New Roman"/>
          <w:color w:val="000000"/>
          <w:vertAlign w:val="superscript"/>
        </w:rPr>
        <w:t>2</w:t>
      </w:r>
      <w:r w:rsidRPr="00625420">
        <w:rPr>
          <w:rFonts w:ascii="Times New Roman" w:hAnsi="Times New Roman"/>
          <w:color w:val="000000"/>
        </w:rPr>
        <w:t xml:space="preserve"> ανεξαρτησίας τόσο στο δείγμα των ανδρών όσο και στο δείγμα των γυναικών. Η αστικοποίηση έχει σημαντική επίδραση στις απόψεις για την </w:t>
      </w:r>
      <w:r w:rsidR="008C2C11">
        <w:rPr>
          <w:rFonts w:ascii="Times New Roman" w:hAnsi="Times New Roman"/>
          <w:color w:val="000000"/>
        </w:rPr>
        <w:t>σημαντικότητα</w:t>
      </w:r>
      <w:r w:rsidRPr="00625420">
        <w:rPr>
          <w:rFonts w:ascii="Times New Roman" w:hAnsi="Times New Roman"/>
          <w:color w:val="000000"/>
        </w:rPr>
        <w:t xml:space="preserve"> της θρησκείας </w:t>
      </w:r>
      <w:r w:rsidR="00235983">
        <w:rPr>
          <w:rFonts w:ascii="Times New Roman" w:hAnsi="Times New Roman"/>
          <w:color w:val="000000"/>
        </w:rPr>
        <w:t xml:space="preserve">τόσο </w:t>
      </w:r>
      <w:r w:rsidRPr="00625420">
        <w:rPr>
          <w:rFonts w:ascii="Times New Roman" w:hAnsi="Times New Roman"/>
          <w:color w:val="000000"/>
        </w:rPr>
        <w:t xml:space="preserve">στους </w:t>
      </w:r>
      <w:r w:rsidR="00235983">
        <w:rPr>
          <w:rFonts w:ascii="Times New Roman" w:hAnsi="Times New Roman"/>
          <w:color w:val="000000"/>
        </w:rPr>
        <w:t xml:space="preserve">όσο και </w:t>
      </w:r>
      <w:r w:rsidRPr="00625420">
        <w:rPr>
          <w:rFonts w:ascii="Times New Roman" w:hAnsi="Times New Roman"/>
          <w:color w:val="000000"/>
        </w:rPr>
        <w:t xml:space="preserve"> </w:t>
      </w:r>
      <w:r w:rsidR="00235983">
        <w:rPr>
          <w:rFonts w:ascii="Times New Roman" w:hAnsi="Times New Roman"/>
          <w:color w:val="000000"/>
        </w:rPr>
        <w:t xml:space="preserve">στις  </w:t>
      </w:r>
      <w:r w:rsidRPr="00625420">
        <w:rPr>
          <w:rFonts w:ascii="Times New Roman" w:hAnsi="Times New Roman"/>
          <w:color w:val="000000"/>
        </w:rPr>
        <w:t>γυναίκες. Όσο μεγαλύτερη η αστικοποίηση τόσο χαμηλότερο το ποσοστό αυτών που θεωρούν τη θρησκεία πολύ σημαντική.</w:t>
      </w:r>
    </w:p>
    <w:p w14:paraId="15FC044C" w14:textId="33EEE278" w:rsidR="00235983" w:rsidRPr="00235983" w:rsidRDefault="00235983" w:rsidP="00235983">
      <w:pPr>
        <w:pStyle w:val="a3"/>
        <w:numPr>
          <w:ilvl w:val="1"/>
          <w:numId w:val="7"/>
        </w:numPr>
        <w:rPr>
          <w:rFonts w:ascii="Times New Roman" w:hAnsi="Times New Roman"/>
          <w:color w:val="000000"/>
        </w:rPr>
      </w:pPr>
      <w:r w:rsidRPr="00235983">
        <w:rPr>
          <w:rFonts w:ascii="Times New Roman" w:hAnsi="Times New Roman"/>
          <w:color w:val="000000"/>
        </w:rPr>
        <w:t>Ισχύουν οι προϋποθέσεις της εκτέλεσης του ελέγχου χ</w:t>
      </w:r>
      <w:r w:rsidRPr="00680227">
        <w:rPr>
          <w:rFonts w:ascii="Times New Roman" w:hAnsi="Times New Roman"/>
          <w:color w:val="000000"/>
          <w:vertAlign w:val="superscript"/>
        </w:rPr>
        <w:t>2</w:t>
      </w:r>
      <w:r w:rsidRPr="00235983">
        <w:rPr>
          <w:rFonts w:ascii="Times New Roman" w:hAnsi="Times New Roman"/>
          <w:color w:val="000000"/>
        </w:rPr>
        <w:t xml:space="preserve"> ανεξαρτησίας τόσο στο δείγμα των ανδρών όσο και στο δείγμα των γυναικών. Η αστικοποίηση έχει σημαντική επίδραση στις απόψεις για την σημασία της θρησκείας στους άνδρες αλλά όχι  στις γυναίκες. Όσο </w:t>
      </w:r>
      <w:r>
        <w:rPr>
          <w:rFonts w:ascii="Times New Roman" w:hAnsi="Times New Roman"/>
          <w:color w:val="000000"/>
        </w:rPr>
        <w:t>μικρότερη</w:t>
      </w:r>
      <w:r w:rsidRPr="00235983">
        <w:rPr>
          <w:rFonts w:ascii="Times New Roman" w:hAnsi="Times New Roman"/>
          <w:color w:val="000000"/>
        </w:rPr>
        <w:t xml:space="preserve"> η αστικοποίηση τόσο χαμηλότερο το ποσοστό αυτών που θεωρούν τη θρησκεία πολύ σημαντική.</w:t>
      </w:r>
    </w:p>
    <w:p w14:paraId="6E3786AC" w14:textId="77777777" w:rsidR="00235983" w:rsidRPr="00625420" w:rsidRDefault="00235983" w:rsidP="0023598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14:paraId="5185566A" w14:textId="3F983555" w:rsidR="0048790C" w:rsidRDefault="0048790C" w:rsidP="0048790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el-GR"/>
        </w:rPr>
        <w:lastRenderedPageBreak/>
        <w:drawing>
          <wp:inline distT="0" distB="0" distL="0" distR="0" wp14:anchorId="5DD1059D" wp14:editId="42165EB5">
            <wp:extent cx="5446219" cy="3840360"/>
            <wp:effectExtent l="0" t="0" r="254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89" cy="3857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2749D" w14:textId="48BAC668" w:rsidR="0048790C" w:rsidRDefault="0048790C" w:rsidP="008C2C1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el-GR"/>
        </w:rPr>
        <w:drawing>
          <wp:inline distT="0" distB="0" distL="0" distR="0" wp14:anchorId="47C4934D" wp14:editId="381FA003">
            <wp:extent cx="4476750" cy="44100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8388" w14:textId="77777777" w:rsidR="0048790C" w:rsidRDefault="0048790C" w:rsidP="0048790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</w:rPr>
      </w:pPr>
    </w:p>
    <w:p w14:paraId="7842B831" w14:textId="77777777" w:rsidR="00043B52" w:rsidRDefault="00043B52" w:rsidP="00043B5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</w:rPr>
      </w:pPr>
    </w:p>
    <w:p w14:paraId="0194DF6D" w14:textId="64F99238" w:rsidR="00BB1A10" w:rsidRPr="004E635E" w:rsidRDefault="00C50473" w:rsidP="00F61F3F">
      <w:pPr>
        <w:pStyle w:val="a3"/>
        <w:numPr>
          <w:ilvl w:val="0"/>
          <w:numId w:val="7"/>
        </w:numPr>
        <w:spacing w:after="0" w:line="240" w:lineRule="auto"/>
        <w:rPr>
          <w:rFonts w:ascii="Trebuchet MS" w:hAnsi="Trebuchet MS"/>
        </w:rPr>
      </w:pPr>
      <w:r w:rsidRPr="004E635E">
        <w:rPr>
          <w:rFonts w:ascii="Trebuchet MS" w:hAnsi="Trebuchet MS"/>
        </w:rPr>
        <w:lastRenderedPageBreak/>
        <w:t xml:space="preserve"> </w:t>
      </w:r>
      <w:r w:rsidR="0050711F">
        <w:rPr>
          <w:rFonts w:ascii="Trebuchet MS" w:hAnsi="Trebuchet MS"/>
        </w:rPr>
        <w:t>(1</w:t>
      </w:r>
      <w:r w:rsidR="00BB1A10" w:rsidRPr="004E635E">
        <w:rPr>
          <w:rFonts w:ascii="Trebuchet MS" w:hAnsi="Trebuchet MS"/>
        </w:rPr>
        <w:t xml:space="preserve"> </w:t>
      </w:r>
      <w:proofErr w:type="spellStart"/>
      <w:r w:rsidR="00BB1A10" w:rsidRPr="004E635E">
        <w:rPr>
          <w:rFonts w:ascii="Trebuchet MS" w:hAnsi="Trebuchet MS"/>
        </w:rPr>
        <w:t>μον</w:t>
      </w:r>
      <w:proofErr w:type="spellEnd"/>
      <w:r w:rsidR="00E55473">
        <w:rPr>
          <w:rFonts w:ascii="Trebuchet MS" w:hAnsi="Trebuchet MS"/>
        </w:rPr>
        <w:t>.</w:t>
      </w:r>
      <w:r w:rsidR="00BB1A10" w:rsidRPr="004E635E">
        <w:rPr>
          <w:rFonts w:ascii="Trebuchet MS" w:hAnsi="Trebuchet MS"/>
        </w:rPr>
        <w:t xml:space="preserve">) Να χρησιμοποιηθεί το αρχείο «Στάσεις για </w:t>
      </w:r>
      <w:proofErr w:type="spellStart"/>
      <w:r w:rsidR="00BB1A10" w:rsidRPr="004E635E">
        <w:rPr>
          <w:rFonts w:ascii="Trebuchet MS" w:hAnsi="Trebuchet MS"/>
        </w:rPr>
        <w:t>Μαθηματικά.sav</w:t>
      </w:r>
      <w:proofErr w:type="spellEnd"/>
      <w:r w:rsidR="00BB1A10" w:rsidRPr="004E635E">
        <w:rPr>
          <w:rFonts w:ascii="Trebuchet MS" w:hAnsi="Trebuchet MS"/>
        </w:rPr>
        <w:t>» για να απαντηθούν τα παρακάτω</w:t>
      </w:r>
      <w:r w:rsidR="001C48F3" w:rsidRPr="004E635E">
        <w:rPr>
          <w:rFonts w:ascii="Trebuchet MS" w:hAnsi="Trebuchet MS"/>
        </w:rPr>
        <w:t xml:space="preserve"> αναφορικά</w:t>
      </w:r>
      <w:r w:rsidR="00BB1A10" w:rsidRPr="004E635E">
        <w:rPr>
          <w:rFonts w:ascii="Trebuchet MS" w:hAnsi="Trebuchet MS"/>
        </w:rPr>
        <w:t xml:space="preserve"> </w:t>
      </w:r>
      <w:r w:rsidR="004E635E" w:rsidRPr="004E635E">
        <w:rPr>
          <w:rFonts w:ascii="Trebuchet MS" w:hAnsi="Trebuchet MS"/>
        </w:rPr>
        <w:t xml:space="preserve">με τη διαφορά ως προς το άγχος </w:t>
      </w:r>
      <w:r w:rsidR="001C48F3" w:rsidRPr="004E635E">
        <w:rPr>
          <w:rFonts w:ascii="Trebuchet MS" w:hAnsi="Trebuchet MS"/>
        </w:rPr>
        <w:t xml:space="preserve">για </w:t>
      </w:r>
      <w:r w:rsidR="004E635E" w:rsidRPr="004E635E">
        <w:rPr>
          <w:rFonts w:ascii="Trebuchet MS" w:hAnsi="Trebuchet MS"/>
        </w:rPr>
        <w:t xml:space="preserve">τα </w:t>
      </w:r>
      <w:r w:rsidR="001C48F3" w:rsidRPr="004E635E">
        <w:rPr>
          <w:rFonts w:ascii="Trebuchet MS" w:hAnsi="Trebuchet MS"/>
        </w:rPr>
        <w:t>Μαθηματικά (a),</w:t>
      </w:r>
      <w:r w:rsidR="004E635E" w:rsidRPr="004E635E">
        <w:rPr>
          <w:rFonts w:ascii="Trebuchet MS" w:hAnsi="Trebuchet MS"/>
        </w:rPr>
        <w:t xml:space="preserve"> μεταξύ αγοριών (</w:t>
      </w:r>
      <w:r w:rsidR="004E635E" w:rsidRPr="004E635E">
        <w:rPr>
          <w:rFonts w:ascii="Trebuchet MS" w:hAnsi="Trebuchet MS"/>
          <w:lang w:val="en-US"/>
        </w:rPr>
        <w:t>sex</w:t>
      </w:r>
      <w:r w:rsidR="004E635E" w:rsidRPr="004E635E">
        <w:rPr>
          <w:rFonts w:ascii="Trebuchet MS" w:hAnsi="Trebuchet MS"/>
        </w:rPr>
        <w:t>=0) 1</w:t>
      </w:r>
      <w:r w:rsidR="004E635E" w:rsidRPr="004E635E">
        <w:rPr>
          <w:rFonts w:ascii="Trebuchet MS" w:hAnsi="Trebuchet MS"/>
          <w:vertAlign w:val="superscript"/>
        </w:rPr>
        <w:t>ης</w:t>
      </w:r>
      <w:r w:rsidR="004E635E" w:rsidRPr="004E635E">
        <w:rPr>
          <w:rFonts w:ascii="Trebuchet MS" w:hAnsi="Trebuchet MS"/>
        </w:rPr>
        <w:t xml:space="preserve"> και 3</w:t>
      </w:r>
      <w:r w:rsidR="004E635E" w:rsidRPr="004E635E">
        <w:rPr>
          <w:rFonts w:ascii="Trebuchet MS" w:hAnsi="Trebuchet MS"/>
          <w:vertAlign w:val="superscript"/>
        </w:rPr>
        <w:t>ης</w:t>
      </w:r>
      <w:r w:rsidR="004E635E" w:rsidRPr="004E635E">
        <w:rPr>
          <w:rFonts w:ascii="Trebuchet MS" w:hAnsi="Trebuchet MS"/>
        </w:rPr>
        <w:t xml:space="preserve"> γυμνασίου (</w:t>
      </w:r>
      <w:r w:rsidR="004E635E" w:rsidRPr="004E635E">
        <w:rPr>
          <w:rFonts w:ascii="Trebuchet MS" w:hAnsi="Trebuchet MS"/>
          <w:lang w:val="en-US"/>
        </w:rPr>
        <w:t>class</w:t>
      </w:r>
      <w:r w:rsidR="004E635E" w:rsidRPr="004E635E">
        <w:rPr>
          <w:rFonts w:ascii="Trebuchet MS" w:hAnsi="Trebuchet MS"/>
        </w:rPr>
        <w:t xml:space="preserve">) (υψηλές τιμές της κλίμακας </w:t>
      </w:r>
      <w:r w:rsidR="004E635E" w:rsidRPr="004E635E">
        <w:rPr>
          <w:rFonts w:ascii="Trebuchet MS" w:hAnsi="Trebuchet MS"/>
          <w:lang w:val="en-US"/>
        </w:rPr>
        <w:t>a</w:t>
      </w:r>
      <w:r w:rsidR="004E635E" w:rsidRPr="004E635E">
        <w:rPr>
          <w:rFonts w:ascii="Trebuchet MS" w:hAnsi="Trebuchet MS"/>
        </w:rPr>
        <w:t xml:space="preserve"> αντιστοιχούν σε χαμηλό επίπεδο άγχους)</w:t>
      </w:r>
      <w:r w:rsidR="00BB1A10" w:rsidRPr="004E635E">
        <w:rPr>
          <w:rFonts w:ascii="Trebuchet MS" w:hAnsi="Trebuchet MS"/>
        </w:rPr>
        <w:t>:</w:t>
      </w:r>
    </w:p>
    <w:p w14:paraId="131D1DCC" w14:textId="2D139D1F" w:rsidR="003926DB" w:rsidRDefault="003926DB" w:rsidP="003926DB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440"/>
        <w:jc w:val="both"/>
      </w:pPr>
      <w:r w:rsidRPr="000B663D">
        <w:t xml:space="preserve">α. </w:t>
      </w:r>
      <w:r w:rsidR="008A6D52">
        <w:t>Χειροτερεύουν οι στάσεις των αγοριών από την Α’ στη Γ’ Γυμνασίου, όσον αφορά το άγχος για μαθηματικά και ισχύει η προϋπόθεση της ισότητας των διακυμάνσεων των δύο πληθυσμών</w:t>
      </w:r>
    </w:p>
    <w:p w14:paraId="1D944DF4" w14:textId="4EF73EEE" w:rsidR="008A6D52" w:rsidRDefault="008A6D52" w:rsidP="008A6D5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440"/>
        <w:jc w:val="both"/>
      </w:pPr>
      <w:r>
        <w:t>β</w:t>
      </w:r>
      <w:r w:rsidRPr="000B663D">
        <w:t xml:space="preserve">. </w:t>
      </w:r>
      <w:r>
        <w:t>Βελτιώνονται οι στάσεις των αγοριών από την Α’ στη Γ’ Γυμνασίου, όσον αφορά το άγχος για μαθηματικά και δεν ισχύει η προϋπόθεση της ισότητας των διακυμάνσεων των δύο πληθυσμών</w:t>
      </w:r>
    </w:p>
    <w:p w14:paraId="7E3601D4" w14:textId="561871D0" w:rsidR="008A6D52" w:rsidRDefault="008A6D52" w:rsidP="008A6D5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440"/>
        <w:jc w:val="both"/>
      </w:pPr>
      <w:r>
        <w:t>γ.</w:t>
      </w:r>
      <w:r w:rsidRPr="008A6D52">
        <w:t xml:space="preserve"> </w:t>
      </w:r>
      <w:r>
        <w:t>Χειροτερεύουν οι στάσεις των αγοριών από την Α’ στη Γ’ Γυμνασίου, όσον αφορά το άγχος για μαθηματικά και δεν ισχύει η προϋπόθεση της ισότητας των διακυμάνσεων των δύο πληθυσμών</w:t>
      </w:r>
    </w:p>
    <w:p w14:paraId="7FEE17C2" w14:textId="11E58947" w:rsidR="008A6D52" w:rsidRDefault="008A6D52" w:rsidP="008A6D52">
      <w:pPr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440"/>
        <w:jc w:val="both"/>
      </w:pPr>
      <w:r>
        <w:t>δ</w:t>
      </w:r>
      <w:r w:rsidRPr="000B663D">
        <w:t xml:space="preserve">. </w:t>
      </w:r>
      <w:r>
        <w:t>Βελτιώνονται οι στάσεις των αγοριών από την Α’ στη Γ’ Γυμνασίου, όσον αφορά το άγχος για μαθηματικά και ισχύει η προϋπόθεση της ισότητας των διακυμάνσεων των δύο πληθυσμών</w:t>
      </w:r>
    </w:p>
    <w:p w14:paraId="647F6B07" w14:textId="77777777" w:rsidR="008A6D52" w:rsidRPr="000B663D" w:rsidRDefault="008A6D52" w:rsidP="008A6D52">
      <w:pPr>
        <w:pStyle w:val="a3"/>
        <w:tabs>
          <w:tab w:val="left" w:pos="426"/>
          <w:tab w:val="right" w:pos="6804"/>
          <w:tab w:val="left" w:pos="7230"/>
          <w:tab w:val="left" w:pos="7513"/>
          <w:tab w:val="left" w:pos="7797"/>
          <w:tab w:val="left" w:pos="8080"/>
          <w:tab w:val="left" w:pos="8222"/>
          <w:tab w:val="left" w:pos="8647"/>
        </w:tabs>
        <w:spacing w:after="0" w:line="240" w:lineRule="auto"/>
        <w:ind w:left="1440"/>
        <w:jc w:val="both"/>
      </w:pPr>
    </w:p>
    <w:p w14:paraId="6B5FE22E" w14:textId="556B6AA6" w:rsidR="00867743" w:rsidRPr="003C3335" w:rsidRDefault="0050711F" w:rsidP="003C3335">
      <w:pPr>
        <w:pStyle w:val="a3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(1 </w:t>
      </w:r>
      <w:proofErr w:type="spellStart"/>
      <w:r>
        <w:rPr>
          <w:color w:val="000000" w:themeColor="text1"/>
          <w:sz w:val="24"/>
          <w:szCs w:val="24"/>
        </w:rPr>
        <w:t>μον</w:t>
      </w:r>
      <w:proofErr w:type="spellEnd"/>
      <w:r w:rsidR="00E5547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) </w:t>
      </w:r>
      <w:r w:rsidR="00680227">
        <w:rPr>
          <w:color w:val="000000" w:themeColor="text1"/>
          <w:sz w:val="24"/>
          <w:szCs w:val="24"/>
        </w:rPr>
        <w:t xml:space="preserve">Ο συντελεστής συσχέτισης </w:t>
      </w:r>
      <w:r w:rsidR="00867743" w:rsidRPr="003C3335">
        <w:rPr>
          <w:color w:val="000000" w:themeColor="text1"/>
          <w:sz w:val="24"/>
          <w:szCs w:val="24"/>
          <w:lang w:val="en-US"/>
        </w:rPr>
        <w:t>r</w:t>
      </w:r>
      <w:r w:rsidR="00867743" w:rsidRPr="003C3335">
        <w:rPr>
          <w:color w:val="000000" w:themeColor="text1"/>
          <w:sz w:val="24"/>
          <w:szCs w:val="24"/>
        </w:rPr>
        <w:t xml:space="preserve"> ανάμεσα στις ποσοτικές μεταβλητές «ευ ζην» (</w:t>
      </w:r>
      <w:proofErr w:type="spellStart"/>
      <w:r w:rsidR="00867743" w:rsidRPr="003C3335">
        <w:rPr>
          <w:color w:val="000000" w:themeColor="text1"/>
          <w:sz w:val="24"/>
          <w:szCs w:val="24"/>
        </w:rPr>
        <w:t>well-being</w:t>
      </w:r>
      <w:proofErr w:type="spellEnd"/>
      <w:r w:rsidR="00867743" w:rsidRPr="003C3335">
        <w:rPr>
          <w:color w:val="000000" w:themeColor="text1"/>
          <w:sz w:val="24"/>
          <w:szCs w:val="24"/>
        </w:rPr>
        <w:t>) την «Κοινωνικότητα» (</w:t>
      </w:r>
      <w:r w:rsidR="00867743" w:rsidRPr="003C3335">
        <w:rPr>
          <w:color w:val="000000" w:themeColor="text1"/>
          <w:sz w:val="24"/>
          <w:szCs w:val="24"/>
          <w:lang w:val="en-US"/>
        </w:rPr>
        <w:t>sociability</w:t>
      </w:r>
      <w:r w:rsidR="00867743" w:rsidRPr="003C3335">
        <w:rPr>
          <w:color w:val="000000" w:themeColor="text1"/>
          <w:sz w:val="24"/>
          <w:szCs w:val="24"/>
        </w:rPr>
        <w:t>) κατά «ηλικιακή κατηγορία» από το δείγμα Ν=2700 Ελλήνων της κοινωνικής έρευνας του Εθνικού Κέν</w:t>
      </w:r>
      <w:r w:rsidR="00680227">
        <w:rPr>
          <w:color w:val="000000" w:themeColor="text1"/>
          <w:sz w:val="24"/>
          <w:szCs w:val="24"/>
        </w:rPr>
        <w:t xml:space="preserve">τρου Κοινωνικών Ερευνών (2011) </w:t>
      </w:r>
      <w:r w:rsidR="00867743" w:rsidRPr="003C3335">
        <w:rPr>
          <w:color w:val="000000" w:themeColor="text1"/>
          <w:sz w:val="24"/>
          <w:szCs w:val="24"/>
        </w:rPr>
        <w:t xml:space="preserve">δίνεται στον </w:t>
      </w:r>
      <w:r w:rsidR="00C50473">
        <w:rPr>
          <w:color w:val="000000" w:themeColor="text1"/>
          <w:sz w:val="24"/>
          <w:szCs w:val="24"/>
        </w:rPr>
        <w:t>παρακάτω πίνακα</w:t>
      </w:r>
      <w:r w:rsidR="00867743" w:rsidRPr="003C3335">
        <w:rPr>
          <w:color w:val="000000" w:themeColor="text1"/>
          <w:sz w:val="24"/>
          <w:szCs w:val="24"/>
        </w:rPr>
        <w:t>. (Οι υψηλές τιμές των δύο μεταβλητών εκφράζουν υψηλό επίπεδο «ευζωί</w:t>
      </w:r>
      <w:r w:rsidR="00680227">
        <w:rPr>
          <w:color w:val="000000" w:themeColor="text1"/>
          <w:sz w:val="24"/>
          <w:szCs w:val="24"/>
        </w:rPr>
        <w:t xml:space="preserve">ας»  και υψηλή «κοινωνικότητα» </w:t>
      </w:r>
      <w:r w:rsidR="00867743" w:rsidRPr="003C3335">
        <w:rPr>
          <w:color w:val="000000" w:themeColor="text1"/>
          <w:sz w:val="24"/>
          <w:szCs w:val="24"/>
        </w:rPr>
        <w:t>αντίστοιχα). Αφού εκτελεστεί ο έλεγχος σημαντικότητας της τιμής του συντελεστή συσχέτισης για την ηλικιακή κατηγορία 76+ , να επιλεχτεί η κατάλληλη διατύπωση σχετι</w:t>
      </w:r>
      <w:r>
        <w:rPr>
          <w:color w:val="000000" w:themeColor="text1"/>
          <w:sz w:val="24"/>
          <w:szCs w:val="24"/>
        </w:rPr>
        <w:t>κά με το αποτέλεσμα του ελέγχου;</w:t>
      </w:r>
    </w:p>
    <w:p w14:paraId="5874E49D" w14:textId="77777777" w:rsidR="00867743" w:rsidRPr="00483885" w:rsidRDefault="00867743" w:rsidP="003C3335">
      <w:pPr>
        <w:pStyle w:val="a3"/>
        <w:numPr>
          <w:ilvl w:val="1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3885">
        <w:rPr>
          <w:rFonts w:ascii="Times New Roman" w:hAnsi="Times New Roman"/>
          <w:color w:val="000000" w:themeColor="text1"/>
          <w:sz w:val="24"/>
          <w:szCs w:val="24"/>
        </w:rPr>
        <w:t>Υπάρχει στατιστικά σημαντική συσχέτιση ανάμεσα σε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και το «</w:t>
      </w:r>
      <w:r w:rsidRPr="00483885">
        <w:rPr>
          <w:color w:val="000000" w:themeColor="text1"/>
          <w:sz w:val="24"/>
          <w:szCs w:val="24"/>
        </w:rPr>
        <w:t>ευ ζην» του ηλικιωμένου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. Όσο μεγαλύτερη η κοινωνικότητα του ηλικιωμένου τόσο υψηλότερο το επίπεδο ευζωίας του. Η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εξηγεί το 29,8% της διακύμανσης του «</w:t>
      </w:r>
      <w:r w:rsidRPr="00483885">
        <w:rPr>
          <w:color w:val="000000" w:themeColor="text1"/>
          <w:sz w:val="24"/>
          <w:szCs w:val="24"/>
        </w:rPr>
        <w:t>ευ ζην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14:paraId="17733613" w14:textId="4609D931" w:rsidR="00867743" w:rsidRPr="00483885" w:rsidRDefault="00867743" w:rsidP="003C3335">
      <w:pPr>
        <w:pStyle w:val="a3"/>
        <w:numPr>
          <w:ilvl w:val="1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3885">
        <w:rPr>
          <w:rFonts w:ascii="Times New Roman" w:hAnsi="Times New Roman"/>
          <w:color w:val="000000" w:themeColor="text1"/>
          <w:sz w:val="24"/>
          <w:szCs w:val="24"/>
        </w:rPr>
        <w:t>Υπάρχει στατιστικά σημαντική συσχέτιση ανάμεσα σε «</w:t>
      </w:r>
      <w:r w:rsidR="003D6CE0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και το «</w:t>
      </w:r>
      <w:r w:rsidRPr="00483885">
        <w:rPr>
          <w:color w:val="000000" w:themeColor="text1"/>
          <w:sz w:val="24"/>
          <w:szCs w:val="24"/>
        </w:rPr>
        <w:t>ευ ζην» του ηλικιωμένου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. Όσο μεγαλύτερη η κοινωνικότητα του ηλικιωμένου τόσο υψηλότερο το επίπεδο ευζωίας του. Η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εξηγεί το 9% περίπου της διακύμανσης του «</w:t>
      </w:r>
      <w:r w:rsidRPr="00483885">
        <w:rPr>
          <w:color w:val="000000" w:themeColor="text1"/>
          <w:sz w:val="24"/>
          <w:szCs w:val="24"/>
        </w:rPr>
        <w:t>ευ ζην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39EE44FA" w14:textId="77777777" w:rsidR="00867743" w:rsidRPr="00483885" w:rsidRDefault="00867743" w:rsidP="003C3335">
      <w:pPr>
        <w:pStyle w:val="a3"/>
        <w:numPr>
          <w:ilvl w:val="1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3885">
        <w:rPr>
          <w:rFonts w:ascii="Times New Roman" w:hAnsi="Times New Roman"/>
          <w:color w:val="000000" w:themeColor="text1"/>
          <w:sz w:val="24"/>
          <w:szCs w:val="24"/>
        </w:rPr>
        <w:t>Υπάρχει στατιστικά σημαντική συσχέτιση ανάμεσα σε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και το «</w:t>
      </w:r>
      <w:r w:rsidRPr="00483885">
        <w:rPr>
          <w:color w:val="000000" w:themeColor="text1"/>
          <w:sz w:val="24"/>
          <w:szCs w:val="24"/>
        </w:rPr>
        <w:t>ευ ζην» του ηλικιωμένου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. Όσο μεγαλύτερη η κοινωνικότητα του ηλικιωμένου τόσο χαμηλότερο το επίπεδο ευζωίας του. Η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εξηγεί το 29,8% της διακύμανσης του «</w:t>
      </w:r>
      <w:r w:rsidRPr="00483885">
        <w:rPr>
          <w:color w:val="000000" w:themeColor="text1"/>
          <w:sz w:val="24"/>
          <w:szCs w:val="24"/>
        </w:rPr>
        <w:t>ευ ζην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14:paraId="04D90F01" w14:textId="77777777" w:rsidR="00867743" w:rsidRPr="00483885" w:rsidRDefault="00867743" w:rsidP="003C3335">
      <w:pPr>
        <w:pStyle w:val="a3"/>
        <w:numPr>
          <w:ilvl w:val="1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3885">
        <w:rPr>
          <w:rFonts w:ascii="Times New Roman" w:hAnsi="Times New Roman"/>
          <w:color w:val="000000" w:themeColor="text1"/>
          <w:sz w:val="24"/>
          <w:szCs w:val="24"/>
        </w:rPr>
        <w:t>Δεν βρέθηκε σημαντική συσχέτιση ανάμεσα σε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το  «</w:t>
      </w:r>
      <w:r w:rsidRPr="00483885">
        <w:rPr>
          <w:color w:val="000000" w:themeColor="text1"/>
          <w:sz w:val="24"/>
          <w:szCs w:val="24"/>
        </w:rPr>
        <w:t>ευ ζην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του ηλικιωμένου.</w:t>
      </w:r>
    </w:p>
    <w:p w14:paraId="16214739" w14:textId="298518BC" w:rsidR="00867743" w:rsidRPr="00483885" w:rsidRDefault="00867743" w:rsidP="003C3335">
      <w:pPr>
        <w:pStyle w:val="a3"/>
        <w:numPr>
          <w:ilvl w:val="1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83885">
        <w:rPr>
          <w:rFonts w:ascii="Times New Roman" w:hAnsi="Times New Roman"/>
          <w:color w:val="000000" w:themeColor="text1"/>
          <w:sz w:val="24"/>
          <w:szCs w:val="24"/>
        </w:rPr>
        <w:t>Υπάρχει στατιστικά σημαντική συσχέτιση ανάμεσα σε «</w:t>
      </w:r>
      <w:r w:rsidR="00786296"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και «</w:t>
      </w:r>
      <w:r w:rsidRPr="00483885">
        <w:rPr>
          <w:color w:val="000000" w:themeColor="text1"/>
          <w:sz w:val="24"/>
          <w:szCs w:val="24"/>
        </w:rPr>
        <w:t>ευ ζην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του ηλικιωμένου. Όσο μεγαλύτερη η υψηλότερη η κοινωνικότητα  του ηλικιωμένου τόσο χαμηλότερο το επίπεδο της ευζωία του.  Η «</w:t>
      </w:r>
      <w:r w:rsidRPr="00483885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Κοινωνικότητα</w:t>
      </w:r>
      <w:r w:rsidRPr="00483885">
        <w:rPr>
          <w:rFonts w:ascii="Times New Roman" w:hAnsi="Times New Roman"/>
          <w:color w:val="000000" w:themeColor="text1"/>
          <w:sz w:val="24"/>
          <w:szCs w:val="24"/>
        </w:rPr>
        <w:t>» εξηγεί το 9% περίπου της διακύμανσης των «ευ ζην»</w:t>
      </w:r>
    </w:p>
    <w:p w14:paraId="047C96E3" w14:textId="6465DF59" w:rsidR="00867743" w:rsidRPr="008C2C11" w:rsidRDefault="00867743" w:rsidP="00C504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B53498" w14:textId="77777777" w:rsidR="00867743" w:rsidRPr="00483885" w:rsidRDefault="00867743" w:rsidP="00867743">
      <w:pPr>
        <w:pStyle w:val="a3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483885">
        <w:rPr>
          <w:noProof/>
          <w:color w:val="000000" w:themeColor="text1"/>
          <w:lang w:eastAsia="el-GR"/>
        </w:rPr>
        <w:lastRenderedPageBreak/>
        <w:drawing>
          <wp:inline distT="0" distB="0" distL="0" distR="0" wp14:anchorId="78C5E0A0" wp14:editId="5A4762CB">
            <wp:extent cx="3319120" cy="266700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32" cy="268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F728D" w14:textId="77777777" w:rsidR="006858FB" w:rsidRPr="00766DDB" w:rsidRDefault="006858FB" w:rsidP="00203457">
      <w:pPr>
        <w:jc w:val="both"/>
        <w:rPr>
          <w:rFonts w:ascii="Trebuchet MS" w:hAnsi="Trebuchet MS"/>
        </w:rPr>
      </w:pPr>
    </w:p>
    <w:p w14:paraId="69CA6210" w14:textId="59215D2D" w:rsidR="00986E25" w:rsidRDefault="00986E25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70005C17" w14:textId="14E74942" w:rsidR="00D65EF2" w:rsidRPr="003C3335" w:rsidRDefault="0050711F" w:rsidP="003C3335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lastRenderedPageBreak/>
        <w:t>(1,5 μον</w:t>
      </w:r>
      <w:r w:rsidR="00E55473">
        <w:rPr>
          <w:rFonts w:ascii="Times New Roman" w:hAnsi="Times New Roman"/>
          <w:bCs/>
          <w:noProof/>
          <w:lang w:eastAsia="el-GR"/>
        </w:rPr>
        <w:t>.</w:t>
      </w:r>
      <w:r>
        <w:rPr>
          <w:rFonts w:ascii="Times New Roman" w:hAnsi="Times New Roman"/>
          <w:bCs/>
          <w:noProof/>
          <w:lang w:eastAsia="el-GR"/>
        </w:rPr>
        <w:t>)</w:t>
      </w:r>
      <w:r w:rsidR="002F7C86" w:rsidRPr="003C3335">
        <w:rPr>
          <w:rFonts w:ascii="Times New Roman" w:hAnsi="Times New Roman"/>
          <w:bCs/>
          <w:noProof/>
          <w:lang w:eastAsia="el-GR"/>
        </w:rPr>
        <w:t xml:space="preserve"> </w:t>
      </w:r>
      <w:r w:rsidR="00591C92" w:rsidRPr="003C3335">
        <w:rPr>
          <w:rFonts w:ascii="Times New Roman" w:hAnsi="Times New Roman"/>
          <w:bCs/>
          <w:noProof/>
          <w:lang w:eastAsia="el-GR"/>
        </w:rPr>
        <w:t>Να χρησιμοποιηθούν κατάλληλα οι παρακάτω πίνακες και γραφήματα</w:t>
      </w:r>
      <w:r w:rsidR="00C50473">
        <w:rPr>
          <w:rFonts w:ascii="Times New Roman" w:hAnsi="Times New Roman"/>
          <w:bCs/>
          <w:noProof/>
          <w:lang w:eastAsia="el-GR"/>
        </w:rPr>
        <w:t xml:space="preserve"> (1 έως 5</w:t>
      </w:r>
      <w:r w:rsidR="0026212E" w:rsidRPr="003C3335">
        <w:rPr>
          <w:rFonts w:ascii="Times New Roman" w:hAnsi="Times New Roman"/>
          <w:bCs/>
          <w:noProof/>
          <w:lang w:eastAsia="el-GR"/>
        </w:rPr>
        <w:t>)</w:t>
      </w:r>
      <w:r w:rsidR="00591C92" w:rsidRPr="003C3335">
        <w:rPr>
          <w:rFonts w:ascii="Times New Roman" w:hAnsi="Times New Roman"/>
          <w:bCs/>
          <w:noProof/>
          <w:lang w:eastAsia="el-GR"/>
        </w:rPr>
        <w:t xml:space="preserve"> </w:t>
      </w:r>
      <w:r w:rsidR="000724CB" w:rsidRPr="003C3335">
        <w:rPr>
          <w:rFonts w:ascii="Times New Roman" w:hAnsi="Times New Roman"/>
          <w:bCs/>
          <w:noProof/>
          <w:lang w:eastAsia="el-GR"/>
        </w:rPr>
        <w:t>προκειμένου να διερευνηθούν</w:t>
      </w:r>
      <w:r w:rsidR="00591C92" w:rsidRPr="003C3335">
        <w:rPr>
          <w:rFonts w:ascii="Times New Roman" w:hAnsi="Times New Roman"/>
          <w:bCs/>
          <w:noProof/>
          <w:lang w:eastAsia="el-GR"/>
        </w:rPr>
        <w:t xml:space="preserve"> η επίδραση του φύλου και της επίδοσης (</w:t>
      </w:r>
      <w:r w:rsidR="00591C92" w:rsidRPr="003C3335">
        <w:rPr>
          <w:rFonts w:ascii="Times New Roman" w:hAnsi="Times New Roman"/>
          <w:bCs/>
          <w:noProof/>
          <w:lang w:val="en-US" w:eastAsia="el-GR"/>
        </w:rPr>
        <w:t>grade</w:t>
      </w:r>
      <w:r w:rsidR="00680227">
        <w:rPr>
          <w:rFonts w:ascii="Times New Roman" w:hAnsi="Times New Roman"/>
          <w:bCs/>
          <w:noProof/>
          <w:lang w:eastAsia="el-GR"/>
        </w:rPr>
        <w:t xml:space="preserve">3: χαμηλή, μεσαία, </w:t>
      </w:r>
      <w:r w:rsidR="00591C92" w:rsidRPr="003C3335">
        <w:rPr>
          <w:rFonts w:ascii="Times New Roman" w:hAnsi="Times New Roman"/>
          <w:bCs/>
          <w:noProof/>
          <w:lang w:eastAsia="el-GR"/>
        </w:rPr>
        <w:t>υψηλή)</w:t>
      </w:r>
      <w:r w:rsidR="00680227">
        <w:rPr>
          <w:rFonts w:ascii="Times New Roman" w:hAnsi="Times New Roman"/>
          <w:bCs/>
          <w:noProof/>
          <w:lang w:eastAsia="el-GR"/>
        </w:rPr>
        <w:t xml:space="preserve"> καθώς και </w:t>
      </w:r>
      <w:r w:rsidR="0026212E" w:rsidRPr="003C3335">
        <w:rPr>
          <w:rFonts w:ascii="Times New Roman" w:hAnsi="Times New Roman"/>
          <w:bCs/>
          <w:noProof/>
          <w:lang w:eastAsia="el-GR"/>
        </w:rPr>
        <w:t xml:space="preserve">αλληλεπίδρασή </w:t>
      </w:r>
      <w:r w:rsidR="00680227">
        <w:rPr>
          <w:rFonts w:ascii="Times New Roman" w:hAnsi="Times New Roman"/>
          <w:bCs/>
          <w:noProof/>
          <w:lang w:eastAsia="el-GR"/>
        </w:rPr>
        <w:t xml:space="preserve">τους </w:t>
      </w:r>
      <w:r w:rsidR="00591C92" w:rsidRPr="003C3335">
        <w:rPr>
          <w:rFonts w:ascii="Times New Roman" w:hAnsi="Times New Roman"/>
          <w:bCs/>
          <w:noProof/>
          <w:lang w:eastAsia="el-GR"/>
        </w:rPr>
        <w:t xml:space="preserve">επί </w:t>
      </w:r>
      <w:r w:rsidR="00680227">
        <w:rPr>
          <w:rFonts w:ascii="Times New Roman" w:hAnsi="Times New Roman"/>
          <w:bCs/>
          <w:noProof/>
          <w:lang w:eastAsia="el-GR"/>
        </w:rPr>
        <w:t xml:space="preserve">της </w:t>
      </w:r>
      <w:r w:rsidR="00591C92" w:rsidRPr="003C3335">
        <w:rPr>
          <w:rFonts w:ascii="Times New Roman" w:hAnsi="Times New Roman"/>
          <w:bCs/>
          <w:noProof/>
          <w:lang w:eastAsia="el-GR"/>
        </w:rPr>
        <w:t>αυτοεκτίμησης μαθητών 11-12 ετών</w:t>
      </w:r>
      <w:r w:rsidR="00EF301F" w:rsidRPr="003C3335">
        <w:rPr>
          <w:rFonts w:ascii="Times New Roman" w:hAnsi="Times New Roman"/>
          <w:bCs/>
          <w:noProof/>
          <w:lang w:eastAsia="el-GR"/>
        </w:rPr>
        <w:t>. Να απαντηθ</w:t>
      </w:r>
      <w:r w:rsidR="00680227">
        <w:rPr>
          <w:rFonts w:ascii="Times New Roman" w:hAnsi="Times New Roman"/>
          <w:bCs/>
          <w:noProof/>
          <w:lang w:eastAsia="el-GR"/>
        </w:rPr>
        <w:t xml:space="preserve">ούν </w:t>
      </w:r>
      <w:r w:rsidR="00591C92" w:rsidRPr="003C3335">
        <w:rPr>
          <w:rFonts w:ascii="Times New Roman" w:hAnsi="Times New Roman"/>
          <w:bCs/>
          <w:noProof/>
          <w:lang w:eastAsia="el-GR"/>
        </w:rPr>
        <w:t>τα παρακάτω:</w:t>
      </w:r>
    </w:p>
    <w:p w14:paraId="0D0BD506" w14:textId="51D67926" w:rsidR="00EF301F" w:rsidRDefault="00680227" w:rsidP="003C3335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t xml:space="preserve">Σύμφωνα με τον πίνακα </w:t>
      </w:r>
      <w:r w:rsidR="00F80FD8" w:rsidRPr="00F80FD8">
        <w:rPr>
          <w:rFonts w:ascii="Times New Roman" w:hAnsi="Times New Roman"/>
          <w:bCs/>
          <w:noProof/>
          <w:lang w:eastAsia="el-GR"/>
        </w:rPr>
        <w:t>1</w:t>
      </w:r>
      <w:r w:rsidR="00591C92">
        <w:rPr>
          <w:rFonts w:ascii="Times New Roman" w:hAnsi="Times New Roman"/>
          <w:bCs/>
          <w:noProof/>
          <w:lang w:eastAsia="el-GR"/>
        </w:rPr>
        <w:t xml:space="preserve"> η ισότητα των διακυμάνσεων σε κάθε συνδ</w:t>
      </w:r>
      <w:r>
        <w:rPr>
          <w:rFonts w:ascii="Times New Roman" w:hAnsi="Times New Roman"/>
          <w:bCs/>
          <w:noProof/>
          <w:lang w:eastAsia="el-GR"/>
        </w:rPr>
        <w:t>υ</w:t>
      </w:r>
      <w:r w:rsidR="00591C92">
        <w:rPr>
          <w:rFonts w:ascii="Times New Roman" w:hAnsi="Times New Roman"/>
          <w:bCs/>
          <w:noProof/>
          <w:lang w:eastAsia="el-GR"/>
        </w:rPr>
        <w:t>αστική ομάδα φύλου-επίδοσης</w:t>
      </w:r>
      <w:r w:rsidR="00EF301F">
        <w:rPr>
          <w:rFonts w:ascii="Times New Roman" w:hAnsi="Times New Roman"/>
          <w:bCs/>
          <w:noProof/>
          <w:lang w:eastAsia="el-GR"/>
        </w:rPr>
        <w:t xml:space="preserve"> (6 ομάδες)</w:t>
      </w:r>
      <w:r>
        <w:rPr>
          <w:rFonts w:ascii="Times New Roman" w:hAnsi="Times New Roman"/>
          <w:bCs/>
          <w:noProof/>
          <w:lang w:eastAsia="el-GR"/>
        </w:rPr>
        <w:t xml:space="preserve"> </w:t>
      </w:r>
      <w:r w:rsidR="00EF301F">
        <w:rPr>
          <w:rFonts w:ascii="Times New Roman" w:hAnsi="Times New Roman"/>
          <w:bCs/>
          <w:noProof/>
          <w:lang w:eastAsia="el-GR"/>
        </w:rPr>
        <w:t>απορρίπτεται;</w:t>
      </w:r>
    </w:p>
    <w:p w14:paraId="1ECBCCCA" w14:textId="2BF275A1" w:rsidR="00EF301F" w:rsidRDefault="00EF301F" w:rsidP="003C3335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t>Από τον πίνακα 2 ποιο είναι το συμπέρασμά σας σχετικά με την αλληλεπίδραση φύλου και επίδοσης (τεκμηριώστε)</w:t>
      </w:r>
    </w:p>
    <w:p w14:paraId="1EFD8E8F" w14:textId="23D60D2A" w:rsidR="00EF301F" w:rsidRDefault="00EF301F" w:rsidP="003C3335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t xml:space="preserve">Μελετώντας το γράφημα 3 ανεξάρτητα από το αποτέλεσμα του </w:t>
      </w:r>
      <w:r>
        <w:rPr>
          <w:rFonts w:ascii="Times New Roman" w:hAnsi="Times New Roman"/>
          <w:bCs/>
          <w:noProof/>
          <w:lang w:val="en-US" w:eastAsia="el-GR"/>
        </w:rPr>
        <w:t>b</w:t>
      </w:r>
      <w:r w:rsidR="00AD494F" w:rsidRPr="00AD494F">
        <w:rPr>
          <w:rFonts w:ascii="Times New Roman" w:hAnsi="Times New Roman"/>
          <w:bCs/>
          <w:noProof/>
          <w:lang w:eastAsia="el-GR"/>
        </w:rPr>
        <w:t xml:space="preserve">) </w:t>
      </w:r>
      <w:r w:rsidR="00AD494F">
        <w:rPr>
          <w:rFonts w:ascii="Times New Roman" w:hAnsi="Times New Roman"/>
          <w:bCs/>
          <w:noProof/>
          <w:lang w:eastAsia="el-GR"/>
        </w:rPr>
        <w:t>ποιο είναι τ</w:t>
      </w:r>
      <w:r w:rsidR="00680227">
        <w:rPr>
          <w:rFonts w:ascii="Times New Roman" w:hAnsi="Times New Roman"/>
          <w:bCs/>
          <w:noProof/>
          <w:lang w:eastAsia="el-GR"/>
        </w:rPr>
        <w:t xml:space="preserve">ο συμπέρασμά σας σχετικά με την </w:t>
      </w:r>
      <w:r w:rsidR="00AD494F">
        <w:rPr>
          <w:rFonts w:ascii="Times New Roman" w:hAnsi="Times New Roman"/>
          <w:bCs/>
          <w:noProof/>
          <w:lang w:eastAsia="el-GR"/>
        </w:rPr>
        <w:t>αλληλεπίδραση φύλου και επίδοσης; (πχ. εξηγήστε πως φαίνεται να επιδρά η επίδοση στην αυτοεκτίμηση για κάθε φύλο ξεχωριστά)</w:t>
      </w:r>
    </w:p>
    <w:p w14:paraId="2C3FEDE8" w14:textId="23D651A8" w:rsidR="00AD494F" w:rsidRDefault="00AD494F" w:rsidP="003C3335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t xml:space="preserve">Αν αλληλεπίδραση φύλου και επίδοσης βρέθηκε σημαντική χρησιμοποιήστε </w:t>
      </w:r>
      <w:r w:rsidR="003A04B1">
        <w:rPr>
          <w:rFonts w:ascii="Times New Roman" w:hAnsi="Times New Roman"/>
          <w:bCs/>
          <w:noProof/>
          <w:lang w:eastAsia="el-GR"/>
        </w:rPr>
        <w:t>τους</w:t>
      </w:r>
      <w:r w:rsidR="00E67826">
        <w:rPr>
          <w:rFonts w:ascii="Times New Roman" w:hAnsi="Times New Roman"/>
          <w:bCs/>
          <w:noProof/>
          <w:lang w:eastAsia="el-GR"/>
        </w:rPr>
        <w:t xml:space="preserve"> ελέγχους που δίνονται στους πίνακες 4 και</w:t>
      </w:r>
      <w:r w:rsidR="00C50473">
        <w:rPr>
          <w:rFonts w:ascii="Times New Roman" w:hAnsi="Times New Roman"/>
          <w:bCs/>
          <w:noProof/>
          <w:lang w:eastAsia="el-GR"/>
        </w:rPr>
        <w:t xml:space="preserve"> </w:t>
      </w:r>
      <w:r w:rsidR="00E67826">
        <w:rPr>
          <w:rFonts w:ascii="Times New Roman" w:hAnsi="Times New Roman"/>
          <w:bCs/>
          <w:noProof/>
          <w:lang w:eastAsia="el-GR"/>
        </w:rPr>
        <w:t xml:space="preserve">5 για να την </w:t>
      </w:r>
      <w:r w:rsidR="0026212E">
        <w:rPr>
          <w:rFonts w:ascii="Times New Roman" w:hAnsi="Times New Roman"/>
          <w:bCs/>
          <w:noProof/>
          <w:lang w:eastAsia="el-GR"/>
        </w:rPr>
        <w:t>διερευνήσετε.</w:t>
      </w:r>
      <w:r w:rsidR="003A04B1">
        <w:rPr>
          <w:rFonts w:ascii="Times New Roman" w:hAnsi="Times New Roman"/>
          <w:bCs/>
          <w:noProof/>
          <w:lang w:eastAsia="el-GR"/>
        </w:rPr>
        <w:t xml:space="preserve"> Γράψτε μια σύντομη αναφορά. </w:t>
      </w:r>
    </w:p>
    <w:p w14:paraId="590873A1" w14:textId="0184FC77" w:rsidR="0026212E" w:rsidRPr="00EF301F" w:rsidRDefault="0026212E" w:rsidP="003C3335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t>Τι μπορεί να ει</w:t>
      </w:r>
      <w:r w:rsidR="00965CB2">
        <w:rPr>
          <w:rFonts w:ascii="Times New Roman" w:hAnsi="Times New Roman"/>
          <w:bCs/>
          <w:noProof/>
          <w:lang w:eastAsia="el-GR"/>
        </w:rPr>
        <w:t>πωθεί για την κύριες επιδράσεις φύλου και επίδοσης;</w:t>
      </w:r>
    </w:p>
    <w:p w14:paraId="4332AB11" w14:textId="649F86EE" w:rsidR="00591C92" w:rsidRPr="002F7C86" w:rsidRDefault="00591C92" w:rsidP="00591C92">
      <w:pPr>
        <w:pStyle w:val="a3"/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ind w:left="1440"/>
        <w:jc w:val="both"/>
        <w:rPr>
          <w:rFonts w:ascii="Times New Roman" w:hAnsi="Times New Roman"/>
          <w:bCs/>
          <w:noProof/>
          <w:lang w:eastAsia="el-GR"/>
        </w:rPr>
      </w:pPr>
    </w:p>
    <w:p w14:paraId="0ADAE390" w14:textId="16904524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</w:p>
    <w:p w14:paraId="37B9359E" w14:textId="72B2AF1B" w:rsidR="002F7C86" w:rsidRPr="000724CB" w:rsidRDefault="00591C92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  <w:r>
        <w:rPr>
          <w:rFonts w:ascii="Times New Roman" w:hAnsi="Times New Roman"/>
          <w:bCs/>
          <w:noProof/>
          <w:lang w:eastAsia="el-GR"/>
        </w:rPr>
        <w:t xml:space="preserve">Πίνακας 1 </w:t>
      </w:r>
      <w:r w:rsidR="000724CB">
        <w:rPr>
          <w:rFonts w:ascii="Times New Roman" w:hAnsi="Times New Roman"/>
          <w:bCs/>
          <w:noProof/>
          <w:lang w:eastAsia="el-GR"/>
        </w:rPr>
        <w:t xml:space="preserve">έλεγχος της ισότητας των διακυμάσεων στις 6 ομάδες φύλου </w:t>
      </w:r>
      <w:r w:rsidR="000724CB">
        <w:rPr>
          <w:rFonts w:ascii="Times New Roman" w:hAnsi="Times New Roman"/>
          <w:bCs/>
          <w:noProof/>
          <w:lang w:val="en-US" w:eastAsia="el-GR"/>
        </w:rPr>
        <w:t>x</w:t>
      </w:r>
      <w:r w:rsidR="000724CB">
        <w:rPr>
          <w:rFonts w:ascii="Times New Roman" w:hAnsi="Times New Roman"/>
          <w:bCs/>
          <w:noProof/>
          <w:lang w:eastAsia="el-GR"/>
        </w:rPr>
        <w:t xml:space="preserve"> επίδοσης</w:t>
      </w:r>
    </w:p>
    <w:p w14:paraId="121ED01D" w14:textId="4322A946" w:rsidR="002F7C86" w:rsidRDefault="002F7C86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el-GR"/>
        </w:rPr>
        <w:drawing>
          <wp:inline distT="0" distB="0" distL="0" distR="0" wp14:anchorId="23C4B9E0" wp14:editId="4D1B78E0">
            <wp:extent cx="2619375" cy="18764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FB94C" w14:textId="77777777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F015299" w14:textId="4671612A" w:rsidR="00986E25" w:rsidRDefault="00EF301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Πίνακας 2</w:t>
      </w:r>
      <w:r w:rsidR="00C50473">
        <w:rPr>
          <w:rFonts w:ascii="Times New Roman" w:hAnsi="Times New Roman"/>
          <w:bCs/>
        </w:rPr>
        <w:t xml:space="preserve">. </w:t>
      </w:r>
      <w:r w:rsidR="000724CB">
        <w:rPr>
          <w:rFonts w:ascii="Times New Roman" w:hAnsi="Times New Roman"/>
          <w:bCs/>
        </w:rPr>
        <w:t xml:space="preserve"> Γενικός έλεγχος Ανάλυσης διακύμανσης με 2 παράγοντες </w:t>
      </w:r>
    </w:p>
    <w:p w14:paraId="65CF52B0" w14:textId="3183EB41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el-GR"/>
        </w:rPr>
        <w:drawing>
          <wp:inline distT="0" distB="0" distL="0" distR="0" wp14:anchorId="75D92C2D" wp14:editId="3EC58331">
            <wp:extent cx="4953000" cy="2279692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030" cy="2281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4E1A0" w14:textId="63B075C3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03A2B45A" w14:textId="13ED9380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1C404ED3" w14:textId="6A1CA667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6828AEA2" w14:textId="7BC0684C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1F6E1795" w14:textId="5D8B7F3A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4B9CB494" w14:textId="77777777" w:rsidR="00AD494F" w:rsidRP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2A4EB0F2" w14:textId="27952B2C" w:rsidR="00986E25" w:rsidRDefault="00986E25" w:rsidP="00AD494F">
      <w:pP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20A60B22" w14:textId="760B5462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  <w:noProof/>
          <w:lang w:eastAsia="el-GR"/>
        </w:rPr>
      </w:pPr>
    </w:p>
    <w:p w14:paraId="2BB121BF" w14:textId="47283A04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Γράφημα </w:t>
      </w:r>
      <w:r w:rsidR="00C5047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</w:t>
      </w:r>
      <w:r w:rsidR="00C50473">
        <w:rPr>
          <w:rFonts w:ascii="Times New Roman" w:hAnsi="Times New Roman"/>
          <w:bCs/>
        </w:rPr>
        <w:t>.</w:t>
      </w:r>
      <w:r w:rsidR="00365911">
        <w:rPr>
          <w:rFonts w:ascii="Times New Roman" w:hAnsi="Times New Roman"/>
          <w:bCs/>
        </w:rPr>
        <w:t xml:space="preserve"> Μέσες τιμές αυτοεκτίμησης κατά φύλο και κατηγορία </w:t>
      </w:r>
      <w:r w:rsidR="003D6CE0">
        <w:rPr>
          <w:rFonts w:ascii="Times New Roman" w:hAnsi="Times New Roman"/>
          <w:bCs/>
        </w:rPr>
        <w:t>βαθμού</w:t>
      </w:r>
    </w:p>
    <w:p w14:paraId="36F84A20" w14:textId="4FDDB525" w:rsidR="00986E25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el-GR"/>
        </w:rPr>
        <w:drawing>
          <wp:inline distT="0" distB="0" distL="0" distR="0" wp14:anchorId="077B2D8D" wp14:editId="1B8F3D49">
            <wp:extent cx="4105275" cy="3289440"/>
            <wp:effectExtent l="0" t="0" r="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34" cy="3301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8308E" w14:textId="2BCB82D1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57E291F3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41A975F1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2FADD27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51E3A142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4B721154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5EA1005F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26196447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2331A37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1E93C353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464B2EF3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522E49FF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D9B14B6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6FF3301" w14:textId="77777777" w:rsidR="00496E49" w:rsidRDefault="00496E49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9664D7D" w14:textId="66A409DB" w:rsidR="00986E25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Πίνα</w:t>
      </w:r>
      <w:r w:rsidR="00C50473">
        <w:rPr>
          <w:rFonts w:ascii="Times New Roman" w:hAnsi="Times New Roman"/>
          <w:bCs/>
        </w:rPr>
        <w:t xml:space="preserve">κας </w:t>
      </w:r>
      <w:r>
        <w:rPr>
          <w:rFonts w:ascii="Times New Roman" w:hAnsi="Times New Roman"/>
          <w:bCs/>
        </w:rPr>
        <w:t>4</w:t>
      </w:r>
      <w:r w:rsidR="00C5047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496E49">
        <w:rPr>
          <w:rFonts w:ascii="Times New Roman" w:hAnsi="Times New Roman"/>
          <w:bCs/>
        </w:rPr>
        <w:t xml:space="preserve">Ανάλυση διακύμανσης με ένα παράγοντα για την επίδραση της επίδοσης επί της αυτοεκτίμησης των μαθητών, για κάθε φύλο ξεχωριστά. </w:t>
      </w:r>
    </w:p>
    <w:p w14:paraId="24DEC1B0" w14:textId="5F8AB08D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307A2331" w14:textId="5C088F7A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el-GR"/>
        </w:rPr>
        <w:drawing>
          <wp:inline distT="0" distB="0" distL="0" distR="0" wp14:anchorId="46CEAC29" wp14:editId="68DC08E1">
            <wp:extent cx="4705350" cy="26148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914" cy="261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518E8" w14:textId="5A495119" w:rsidR="00AD494F" w:rsidRDefault="00AD494F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49B91D99" w14:textId="6597C56D" w:rsidR="00AD494F" w:rsidRDefault="00C50473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Πίνακας </w:t>
      </w:r>
      <w:r w:rsidR="00AD494F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</w:t>
      </w:r>
      <w:r w:rsidR="00496E49">
        <w:rPr>
          <w:rFonts w:ascii="Times New Roman" w:hAnsi="Times New Roman"/>
          <w:bCs/>
        </w:rPr>
        <w:t xml:space="preserve"> Συγκρίσεις μέσων τιμών αυτοεκτίμησης μεταξύ των επιπέδων επίδοσης για διερεύνηση των αποτελεσμάτων της </w:t>
      </w:r>
      <w:r w:rsidR="00496E49">
        <w:rPr>
          <w:rFonts w:ascii="Times New Roman" w:hAnsi="Times New Roman"/>
          <w:bCs/>
          <w:lang w:val="en-US"/>
        </w:rPr>
        <w:t>ANOVA</w:t>
      </w:r>
      <w:r w:rsidR="00496E49" w:rsidRPr="00496E49">
        <w:rPr>
          <w:rFonts w:ascii="Times New Roman" w:hAnsi="Times New Roman"/>
          <w:bCs/>
        </w:rPr>
        <w:t xml:space="preserve"> </w:t>
      </w:r>
      <w:r w:rsidR="00365911">
        <w:rPr>
          <w:rFonts w:ascii="Times New Roman" w:hAnsi="Times New Roman"/>
          <w:bCs/>
        </w:rPr>
        <w:t xml:space="preserve">του πίνακα </w:t>
      </w:r>
      <w:r w:rsidR="00496E49">
        <w:rPr>
          <w:rFonts w:ascii="Times New Roman" w:hAnsi="Times New Roman"/>
          <w:bCs/>
        </w:rPr>
        <w:t xml:space="preserve">4 </w:t>
      </w:r>
    </w:p>
    <w:p w14:paraId="7B158C2F" w14:textId="6863B45F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el-GR"/>
        </w:rPr>
        <w:drawing>
          <wp:inline distT="0" distB="0" distL="0" distR="0" wp14:anchorId="2DE1A8E5" wp14:editId="34497E25">
            <wp:extent cx="6000750" cy="3048351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63" cy="3055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CFFEA" w14:textId="5854BD8B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7DBADB34" w14:textId="04785B39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18503A9A" w14:textId="58E4F5D1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62B744E4" w14:textId="2BDAC33C" w:rsidR="00986E25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02809790" w14:textId="77777777" w:rsidR="00986E25" w:rsidRPr="00766DDB" w:rsidRDefault="00986E25" w:rsidP="00766DDB">
      <w:pPr>
        <w:pBdr>
          <w:bottom w:val="single" w:sz="4" w:space="1" w:color="auto"/>
        </w:pBdr>
        <w:tabs>
          <w:tab w:val="left" w:pos="567"/>
          <w:tab w:val="left" w:pos="851"/>
          <w:tab w:val="left" w:pos="1276"/>
          <w:tab w:val="left" w:pos="8222"/>
          <w:tab w:val="left" w:pos="8647"/>
        </w:tabs>
        <w:spacing w:before="60" w:after="120"/>
        <w:jc w:val="both"/>
        <w:rPr>
          <w:rFonts w:ascii="Times New Roman" w:hAnsi="Times New Roman"/>
          <w:bCs/>
        </w:rPr>
      </w:pPr>
    </w:p>
    <w:p w14:paraId="1420EDA9" w14:textId="77777777" w:rsidR="00C6540C" w:rsidRDefault="00C6540C"/>
    <w:sectPr w:rsidR="00C65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342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F00"/>
    <w:multiLevelType w:val="hybridMultilevel"/>
    <w:tmpl w:val="8968CEB6"/>
    <w:lvl w:ilvl="0" w:tplc="E5E8A9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E48C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EDB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30C"/>
    <w:multiLevelType w:val="hybridMultilevel"/>
    <w:tmpl w:val="CB82F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720D2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388B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47A7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071EF"/>
    <w:multiLevelType w:val="hybridMultilevel"/>
    <w:tmpl w:val="991C7032"/>
    <w:lvl w:ilvl="0" w:tplc="56D81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5355F"/>
    <w:multiLevelType w:val="hybridMultilevel"/>
    <w:tmpl w:val="1A74199C"/>
    <w:lvl w:ilvl="0" w:tplc="D1D438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47080"/>
    <w:multiLevelType w:val="hybridMultilevel"/>
    <w:tmpl w:val="07F4794A"/>
    <w:lvl w:ilvl="0" w:tplc="48520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6283B1C">
      <w:start w:val="1"/>
      <w:numFmt w:val="decimal"/>
      <w:lvlText w:val="%2."/>
      <w:lvlJc w:val="left"/>
      <w:pPr>
        <w:ind w:left="1440" w:hanging="360"/>
      </w:pPr>
      <w:rPr>
        <w:lang w:val="el-GR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5F99"/>
    <w:multiLevelType w:val="hybridMultilevel"/>
    <w:tmpl w:val="9B5232C6"/>
    <w:lvl w:ilvl="0" w:tplc="B2FAC4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326B"/>
    <w:multiLevelType w:val="hybridMultilevel"/>
    <w:tmpl w:val="CDC0B5FE"/>
    <w:lvl w:ilvl="0" w:tplc="8730E6A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7F0C"/>
    <w:multiLevelType w:val="hybridMultilevel"/>
    <w:tmpl w:val="8968CEB6"/>
    <w:lvl w:ilvl="0" w:tplc="E5E8A9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E48C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D03CA"/>
    <w:multiLevelType w:val="hybridMultilevel"/>
    <w:tmpl w:val="C64C0DB0"/>
    <w:lvl w:ilvl="0" w:tplc="7C52EC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2C5D78"/>
    <w:multiLevelType w:val="hybridMultilevel"/>
    <w:tmpl w:val="4BECF45E"/>
    <w:lvl w:ilvl="0" w:tplc="4DC057A0">
      <w:start w:val="1"/>
      <w:numFmt w:val="lowerLetter"/>
      <w:lvlText w:val="%1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B4364C"/>
    <w:multiLevelType w:val="hybridMultilevel"/>
    <w:tmpl w:val="0E72A03C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736B0"/>
    <w:multiLevelType w:val="hybridMultilevel"/>
    <w:tmpl w:val="8968CEB6"/>
    <w:lvl w:ilvl="0" w:tplc="E5E8A9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E48C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B586D"/>
    <w:multiLevelType w:val="hybridMultilevel"/>
    <w:tmpl w:val="BF0A64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7720A"/>
    <w:multiLevelType w:val="hybridMultilevel"/>
    <w:tmpl w:val="ADDC722A"/>
    <w:lvl w:ilvl="0" w:tplc="FC76E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54E7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6507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31886"/>
    <w:multiLevelType w:val="hybridMultilevel"/>
    <w:tmpl w:val="16D2C30A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56DF"/>
    <w:multiLevelType w:val="hybridMultilevel"/>
    <w:tmpl w:val="F9CE0BB6"/>
    <w:lvl w:ilvl="0" w:tplc="3AE48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F356A"/>
    <w:multiLevelType w:val="hybridMultilevel"/>
    <w:tmpl w:val="932A3E5E"/>
    <w:lvl w:ilvl="0" w:tplc="D1D438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11"/>
  </w:num>
  <w:num w:numId="5">
    <w:abstractNumId w:val="3"/>
  </w:num>
  <w:num w:numId="6">
    <w:abstractNumId w:val="17"/>
  </w:num>
  <w:num w:numId="7">
    <w:abstractNumId w:val="23"/>
  </w:num>
  <w:num w:numId="8">
    <w:abstractNumId w:val="10"/>
  </w:num>
  <w:num w:numId="9">
    <w:abstractNumId w:val="8"/>
  </w:num>
  <w:num w:numId="10">
    <w:abstractNumId w:val="9"/>
  </w:num>
  <w:num w:numId="11">
    <w:abstractNumId w:val="13"/>
  </w:num>
  <w:num w:numId="12">
    <w:abstractNumId w:val="22"/>
  </w:num>
  <w:num w:numId="13">
    <w:abstractNumId w:val="6"/>
  </w:num>
  <w:num w:numId="14">
    <w:abstractNumId w:val="4"/>
  </w:num>
  <w:num w:numId="15">
    <w:abstractNumId w:val="19"/>
  </w:num>
  <w:num w:numId="16">
    <w:abstractNumId w:val="0"/>
  </w:num>
  <w:num w:numId="17">
    <w:abstractNumId w:val="21"/>
  </w:num>
  <w:num w:numId="18">
    <w:abstractNumId w:val="2"/>
  </w:num>
  <w:num w:numId="19">
    <w:abstractNumId w:val="5"/>
  </w:num>
  <w:num w:numId="20">
    <w:abstractNumId w:val="20"/>
  </w:num>
  <w:num w:numId="21">
    <w:abstractNumId w:val="14"/>
  </w:num>
  <w:num w:numId="22">
    <w:abstractNumId w:val="15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1A"/>
    <w:rsid w:val="00043B52"/>
    <w:rsid w:val="000566A9"/>
    <w:rsid w:val="00072418"/>
    <w:rsid w:val="000724CB"/>
    <w:rsid w:val="00097D7B"/>
    <w:rsid w:val="000D3773"/>
    <w:rsid w:val="000D59B2"/>
    <w:rsid w:val="000E35D6"/>
    <w:rsid w:val="001305EE"/>
    <w:rsid w:val="0017695B"/>
    <w:rsid w:val="001A2CFB"/>
    <w:rsid w:val="001B6B82"/>
    <w:rsid w:val="001C48F3"/>
    <w:rsid w:val="001E2C4B"/>
    <w:rsid w:val="00203457"/>
    <w:rsid w:val="00235983"/>
    <w:rsid w:val="00235BB0"/>
    <w:rsid w:val="0024604D"/>
    <w:rsid w:val="0026212E"/>
    <w:rsid w:val="002A4C8B"/>
    <w:rsid w:val="002C0E5D"/>
    <w:rsid w:val="002C5B04"/>
    <w:rsid w:val="002F1889"/>
    <w:rsid w:val="002F7C86"/>
    <w:rsid w:val="00365911"/>
    <w:rsid w:val="003926DB"/>
    <w:rsid w:val="003A04B1"/>
    <w:rsid w:val="003C3335"/>
    <w:rsid w:val="003D6CE0"/>
    <w:rsid w:val="004626E2"/>
    <w:rsid w:val="00485632"/>
    <w:rsid w:val="0048790C"/>
    <w:rsid w:val="00496D1B"/>
    <w:rsid w:val="00496E49"/>
    <w:rsid w:val="004A124C"/>
    <w:rsid w:val="004B2699"/>
    <w:rsid w:val="004C31DC"/>
    <w:rsid w:val="004E635E"/>
    <w:rsid w:val="0050711F"/>
    <w:rsid w:val="00547F4F"/>
    <w:rsid w:val="00575185"/>
    <w:rsid w:val="00591C92"/>
    <w:rsid w:val="005C3189"/>
    <w:rsid w:val="005F14D1"/>
    <w:rsid w:val="00625420"/>
    <w:rsid w:val="00631057"/>
    <w:rsid w:val="00634381"/>
    <w:rsid w:val="0067008C"/>
    <w:rsid w:val="00680227"/>
    <w:rsid w:val="006858FB"/>
    <w:rsid w:val="00722BE8"/>
    <w:rsid w:val="0074273E"/>
    <w:rsid w:val="00753940"/>
    <w:rsid w:val="00766DDB"/>
    <w:rsid w:val="00786296"/>
    <w:rsid w:val="007B5C0B"/>
    <w:rsid w:val="007D3A26"/>
    <w:rsid w:val="007E315D"/>
    <w:rsid w:val="00800706"/>
    <w:rsid w:val="00820E4D"/>
    <w:rsid w:val="00854B7C"/>
    <w:rsid w:val="00856AF1"/>
    <w:rsid w:val="00863D26"/>
    <w:rsid w:val="00867743"/>
    <w:rsid w:val="008813E3"/>
    <w:rsid w:val="008A6D52"/>
    <w:rsid w:val="008B1D2B"/>
    <w:rsid w:val="008C2C11"/>
    <w:rsid w:val="008E7828"/>
    <w:rsid w:val="00922118"/>
    <w:rsid w:val="00941218"/>
    <w:rsid w:val="00942535"/>
    <w:rsid w:val="00965CB2"/>
    <w:rsid w:val="00972BDE"/>
    <w:rsid w:val="00986E25"/>
    <w:rsid w:val="00A13C97"/>
    <w:rsid w:val="00A25562"/>
    <w:rsid w:val="00A27AC7"/>
    <w:rsid w:val="00A80A77"/>
    <w:rsid w:val="00A9523C"/>
    <w:rsid w:val="00AD494F"/>
    <w:rsid w:val="00B53A98"/>
    <w:rsid w:val="00B62F63"/>
    <w:rsid w:val="00B70284"/>
    <w:rsid w:val="00BB1A10"/>
    <w:rsid w:val="00BC566A"/>
    <w:rsid w:val="00BE37AE"/>
    <w:rsid w:val="00C15DDF"/>
    <w:rsid w:val="00C270DE"/>
    <w:rsid w:val="00C46DDB"/>
    <w:rsid w:val="00C50473"/>
    <w:rsid w:val="00C54B56"/>
    <w:rsid w:val="00C6540C"/>
    <w:rsid w:val="00C733B2"/>
    <w:rsid w:val="00CA081A"/>
    <w:rsid w:val="00D65EF2"/>
    <w:rsid w:val="00D73963"/>
    <w:rsid w:val="00DB3D0F"/>
    <w:rsid w:val="00E14C18"/>
    <w:rsid w:val="00E307A3"/>
    <w:rsid w:val="00E55473"/>
    <w:rsid w:val="00E67826"/>
    <w:rsid w:val="00ED304B"/>
    <w:rsid w:val="00EE1603"/>
    <w:rsid w:val="00EF301F"/>
    <w:rsid w:val="00F02A85"/>
    <w:rsid w:val="00F05454"/>
    <w:rsid w:val="00F61F3F"/>
    <w:rsid w:val="00F80FD8"/>
    <w:rsid w:val="00FB7E7F"/>
    <w:rsid w:val="00F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B03E"/>
  <w15:chartTrackingRefBased/>
  <w15:docId w15:val="{B0B83782-1BD1-4087-A447-F512CC7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A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02A85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  <w:rsid w:val="00E14C18"/>
  </w:style>
  <w:style w:type="character" w:styleId="a4">
    <w:name w:val="annotation reference"/>
    <w:basedOn w:val="a0"/>
    <w:uiPriority w:val="99"/>
    <w:semiHidden/>
    <w:unhideWhenUsed/>
    <w:rsid w:val="00043B5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43B5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43B52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43B5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43B52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4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43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class.uoa.gr/modules/work/index.php?course=ECD493&amp;id=2531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F26C-AF82-4452-B1D2-A9498931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2019-06-13T13:00:00Z</cp:lastPrinted>
  <dcterms:created xsi:type="dcterms:W3CDTF">2024-12-19T11:14:00Z</dcterms:created>
  <dcterms:modified xsi:type="dcterms:W3CDTF">2024-12-19T11:14:00Z</dcterms:modified>
</cp:coreProperties>
</file>