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FE4" w:rsidRDefault="006E3AD0" w:rsidP="00346678">
      <w:pPr>
        <w:pStyle w:val="Heading1"/>
        <w:numPr>
          <w:ilvl w:val="0"/>
          <w:numId w:val="0"/>
        </w:numPr>
        <w:ind w:left="851"/>
      </w:pPr>
      <w:r>
        <w:t>Greece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85" w:type="dxa"/>
          <w:bottom w:w="57" w:type="dxa"/>
          <w:right w:w="85" w:type="dxa"/>
        </w:tblCellMar>
        <w:tblLook w:val="0000" w:firstRow="0" w:lastRow="0" w:firstColumn="0" w:lastColumn="0" w:noHBand="0" w:noVBand="0"/>
      </w:tblPr>
      <w:tblGrid>
        <w:gridCol w:w="371"/>
        <w:gridCol w:w="3413"/>
        <w:gridCol w:w="8355"/>
        <w:gridCol w:w="2432"/>
      </w:tblGrid>
      <w:tr w:rsidR="00D22D59" w:rsidTr="00935FBB">
        <w:trPr>
          <w:tblHeader/>
        </w:trPr>
        <w:tc>
          <w:tcPr>
            <w:tcW w:w="0" w:type="auto"/>
            <w:shd w:val="clear" w:color="auto" w:fill="A6A6A6" w:themeFill="background1" w:themeFillShade="A6"/>
          </w:tcPr>
          <w:p w:rsidR="00D22D59" w:rsidRPr="00737959" w:rsidRDefault="00D22D59" w:rsidP="00935FBB">
            <w:pPr>
              <w:pStyle w:val="TableTextNoSpace"/>
              <w:rPr>
                <w:color w:val="FFFFFF" w:themeColor="background1"/>
              </w:rPr>
            </w:pPr>
            <w:r>
              <w:rPr>
                <w:color w:val="FFFFFF" w:themeColor="background1"/>
              </w:rPr>
              <w:t>#</w:t>
            </w:r>
          </w:p>
        </w:tc>
        <w:tc>
          <w:tcPr>
            <w:tcW w:w="0" w:type="auto"/>
            <w:shd w:val="clear" w:color="auto" w:fill="A6A6A6" w:themeFill="background1" w:themeFillShade="A6"/>
          </w:tcPr>
          <w:p w:rsidR="00D22D59" w:rsidRPr="00737959" w:rsidRDefault="00D22D59" w:rsidP="00737959">
            <w:pPr>
              <w:pStyle w:val="TableTextNoSpace"/>
              <w:jc w:val="center"/>
              <w:rPr>
                <w:color w:val="FFFFFF" w:themeColor="background1"/>
              </w:rPr>
            </w:pPr>
            <w:r w:rsidRPr="00737959">
              <w:rPr>
                <w:color w:val="FFFFFF" w:themeColor="background1"/>
              </w:rPr>
              <w:t>Type of data / information</w:t>
            </w:r>
          </w:p>
        </w:tc>
        <w:tc>
          <w:tcPr>
            <w:tcW w:w="0" w:type="auto"/>
            <w:shd w:val="clear" w:color="auto" w:fill="A6A6A6" w:themeFill="background1" w:themeFillShade="A6"/>
          </w:tcPr>
          <w:p w:rsidR="00D22D59" w:rsidRPr="00737959" w:rsidRDefault="00D22D59" w:rsidP="00737959">
            <w:pPr>
              <w:pStyle w:val="TableTextNoSpace"/>
              <w:jc w:val="center"/>
              <w:rPr>
                <w:color w:val="FFFFFF" w:themeColor="background1"/>
              </w:rPr>
            </w:pPr>
            <w:r>
              <w:rPr>
                <w:color w:val="FFFFFF" w:themeColor="background1"/>
              </w:rPr>
              <w:t>Narrative / trend / data</w:t>
            </w:r>
            <w:r w:rsidRPr="00737959">
              <w:rPr>
                <w:color w:val="FFFFFF" w:themeColor="background1"/>
              </w:rPr>
              <w:t xml:space="preserve"> </w:t>
            </w:r>
          </w:p>
        </w:tc>
        <w:tc>
          <w:tcPr>
            <w:tcW w:w="0" w:type="auto"/>
            <w:shd w:val="clear" w:color="auto" w:fill="A6A6A6" w:themeFill="background1" w:themeFillShade="A6"/>
          </w:tcPr>
          <w:p w:rsidR="00D22D59" w:rsidRPr="00737959" w:rsidRDefault="00D22D59" w:rsidP="00737959">
            <w:pPr>
              <w:pStyle w:val="TableTextNoSpace"/>
              <w:jc w:val="center"/>
              <w:rPr>
                <w:color w:val="FFFFFF" w:themeColor="background1"/>
              </w:rPr>
            </w:pPr>
            <w:r>
              <w:rPr>
                <w:color w:val="FFFFFF" w:themeColor="background1"/>
              </w:rPr>
              <w:t>Data sources used by GHK</w:t>
            </w:r>
          </w:p>
        </w:tc>
      </w:tr>
      <w:tr w:rsidR="00D22D59" w:rsidTr="00935FBB">
        <w:trPr>
          <w:gridAfter w:val="3"/>
        </w:trPr>
        <w:tc>
          <w:tcPr>
            <w:tcW w:w="0" w:type="auto"/>
            <w:shd w:val="clear" w:color="auto" w:fill="365F91" w:themeFill="accent1" w:themeFillShade="BF"/>
          </w:tcPr>
          <w:p w:rsidR="00D22D59" w:rsidRPr="00170A28" w:rsidRDefault="00D22D59" w:rsidP="00170A28">
            <w:pPr>
              <w:pStyle w:val="TableTextNoSpace"/>
              <w:jc w:val="center"/>
              <w:rPr>
                <w:color w:val="FFFFFF" w:themeColor="background1"/>
              </w:rPr>
            </w:pPr>
          </w:p>
        </w:tc>
        <w:bookmarkStart w:id="0" w:name="_GoBack"/>
        <w:bookmarkEnd w:id="0"/>
      </w:tr>
      <w:tr w:rsidR="00D22D59" w:rsidTr="00935FBB">
        <w:tc>
          <w:tcPr>
            <w:tcW w:w="0" w:type="auto"/>
          </w:tcPr>
          <w:p w:rsidR="00D22D59" w:rsidRDefault="00D22D59" w:rsidP="00957A12">
            <w:pPr>
              <w:pStyle w:val="TableTextNoSpace"/>
            </w:pPr>
            <w:r>
              <w:t>1</w:t>
            </w:r>
          </w:p>
        </w:tc>
        <w:tc>
          <w:tcPr>
            <w:tcW w:w="0" w:type="auto"/>
            <w:shd w:val="clear" w:color="auto" w:fill="auto"/>
          </w:tcPr>
          <w:p w:rsidR="00D22D59" w:rsidRDefault="00D22D59" w:rsidP="00957A12">
            <w:pPr>
              <w:pStyle w:val="TableTextNoSpace"/>
            </w:pPr>
            <w:r>
              <w:t>Total p</w:t>
            </w:r>
            <w:r w:rsidRPr="00957A12">
              <w:t>opulation</w:t>
            </w:r>
          </w:p>
        </w:tc>
        <w:tc>
          <w:tcPr>
            <w:tcW w:w="0" w:type="auto"/>
            <w:shd w:val="clear" w:color="auto" w:fill="auto"/>
          </w:tcPr>
          <w:p w:rsidR="00D22D59" w:rsidRDefault="00D22D59" w:rsidP="00957A12">
            <w:pPr>
              <w:pStyle w:val="TableTextNoSpace"/>
            </w:pPr>
            <w:r>
              <w:t>10,787,690</w:t>
            </w:r>
          </w:p>
        </w:tc>
        <w:tc>
          <w:tcPr>
            <w:tcW w:w="0" w:type="auto"/>
          </w:tcPr>
          <w:p w:rsidR="00D22D59" w:rsidRDefault="00D22D59" w:rsidP="00BC7579">
            <w:pPr>
              <w:pStyle w:val="TableTextNoSpace"/>
            </w:pPr>
            <w:r>
              <w:t>National census data</w:t>
            </w:r>
            <w:r>
              <w:rPr>
                <w:rStyle w:val="FootnoteReference"/>
              </w:rPr>
              <w:footnoteReference w:id="1"/>
            </w:r>
            <w:r>
              <w:t xml:space="preserve"> </w:t>
            </w:r>
          </w:p>
        </w:tc>
      </w:tr>
      <w:tr w:rsidR="00D22D59" w:rsidTr="00935FBB">
        <w:tc>
          <w:tcPr>
            <w:tcW w:w="0" w:type="auto"/>
          </w:tcPr>
          <w:p w:rsidR="00D22D59" w:rsidRPr="00957A12" w:rsidRDefault="00D22D59" w:rsidP="00957A12">
            <w:pPr>
              <w:pStyle w:val="TableTextNoSpace"/>
            </w:pPr>
            <w:r>
              <w:t>2</w:t>
            </w:r>
          </w:p>
        </w:tc>
        <w:tc>
          <w:tcPr>
            <w:tcW w:w="0" w:type="auto"/>
            <w:shd w:val="clear" w:color="auto" w:fill="auto"/>
          </w:tcPr>
          <w:p w:rsidR="00D22D59" w:rsidRDefault="00D22D59" w:rsidP="00957A12">
            <w:pPr>
              <w:pStyle w:val="TableTextNoSpace"/>
            </w:pPr>
            <w:r w:rsidRPr="00957A12">
              <w:t>Population in compulsory education</w:t>
            </w:r>
          </w:p>
        </w:tc>
        <w:tc>
          <w:tcPr>
            <w:tcW w:w="0" w:type="auto"/>
            <w:shd w:val="clear" w:color="auto" w:fill="auto"/>
          </w:tcPr>
          <w:p w:rsidR="00D22D59" w:rsidRDefault="00D22D59" w:rsidP="00957A12">
            <w:pPr>
              <w:pStyle w:val="TableTextNoSpace"/>
            </w:pPr>
            <w:r>
              <w:t>ISCED 1 – 637, 020 (2011) (compulsory)</w:t>
            </w:r>
          </w:p>
          <w:p w:rsidR="00D22D59" w:rsidRDefault="00D22D59" w:rsidP="00957A12">
            <w:pPr>
              <w:pStyle w:val="TableTextNoSpace"/>
            </w:pPr>
            <w:r>
              <w:t>ISCED 2 – 334, 691 (2011) (compulsory)</w:t>
            </w:r>
          </w:p>
          <w:p w:rsidR="00D22D59" w:rsidRDefault="00D22D59" w:rsidP="00957A12">
            <w:pPr>
              <w:pStyle w:val="TableTextNoSpace"/>
            </w:pPr>
            <w:r>
              <w:t>ISCED 3 – 362, 337 (2011) (not compulsory)</w:t>
            </w:r>
          </w:p>
          <w:p w:rsidR="00D22D59" w:rsidRDefault="00D22D59" w:rsidP="00957A12">
            <w:pPr>
              <w:pStyle w:val="TableTextNoSpace"/>
            </w:pPr>
          </w:p>
          <w:p w:rsidR="00D22D59" w:rsidRDefault="00D22D59" w:rsidP="00D44B04">
            <w:pPr>
              <w:pStyle w:val="TableTextNoSpace"/>
            </w:pPr>
            <w:r>
              <w:t>Compulsory education 5*-15 (*ISCED 0)</w:t>
            </w:r>
          </w:p>
        </w:tc>
        <w:tc>
          <w:tcPr>
            <w:tcW w:w="0" w:type="auto"/>
          </w:tcPr>
          <w:p w:rsidR="00D22D59" w:rsidRDefault="00D22D59" w:rsidP="00BC7579">
            <w:pPr>
              <w:pStyle w:val="TableTextNoSpace"/>
            </w:pPr>
            <w:r>
              <w:t>Eurostat</w:t>
            </w:r>
            <w:r>
              <w:rPr>
                <w:rStyle w:val="FootnoteReference"/>
              </w:rPr>
              <w:footnoteReference w:id="2"/>
            </w:r>
            <w:r>
              <w:t xml:space="preserve"> </w:t>
            </w:r>
          </w:p>
        </w:tc>
      </w:tr>
      <w:tr w:rsidR="00D22D59" w:rsidTr="00935FBB">
        <w:tc>
          <w:tcPr>
            <w:tcW w:w="0" w:type="auto"/>
          </w:tcPr>
          <w:p w:rsidR="00D22D59" w:rsidRPr="00957A12" w:rsidRDefault="00D22D59" w:rsidP="00957A12">
            <w:pPr>
              <w:pStyle w:val="TableTextNoSpace"/>
            </w:pPr>
            <w:r>
              <w:t>3</w:t>
            </w:r>
          </w:p>
        </w:tc>
        <w:tc>
          <w:tcPr>
            <w:tcW w:w="0" w:type="auto"/>
            <w:shd w:val="clear" w:color="auto" w:fill="auto"/>
          </w:tcPr>
          <w:p w:rsidR="00D22D59" w:rsidRDefault="00D22D59" w:rsidP="00957A12">
            <w:pPr>
              <w:pStyle w:val="TableTextNoSpace"/>
            </w:pPr>
            <w:r w:rsidRPr="00957A12">
              <w:t>Official</w:t>
            </w:r>
            <w:r>
              <w:t xml:space="preserve"> state</w:t>
            </w:r>
            <w:r w:rsidRPr="00957A12">
              <w:t xml:space="preserve"> language/s</w:t>
            </w:r>
          </w:p>
        </w:tc>
        <w:tc>
          <w:tcPr>
            <w:tcW w:w="0" w:type="auto"/>
            <w:shd w:val="clear" w:color="auto" w:fill="auto"/>
          </w:tcPr>
          <w:p w:rsidR="00D22D59" w:rsidRDefault="00D22D59" w:rsidP="00957A12">
            <w:pPr>
              <w:pStyle w:val="TableTextNoSpace"/>
            </w:pPr>
            <w:r>
              <w:t>Greek</w:t>
            </w:r>
          </w:p>
        </w:tc>
        <w:tc>
          <w:tcPr>
            <w:tcW w:w="0" w:type="auto"/>
          </w:tcPr>
          <w:p w:rsidR="00D22D59" w:rsidRDefault="00D22D59" w:rsidP="00D8209D">
            <w:pPr>
              <w:pStyle w:val="TableTextNoSpace"/>
            </w:pPr>
          </w:p>
        </w:tc>
      </w:tr>
      <w:tr w:rsidR="00D22D59" w:rsidTr="00935FBB">
        <w:tc>
          <w:tcPr>
            <w:tcW w:w="0" w:type="auto"/>
          </w:tcPr>
          <w:p w:rsidR="00D22D59" w:rsidRPr="00957A12" w:rsidRDefault="00D22D59" w:rsidP="00346678">
            <w:pPr>
              <w:pStyle w:val="TableTextNoSpace"/>
            </w:pPr>
            <w:r>
              <w:t>4</w:t>
            </w:r>
          </w:p>
        </w:tc>
        <w:tc>
          <w:tcPr>
            <w:tcW w:w="0" w:type="auto"/>
            <w:shd w:val="clear" w:color="auto" w:fill="auto"/>
          </w:tcPr>
          <w:p w:rsidR="00D22D59" w:rsidRDefault="00D22D59" w:rsidP="0065214F">
            <w:pPr>
              <w:pStyle w:val="TableTextNoSpace"/>
            </w:pPr>
            <w:r w:rsidRPr="00957A12">
              <w:t>Re</w:t>
            </w:r>
            <w:r>
              <w:t>cognised</w:t>
            </w:r>
            <w:r w:rsidRPr="00957A12">
              <w:t xml:space="preserve"> minority languages</w:t>
            </w:r>
            <w:r>
              <w:t xml:space="preserve"> and other foreign languages</w:t>
            </w:r>
          </w:p>
        </w:tc>
        <w:tc>
          <w:tcPr>
            <w:tcW w:w="0" w:type="auto"/>
            <w:shd w:val="clear" w:color="auto" w:fill="auto"/>
          </w:tcPr>
          <w:p w:rsidR="00D22D59" w:rsidRDefault="00D22D59" w:rsidP="00957A12">
            <w:pPr>
              <w:pStyle w:val="TableTextNoSpace"/>
            </w:pPr>
            <w:r w:rsidRPr="00D22D59">
              <w:rPr>
                <w:b/>
              </w:rPr>
              <w:t>Recognised minority languages</w:t>
            </w:r>
            <w:r>
              <w:t>: Turkish</w:t>
            </w:r>
            <w:r>
              <w:rPr>
                <w:rStyle w:val="FootnoteReference"/>
              </w:rPr>
              <w:footnoteReference w:id="3"/>
            </w:r>
          </w:p>
          <w:p w:rsidR="00D22D59" w:rsidRPr="00FF6492" w:rsidRDefault="00D22D59" w:rsidP="00FF6492">
            <w:pPr>
              <w:pStyle w:val="TableTextNoSpace"/>
            </w:pPr>
            <w:r w:rsidRPr="00D22D59">
              <w:rPr>
                <w:b/>
              </w:rPr>
              <w:t>Other languages</w:t>
            </w:r>
            <w:r>
              <w:t xml:space="preserve">:  </w:t>
            </w:r>
            <w:r w:rsidRPr="00FF6492">
              <w:t>Arvanitika (Albanian dialect), Romani, Aromanian (Vlach),</w:t>
            </w:r>
          </w:p>
          <w:p w:rsidR="00D22D59" w:rsidRPr="00FF6492" w:rsidRDefault="00D22D59" w:rsidP="00FF6492">
            <w:pPr>
              <w:pStyle w:val="TableTextNoSpace"/>
            </w:pPr>
            <w:r w:rsidRPr="00FF6492">
              <w:t>Slav-Macedonian, Pomak (Bulgarian dialect), Armenian.</w:t>
            </w:r>
          </w:p>
          <w:p w:rsidR="00D22D59" w:rsidRDefault="00D22D59" w:rsidP="00FF6492">
            <w:pPr>
              <w:pStyle w:val="TableTextNoSpace"/>
            </w:pPr>
          </w:p>
          <w:p w:rsidR="00D22D59" w:rsidRDefault="00D22D59" w:rsidP="00D22D59">
            <w:pPr>
              <w:pStyle w:val="TableTextNoSpace"/>
            </w:pPr>
            <w:r w:rsidRPr="00D22D59">
              <w:rPr>
                <w:b/>
              </w:rPr>
              <w:t>Foreign Languages spoken most widely</w:t>
            </w:r>
            <w:r w:rsidRPr="00FF6492">
              <w:t>: English (48%), German (9%), French</w:t>
            </w:r>
            <w:r>
              <w:t xml:space="preserve"> </w:t>
            </w:r>
            <w:r w:rsidRPr="00FF6492">
              <w:t>(8%)</w:t>
            </w:r>
            <w:r>
              <w:rPr>
                <w:rStyle w:val="FootnoteReference"/>
              </w:rPr>
              <w:footnoteReference w:id="4"/>
            </w:r>
            <w:r w:rsidRPr="00FF6492">
              <w:t xml:space="preserve"> and Spanish. </w:t>
            </w:r>
            <w:r>
              <w:t>Turkish was introduced recently. Second foreign language in Primary Education (French or German).</w:t>
            </w:r>
          </w:p>
        </w:tc>
        <w:tc>
          <w:tcPr>
            <w:tcW w:w="0" w:type="auto"/>
          </w:tcPr>
          <w:p w:rsidR="00D22D59" w:rsidRDefault="00D22D59" w:rsidP="00D8209D">
            <w:pPr>
              <w:pStyle w:val="TableTextNoSpace"/>
            </w:pPr>
            <w:r>
              <w:t>National data</w:t>
            </w:r>
          </w:p>
          <w:p w:rsidR="00D22D59" w:rsidRDefault="00D22D59" w:rsidP="00D8209D">
            <w:pPr>
              <w:pStyle w:val="TableTextNoSpace"/>
            </w:pPr>
          </w:p>
        </w:tc>
      </w:tr>
      <w:tr w:rsidR="00D22D59" w:rsidTr="00935FBB">
        <w:tc>
          <w:tcPr>
            <w:tcW w:w="0" w:type="auto"/>
          </w:tcPr>
          <w:p w:rsidR="00D22D59" w:rsidRPr="00957A12" w:rsidRDefault="00D22D59" w:rsidP="00346678">
            <w:pPr>
              <w:pStyle w:val="TableTextNoSpace"/>
            </w:pPr>
            <w:r>
              <w:t>5</w:t>
            </w:r>
          </w:p>
        </w:tc>
        <w:tc>
          <w:tcPr>
            <w:tcW w:w="0" w:type="auto"/>
            <w:shd w:val="clear" w:color="auto" w:fill="auto"/>
          </w:tcPr>
          <w:p w:rsidR="00D22D59" w:rsidRDefault="00D22D59" w:rsidP="00A9495F">
            <w:pPr>
              <w:pStyle w:val="TableTextNoSpace"/>
            </w:pPr>
            <w:r>
              <w:t>Learners in compulsory education with a different first language (minority or foreign) than the language of instruction</w:t>
            </w:r>
          </w:p>
        </w:tc>
        <w:tc>
          <w:tcPr>
            <w:tcW w:w="0" w:type="auto"/>
            <w:shd w:val="clear" w:color="auto" w:fill="auto"/>
          </w:tcPr>
          <w:p w:rsidR="00D22D59" w:rsidRDefault="00D22D59" w:rsidP="00A9495F">
            <w:pPr>
              <w:pStyle w:val="TableTextNoSpace"/>
            </w:pPr>
            <w:r>
              <w:t>3.</w:t>
            </w:r>
            <w:r w:rsidRPr="00F041CF">
              <w:t>9</w:t>
            </w:r>
            <w:r>
              <w:t>%</w:t>
            </w:r>
            <w:r w:rsidRPr="00F041CF">
              <w:t xml:space="preserve"> (any other language</w:t>
            </w:r>
            <w:r>
              <w:t>) (2005/06)</w:t>
            </w:r>
          </w:p>
        </w:tc>
        <w:tc>
          <w:tcPr>
            <w:tcW w:w="0" w:type="auto"/>
          </w:tcPr>
          <w:p w:rsidR="00D22D59" w:rsidRDefault="00D22D59" w:rsidP="00D8209D">
            <w:pPr>
              <w:pStyle w:val="TableTextNoSpace"/>
            </w:pPr>
            <w:r>
              <w:t>EAC fiche (% aged 15)</w:t>
            </w:r>
          </w:p>
          <w:p w:rsidR="00D22D59" w:rsidRDefault="00D22D59" w:rsidP="00D8209D">
            <w:pPr>
              <w:pStyle w:val="TableTextNoSpace"/>
            </w:pPr>
            <w:r w:rsidRPr="00B8463D">
              <w:t>Data by OECD, PISA 2006 database, in: Eurydice, Key data on teaching languages at School in Europe; 2008, p. 20</w:t>
            </w:r>
          </w:p>
        </w:tc>
      </w:tr>
      <w:tr w:rsidR="0065214F" w:rsidTr="00935FBB">
        <w:tc>
          <w:tcPr>
            <w:tcW w:w="0" w:type="auto"/>
          </w:tcPr>
          <w:p w:rsidR="0065214F" w:rsidRDefault="0065214F" w:rsidP="00A9495F">
            <w:pPr>
              <w:pStyle w:val="TableTextNoSpace"/>
            </w:pPr>
            <w:r>
              <w:t>6</w:t>
            </w:r>
          </w:p>
        </w:tc>
        <w:tc>
          <w:tcPr>
            <w:tcW w:w="0" w:type="auto"/>
            <w:shd w:val="clear" w:color="auto" w:fill="auto"/>
          </w:tcPr>
          <w:p w:rsidR="0065214F" w:rsidRDefault="0065214F" w:rsidP="00A9495F">
            <w:pPr>
              <w:pStyle w:val="TableTextNoSpace"/>
            </w:pPr>
            <w:r>
              <w:t>% of 15 year olds attaining level of independent user in first foreign language</w:t>
            </w:r>
            <w:r>
              <w:rPr>
                <w:rStyle w:val="FootnoteReference"/>
              </w:rPr>
              <w:footnoteReference w:id="5"/>
            </w:r>
          </w:p>
          <w:p w:rsidR="0065214F" w:rsidRPr="00165526" w:rsidRDefault="0065214F" w:rsidP="00A9495F">
            <w:pPr>
              <w:pStyle w:val="TableTextNoSpace"/>
              <w:rPr>
                <w:i/>
              </w:rPr>
            </w:pPr>
            <w:r w:rsidRPr="00165526">
              <w:rPr>
                <w:i/>
              </w:rPr>
              <w:lastRenderedPageBreak/>
              <w:t>EU: 42%, Benchmark 2020: 50%</w:t>
            </w:r>
          </w:p>
        </w:tc>
        <w:tc>
          <w:tcPr>
            <w:tcW w:w="0" w:type="auto"/>
            <w:shd w:val="clear" w:color="auto" w:fill="auto"/>
          </w:tcPr>
          <w:p w:rsidR="0065214F" w:rsidRDefault="0065214F" w:rsidP="00840CEF">
            <w:pPr>
              <w:pStyle w:val="TableTextNoSpace"/>
            </w:pPr>
            <w:r>
              <w:lastRenderedPageBreak/>
              <w:t>48% (2011)</w:t>
            </w:r>
          </w:p>
        </w:tc>
        <w:tc>
          <w:tcPr>
            <w:tcW w:w="0" w:type="auto"/>
          </w:tcPr>
          <w:p w:rsidR="0065214F" w:rsidRPr="00346678" w:rsidRDefault="0065214F" w:rsidP="00BC7579">
            <w:pPr>
              <w:pStyle w:val="TableTextNoSpace"/>
            </w:pPr>
            <w:r w:rsidRPr="00346678">
              <w:t>European Survey on Language Competences (ESLC)</w:t>
            </w:r>
          </w:p>
        </w:tc>
      </w:tr>
      <w:tr w:rsidR="0065214F" w:rsidTr="00935FBB">
        <w:tc>
          <w:tcPr>
            <w:tcW w:w="0" w:type="auto"/>
          </w:tcPr>
          <w:p w:rsidR="0065214F" w:rsidRDefault="0065214F" w:rsidP="00A9495F">
            <w:pPr>
              <w:pStyle w:val="TableTextNoSpace"/>
            </w:pPr>
            <w:r>
              <w:lastRenderedPageBreak/>
              <w:t>7</w:t>
            </w:r>
          </w:p>
        </w:tc>
        <w:tc>
          <w:tcPr>
            <w:tcW w:w="0" w:type="auto"/>
            <w:shd w:val="clear" w:color="auto" w:fill="auto"/>
          </w:tcPr>
          <w:p w:rsidR="0065214F" w:rsidRDefault="0065214F" w:rsidP="00A9495F">
            <w:pPr>
              <w:pStyle w:val="TableTextNoSpace"/>
            </w:pPr>
            <w:r>
              <w:t>% of pupils in lower secondary education studying at least two foreign languages</w:t>
            </w:r>
          </w:p>
          <w:p w:rsidR="0065214F" w:rsidRPr="00165526" w:rsidRDefault="0065214F" w:rsidP="00A9495F">
            <w:pPr>
              <w:pStyle w:val="TableTextNoSpace"/>
              <w:rPr>
                <w:i/>
              </w:rPr>
            </w:pPr>
            <w:r w:rsidRPr="00165526">
              <w:rPr>
                <w:i/>
              </w:rPr>
              <w:t>EU: 61%, Benchmark 2020: 75%</w:t>
            </w:r>
          </w:p>
        </w:tc>
        <w:tc>
          <w:tcPr>
            <w:tcW w:w="0" w:type="auto"/>
            <w:shd w:val="clear" w:color="auto" w:fill="auto"/>
          </w:tcPr>
          <w:p w:rsidR="0065214F" w:rsidRDefault="0065214F" w:rsidP="00A9495F">
            <w:pPr>
              <w:pStyle w:val="TableTextNoSpace"/>
            </w:pPr>
            <w:r>
              <w:t>97.2% (2010)</w:t>
            </w:r>
          </w:p>
        </w:tc>
        <w:tc>
          <w:tcPr>
            <w:tcW w:w="0" w:type="auto"/>
          </w:tcPr>
          <w:p w:rsidR="0065214F" w:rsidRPr="00346678" w:rsidRDefault="0065214F" w:rsidP="00BC7579">
            <w:pPr>
              <w:pStyle w:val="TableTextNoSpace"/>
            </w:pPr>
            <w:r w:rsidRPr="00170A28">
              <w:t>Key Data on Teaching Languages at School in Europe, 2012</w:t>
            </w:r>
            <w:r>
              <w:t xml:space="preserve"> (p. 68) – for actuals see Eurostat UOE</w:t>
            </w:r>
            <w:r>
              <w:rPr>
                <w:rStyle w:val="FootnoteReference"/>
              </w:rPr>
              <w:footnoteReference w:id="6"/>
            </w:r>
          </w:p>
        </w:tc>
      </w:tr>
      <w:tr w:rsidR="0065214F" w:rsidTr="00935FBB">
        <w:tc>
          <w:tcPr>
            <w:tcW w:w="0" w:type="auto"/>
          </w:tcPr>
          <w:p w:rsidR="0065214F" w:rsidRDefault="0065214F" w:rsidP="00A9495F">
            <w:pPr>
              <w:pStyle w:val="TableTextNoSpace"/>
            </w:pPr>
            <w:r>
              <w:t>8</w:t>
            </w:r>
          </w:p>
        </w:tc>
        <w:tc>
          <w:tcPr>
            <w:tcW w:w="0" w:type="auto"/>
            <w:shd w:val="clear" w:color="auto" w:fill="auto"/>
          </w:tcPr>
          <w:p w:rsidR="0065214F" w:rsidRDefault="0065214F" w:rsidP="00255F4C">
            <w:pPr>
              <w:pStyle w:val="TableTextNoSpace"/>
            </w:pPr>
            <w:r>
              <w:t>Average number of foreign languages learned per pupil at ISCED 2</w:t>
            </w:r>
          </w:p>
        </w:tc>
        <w:tc>
          <w:tcPr>
            <w:tcW w:w="0" w:type="auto"/>
            <w:shd w:val="clear" w:color="auto" w:fill="auto"/>
          </w:tcPr>
          <w:p w:rsidR="0065214F" w:rsidRDefault="0065214F" w:rsidP="00D44B04">
            <w:pPr>
              <w:pStyle w:val="TableTextNoSpace"/>
            </w:pPr>
            <w:r>
              <w:t>No data</w:t>
            </w:r>
          </w:p>
        </w:tc>
        <w:tc>
          <w:tcPr>
            <w:tcW w:w="0" w:type="auto"/>
          </w:tcPr>
          <w:p w:rsidR="0065214F" w:rsidRPr="00346678" w:rsidRDefault="0065214F" w:rsidP="00BC7579">
            <w:pPr>
              <w:pStyle w:val="TableTextNoSpace"/>
            </w:pPr>
            <w:r>
              <w:t>Eurostat</w:t>
            </w:r>
            <w:r>
              <w:rPr>
                <w:rStyle w:val="FootnoteReference"/>
              </w:rPr>
              <w:footnoteReference w:id="7"/>
            </w:r>
          </w:p>
        </w:tc>
      </w:tr>
      <w:tr w:rsidR="00D22D59" w:rsidTr="00935FBB">
        <w:trPr>
          <w:gridAfter w:val="3"/>
        </w:trPr>
        <w:tc>
          <w:tcPr>
            <w:tcW w:w="0" w:type="auto"/>
            <w:shd w:val="clear" w:color="auto" w:fill="365F91" w:themeFill="accent1" w:themeFillShade="BF"/>
          </w:tcPr>
          <w:p w:rsidR="00D22D59" w:rsidRPr="00170A28" w:rsidRDefault="00D22D59" w:rsidP="00172E89">
            <w:pPr>
              <w:pStyle w:val="TableTextNoSpace"/>
              <w:jc w:val="center"/>
              <w:rPr>
                <w:color w:val="FFFFFF" w:themeColor="background1"/>
              </w:rPr>
            </w:pPr>
          </w:p>
        </w:tc>
      </w:tr>
      <w:tr w:rsidR="00D22D59" w:rsidTr="00935FBB">
        <w:tc>
          <w:tcPr>
            <w:tcW w:w="0" w:type="auto"/>
          </w:tcPr>
          <w:p w:rsidR="00D22D59" w:rsidRPr="00311E3A" w:rsidRDefault="00D22D59" w:rsidP="00957A12">
            <w:pPr>
              <w:pStyle w:val="TableTextNoSpace"/>
            </w:pPr>
            <w:r w:rsidRPr="00311E3A">
              <w:t>9</w:t>
            </w:r>
          </w:p>
        </w:tc>
        <w:tc>
          <w:tcPr>
            <w:tcW w:w="0" w:type="auto"/>
            <w:shd w:val="clear" w:color="auto" w:fill="auto"/>
          </w:tcPr>
          <w:p w:rsidR="00D22D59" w:rsidRPr="00311E3A" w:rsidRDefault="00D22D59" w:rsidP="00935FBB">
            <w:pPr>
              <w:pStyle w:val="TableTextNoSpace"/>
            </w:pPr>
            <w:r w:rsidRPr="00311E3A">
              <w:t>Existence of policies, strategies or action plans to improve availability, quality and efficiency in foreign language learning (addressing national challenges)</w:t>
            </w:r>
          </w:p>
          <w:p w:rsidR="00D22D59" w:rsidRPr="00311E3A" w:rsidRDefault="00D22D59" w:rsidP="00935FBB">
            <w:pPr>
              <w:pStyle w:val="TableTextNoSpace"/>
            </w:pPr>
          </w:p>
          <w:p w:rsidR="00D22D59" w:rsidRPr="00311E3A" w:rsidRDefault="00D22D59" w:rsidP="00935FBB">
            <w:pPr>
              <w:pStyle w:val="TableTextNoSpace"/>
            </w:pPr>
            <w:r w:rsidRPr="00311E3A">
              <w:t xml:space="preserve">Key issues: </w:t>
            </w:r>
          </w:p>
          <w:p w:rsidR="00D22D59" w:rsidRPr="00311E3A" w:rsidRDefault="00D22D59" w:rsidP="004F0BB3">
            <w:pPr>
              <w:pStyle w:val="TableTextNoSpace"/>
              <w:numPr>
                <w:ilvl w:val="0"/>
                <w:numId w:val="45"/>
              </w:numPr>
            </w:pPr>
            <w:r w:rsidRPr="00311E3A">
              <w:t>increasing quantity</w:t>
            </w:r>
          </w:p>
          <w:p w:rsidR="00D22D59" w:rsidRPr="00311E3A" w:rsidRDefault="00D22D59" w:rsidP="004F0BB3">
            <w:pPr>
              <w:pStyle w:val="TableTextNoSpace"/>
              <w:numPr>
                <w:ilvl w:val="0"/>
                <w:numId w:val="45"/>
              </w:numPr>
            </w:pPr>
            <w:r w:rsidRPr="00311E3A">
              <w:t>earlier start</w:t>
            </w:r>
          </w:p>
          <w:p w:rsidR="00D22D59" w:rsidRPr="00311E3A" w:rsidRDefault="00D22D59" w:rsidP="004F0BB3">
            <w:pPr>
              <w:pStyle w:val="TableTextNoSpace"/>
              <w:numPr>
                <w:ilvl w:val="0"/>
                <w:numId w:val="45"/>
              </w:numPr>
            </w:pPr>
            <w:r w:rsidRPr="00311E3A">
              <w:t>improving competences</w:t>
            </w:r>
          </w:p>
          <w:p w:rsidR="00D22D59" w:rsidRPr="00311E3A" w:rsidRDefault="00D22D59" w:rsidP="004F0BB3">
            <w:pPr>
              <w:pStyle w:val="TableTextNoSpace"/>
            </w:pPr>
          </w:p>
          <w:p w:rsidR="00D22D59" w:rsidRPr="00311E3A" w:rsidRDefault="00D22D59" w:rsidP="004F0BB3">
            <w:pPr>
              <w:pStyle w:val="TableTextNoSpace"/>
            </w:pPr>
            <w:r w:rsidRPr="00311E3A">
              <w:t>(for further issues on quality and methodology, please refer to last section)</w:t>
            </w:r>
          </w:p>
        </w:tc>
        <w:tc>
          <w:tcPr>
            <w:tcW w:w="0" w:type="auto"/>
            <w:shd w:val="clear" w:color="auto" w:fill="auto"/>
          </w:tcPr>
          <w:p w:rsidR="00D22D59" w:rsidRPr="00311E3A" w:rsidRDefault="00D22D59" w:rsidP="007B160B">
            <w:pPr>
              <w:pStyle w:val="TableTextNoSpace"/>
            </w:pPr>
            <w:r w:rsidRPr="00311E3A">
              <w:t xml:space="preserve">The ‘New School’ reform introduced in 2009 aimed to improve compulsory education and basic skills. Under this initiative, there were 20 broad objectives - one of which is placing more emphasis on foreign languages. </w:t>
            </w:r>
          </w:p>
          <w:p w:rsidR="00D22D59" w:rsidRPr="00311E3A" w:rsidRDefault="00D22D59" w:rsidP="004512B7">
            <w:pPr>
              <w:pStyle w:val="TableTextNoSpace"/>
            </w:pPr>
          </w:p>
          <w:p w:rsidR="00D22D59" w:rsidRPr="00311E3A" w:rsidRDefault="00D22D59" w:rsidP="004512B7">
            <w:pPr>
              <w:pStyle w:val="TableTextNoSpace"/>
            </w:pPr>
            <w:r w:rsidRPr="00311E3A">
              <w:t xml:space="preserve">In primary schools, English was introduced as a compulsory foreign language to 8 year olds during the 2005/06 academic year.  Although second foreign languages are not compulsory at primary school level, one pilot project introduced French or German in the top two grades of primary education. This pilot was extended to 3,650 schools the following year. </w:t>
            </w:r>
          </w:p>
          <w:p w:rsidR="00D22D59" w:rsidRPr="00311E3A" w:rsidRDefault="00D22D59" w:rsidP="004512B7">
            <w:pPr>
              <w:pStyle w:val="TableTextNoSpace"/>
            </w:pPr>
          </w:p>
          <w:p w:rsidR="00D22D59" w:rsidRPr="00311E3A" w:rsidRDefault="00D22D59" w:rsidP="00311E3A">
            <w:pPr>
              <w:pStyle w:val="TableTextNoSpace"/>
            </w:pPr>
            <w:r w:rsidRPr="00311E3A">
              <w:t>In secondary schools, the reformed curricul</w:t>
            </w:r>
            <w:r>
              <w:t>um</w:t>
            </w:r>
            <w:r w:rsidRPr="00311E3A">
              <w:t xml:space="preserve">, designed by the Pedagogical Institute, was implemented in 2003. It specifically was designed to meet the needs of </w:t>
            </w:r>
            <w:r>
              <w:t xml:space="preserve">teaching </w:t>
            </w:r>
            <w:r w:rsidRPr="00311E3A">
              <w:t>the following foreign languages: English, French and German. Its  philosophy was based on the</w:t>
            </w:r>
          </w:p>
          <w:p w:rsidR="00D22D59" w:rsidRPr="00311E3A" w:rsidRDefault="00D22D59" w:rsidP="00311E3A">
            <w:pPr>
              <w:pStyle w:val="TableTextNoSpace"/>
            </w:pPr>
            <w:r w:rsidRPr="00311E3A">
              <w:t>principles of the C</w:t>
            </w:r>
            <w:r>
              <w:t>EFR</w:t>
            </w:r>
            <w:r w:rsidRPr="00311E3A">
              <w:t>.</w:t>
            </w:r>
          </w:p>
          <w:p w:rsidR="00D22D59" w:rsidRPr="00311E3A" w:rsidRDefault="00D22D59" w:rsidP="00311E3A">
            <w:pPr>
              <w:pStyle w:val="TableTextNoSpace"/>
            </w:pPr>
          </w:p>
        </w:tc>
        <w:tc>
          <w:tcPr>
            <w:tcW w:w="0" w:type="auto"/>
          </w:tcPr>
          <w:p w:rsidR="00D22D59" w:rsidRDefault="00D22D59" w:rsidP="00D8209D">
            <w:pPr>
              <w:pStyle w:val="TableTextNoSpace"/>
            </w:pPr>
            <w:r w:rsidRPr="00311E3A">
              <w:t xml:space="preserve">Rethinking Education: Country Analysis </w:t>
            </w:r>
          </w:p>
          <w:p w:rsidR="00D22D59" w:rsidRPr="00311E3A" w:rsidRDefault="00D22D59" w:rsidP="00D8209D">
            <w:pPr>
              <w:pStyle w:val="TableTextNoSpace"/>
            </w:pPr>
          </w:p>
          <w:p w:rsidR="00D22D59" w:rsidRPr="00311E3A" w:rsidRDefault="00D22D59" w:rsidP="00D8209D">
            <w:pPr>
              <w:pStyle w:val="TableTextNoSpace"/>
            </w:pPr>
            <w:r w:rsidRPr="00311E3A">
              <w:t>Key Data on Teaching Languages at School in Europe, 2012 (p. 36)</w:t>
            </w:r>
          </w:p>
          <w:p w:rsidR="00D22D59" w:rsidRPr="00311E3A" w:rsidRDefault="00D22D59" w:rsidP="00D8209D">
            <w:pPr>
              <w:pStyle w:val="TableTextNoSpace"/>
            </w:pPr>
          </w:p>
          <w:p w:rsidR="00D22D59" w:rsidRPr="00311E3A" w:rsidRDefault="00D22D59" w:rsidP="00D8209D">
            <w:pPr>
              <w:pStyle w:val="TableTextNoSpace"/>
            </w:pPr>
            <w:r w:rsidRPr="00311E3A">
              <w:t>Language Rich Europe</w:t>
            </w:r>
          </w:p>
          <w:p w:rsidR="00D22D59" w:rsidRPr="00311E3A" w:rsidRDefault="00D22D59" w:rsidP="00D8209D">
            <w:pPr>
              <w:pStyle w:val="TableTextNoSpace"/>
            </w:pPr>
          </w:p>
          <w:p w:rsidR="00D22D59" w:rsidRPr="00311E3A" w:rsidRDefault="00D22D59" w:rsidP="00D8209D">
            <w:pPr>
              <w:pStyle w:val="TableTextNoSpace"/>
            </w:pPr>
            <w:r w:rsidRPr="00311E3A">
              <w:t>EAC 2007 The diversity of language teaching in the EU</w:t>
            </w:r>
          </w:p>
          <w:p w:rsidR="00D22D59" w:rsidRPr="00311E3A" w:rsidRDefault="00D22D59" w:rsidP="00E05670">
            <w:pPr>
              <w:pStyle w:val="TableTextNoSpace"/>
            </w:pPr>
          </w:p>
        </w:tc>
      </w:tr>
      <w:tr w:rsidR="00D22D59" w:rsidTr="00935FBB">
        <w:tc>
          <w:tcPr>
            <w:tcW w:w="0" w:type="auto"/>
          </w:tcPr>
          <w:p w:rsidR="00D22D59" w:rsidRPr="00FF4E3C" w:rsidRDefault="00D22D59" w:rsidP="00957A12">
            <w:pPr>
              <w:pStyle w:val="TableTextNoSpace"/>
            </w:pPr>
            <w:r w:rsidRPr="00FF4E3C">
              <w:t>10</w:t>
            </w:r>
          </w:p>
        </w:tc>
        <w:tc>
          <w:tcPr>
            <w:tcW w:w="0" w:type="auto"/>
            <w:shd w:val="clear" w:color="auto" w:fill="auto"/>
          </w:tcPr>
          <w:p w:rsidR="00D22D59" w:rsidRPr="00FF4E3C" w:rsidRDefault="00D22D59" w:rsidP="00935FBB">
            <w:pPr>
              <w:pStyle w:val="TableTextNoSpace"/>
            </w:pPr>
            <w:r w:rsidRPr="00FF4E3C">
              <w:t>Key achievements of policies, strategies and action plans over the last five years</w:t>
            </w:r>
          </w:p>
        </w:tc>
        <w:tc>
          <w:tcPr>
            <w:tcW w:w="0" w:type="auto"/>
            <w:shd w:val="clear" w:color="auto" w:fill="auto"/>
          </w:tcPr>
          <w:p w:rsidR="00D22D59" w:rsidRPr="00FF4E3C" w:rsidRDefault="00D22D59" w:rsidP="007B160B">
            <w:pPr>
              <w:pStyle w:val="TableTextNoSpace"/>
            </w:pPr>
          </w:p>
        </w:tc>
        <w:tc>
          <w:tcPr>
            <w:tcW w:w="0" w:type="auto"/>
          </w:tcPr>
          <w:p w:rsidR="00D22D59" w:rsidRPr="00FF4E3C" w:rsidRDefault="00D22D59" w:rsidP="00D8209D">
            <w:pPr>
              <w:pStyle w:val="TableTextNoSpace"/>
            </w:pPr>
            <w:r w:rsidRPr="00FF4E3C">
              <w:t>Eurydice; national reviews and analysis including secondary analysis of the European Survey on Language Competences</w:t>
            </w:r>
          </w:p>
          <w:p w:rsidR="00D22D59" w:rsidRPr="00FF4E3C" w:rsidRDefault="00D22D59" w:rsidP="00D8209D">
            <w:pPr>
              <w:pStyle w:val="TableTextNoSpace"/>
            </w:pPr>
          </w:p>
          <w:p w:rsidR="00D22D59" w:rsidRPr="00FF4E3C" w:rsidRDefault="00D22D59" w:rsidP="00D8209D">
            <w:pPr>
              <w:pStyle w:val="TableTextNoSpace"/>
            </w:pPr>
          </w:p>
          <w:p w:rsidR="00D22D59" w:rsidRPr="00FF4E3C" w:rsidRDefault="00D22D59" w:rsidP="0065214F">
            <w:pPr>
              <w:pStyle w:val="TableTextNoSpace"/>
            </w:pPr>
            <w:r w:rsidRPr="00FF4E3C">
              <w:t xml:space="preserve">Language </w:t>
            </w:r>
            <w:r w:rsidR="0065214F">
              <w:t>and language education policies</w:t>
            </w:r>
            <w:r w:rsidRPr="00FF4E3C">
              <w:t>, (2007) Council of Europe</w:t>
            </w:r>
          </w:p>
        </w:tc>
      </w:tr>
      <w:tr w:rsidR="00D22D59" w:rsidRPr="00AC50A4" w:rsidTr="00A9495F">
        <w:tc>
          <w:tcPr>
            <w:tcW w:w="0" w:type="auto"/>
          </w:tcPr>
          <w:p w:rsidR="00D22D59" w:rsidRDefault="00D22D59" w:rsidP="00A9495F">
            <w:pPr>
              <w:pStyle w:val="TableTextNoSpace"/>
            </w:pPr>
            <w:r>
              <w:lastRenderedPageBreak/>
              <w:t>11</w:t>
            </w:r>
          </w:p>
        </w:tc>
        <w:tc>
          <w:tcPr>
            <w:tcW w:w="0" w:type="auto"/>
            <w:shd w:val="clear" w:color="auto" w:fill="auto"/>
          </w:tcPr>
          <w:p w:rsidR="00D22D59" w:rsidRDefault="00D22D59" w:rsidP="007F6F24">
            <w:pPr>
              <w:pStyle w:val="TableTextNoSpace"/>
            </w:pPr>
            <w:r>
              <w:t xml:space="preserve">National guidelines for foreign language teaching curriculum, minimum attainment of competence at the end of each ISCED level, learning outcomes. </w:t>
            </w:r>
          </w:p>
        </w:tc>
        <w:tc>
          <w:tcPr>
            <w:tcW w:w="0" w:type="auto"/>
            <w:shd w:val="clear" w:color="auto" w:fill="auto"/>
          </w:tcPr>
          <w:p w:rsidR="00D22D59" w:rsidRDefault="00D22D59" w:rsidP="00642591">
            <w:pPr>
              <w:pStyle w:val="TableBullet"/>
              <w:numPr>
                <w:ilvl w:val="0"/>
                <w:numId w:val="0"/>
              </w:numPr>
              <w:ind w:left="340" w:hanging="340"/>
            </w:pPr>
            <w:r>
              <w:t>Content and any links to CEFR and EQF levels for:</w:t>
            </w:r>
          </w:p>
          <w:p w:rsidR="00D22D59" w:rsidRDefault="00D22D59" w:rsidP="00642591">
            <w:pPr>
              <w:pStyle w:val="TableBullet"/>
            </w:pPr>
            <w:r>
              <w:t>ISCED 1 – no data</w:t>
            </w:r>
          </w:p>
          <w:p w:rsidR="00D22D59" w:rsidRDefault="00D22D59" w:rsidP="00642591">
            <w:pPr>
              <w:pStyle w:val="TableBullet"/>
            </w:pPr>
            <w:r>
              <w:t>ISCED 2 – no data</w:t>
            </w:r>
          </w:p>
          <w:p w:rsidR="00D22D59" w:rsidRDefault="00D22D59" w:rsidP="00642591">
            <w:pPr>
              <w:pStyle w:val="TableBullet"/>
            </w:pPr>
            <w:r>
              <w:t xml:space="preserve">ISCED 3 (general and VET) – no data </w:t>
            </w:r>
          </w:p>
        </w:tc>
        <w:tc>
          <w:tcPr>
            <w:tcW w:w="0" w:type="auto"/>
          </w:tcPr>
          <w:p w:rsidR="00D22D59" w:rsidRPr="00AC50A4" w:rsidRDefault="00D22D59" w:rsidP="00D8209D">
            <w:pPr>
              <w:pStyle w:val="TableTextNoSpace"/>
            </w:pPr>
            <w:r w:rsidRPr="00AC50A4">
              <w:t>EACEA/Eurydice (2012). Key Data on Teaching Languages at School in Europe 2012, pp. 130-131.</w:t>
            </w:r>
            <w:r>
              <w:t xml:space="preserve"> Also check country specific notes p. 132</w:t>
            </w:r>
          </w:p>
        </w:tc>
      </w:tr>
      <w:tr w:rsidR="00D22D59" w:rsidRPr="00AC50A4" w:rsidTr="00A9495F">
        <w:tc>
          <w:tcPr>
            <w:tcW w:w="0" w:type="auto"/>
          </w:tcPr>
          <w:p w:rsidR="00D22D59" w:rsidRPr="00311E3A" w:rsidRDefault="00D22D59" w:rsidP="00A9495F">
            <w:pPr>
              <w:pStyle w:val="TableTextNoSpace"/>
            </w:pPr>
            <w:r w:rsidRPr="00311E3A">
              <w:t>12</w:t>
            </w:r>
          </w:p>
        </w:tc>
        <w:tc>
          <w:tcPr>
            <w:tcW w:w="0" w:type="auto"/>
            <w:shd w:val="clear" w:color="auto" w:fill="auto"/>
          </w:tcPr>
          <w:p w:rsidR="00D22D59" w:rsidRPr="00311E3A" w:rsidRDefault="00D22D59" w:rsidP="00A9495F">
            <w:pPr>
              <w:pStyle w:val="TableTextNoSpace"/>
            </w:pPr>
            <w:r w:rsidRPr="00311E3A">
              <w:t>National requirements for external assessment of attainment in foreign language learning</w:t>
            </w:r>
          </w:p>
        </w:tc>
        <w:tc>
          <w:tcPr>
            <w:tcW w:w="0" w:type="auto"/>
            <w:shd w:val="clear" w:color="auto" w:fill="auto"/>
          </w:tcPr>
          <w:p w:rsidR="00D22D59" w:rsidRPr="00311E3A" w:rsidRDefault="00D22D59" w:rsidP="00A9495F">
            <w:pPr>
              <w:pStyle w:val="TableBullet"/>
            </w:pPr>
            <w:r w:rsidRPr="00311E3A">
              <w:t>ISCED 1 – no national external assessments. Instead, assessment is undertaken by the class teacher. There is no mention of foreign language assessments at this stage.</w:t>
            </w:r>
          </w:p>
          <w:p w:rsidR="00D22D59" w:rsidRPr="00311E3A" w:rsidRDefault="00D22D59" w:rsidP="00A9495F">
            <w:pPr>
              <w:pStyle w:val="TableBullet"/>
            </w:pPr>
            <w:r w:rsidRPr="00311E3A">
              <w:t>ISCED 2</w:t>
            </w:r>
            <w:r>
              <w:t xml:space="preserve"> – No mention of national external examinations related to foreign languages. </w:t>
            </w:r>
            <w:r w:rsidRPr="003910A2">
              <w:t>Lower secondary school graduates are awarded the Leaving Certificate (Apolytirio), issued by the school the pupil graduated from.</w:t>
            </w:r>
          </w:p>
          <w:p w:rsidR="00D22D59" w:rsidRPr="003910A2" w:rsidRDefault="00D22D59" w:rsidP="00A9495F">
            <w:pPr>
              <w:pStyle w:val="TableBullet"/>
            </w:pPr>
            <w:r w:rsidRPr="003910A2">
              <w:t>ISCED 3 (general and VET) – General and Vocational: In the beginning of the school year and within the first two weeks, compulsory diagnostic tests are conducted in grade A' of Upper Secondary Vocational Schools in Modern Geek Language and Literature, Algebra, Geometry, Physics, Chemistry and Foreign Languages.</w:t>
            </w:r>
          </w:p>
          <w:p w:rsidR="00D22D59" w:rsidRPr="003910A2" w:rsidRDefault="00D22D59" w:rsidP="00A9495F">
            <w:pPr>
              <w:pStyle w:val="TableBullet"/>
            </w:pPr>
            <w:r w:rsidRPr="003910A2">
              <w:t>VET</w:t>
            </w:r>
          </w:p>
          <w:p w:rsidR="00D22D59" w:rsidRPr="00311E3A" w:rsidRDefault="00D22D59" w:rsidP="00A9495F">
            <w:pPr>
              <w:pStyle w:val="TableBullet"/>
            </w:pPr>
            <w:r w:rsidRPr="00311E3A">
              <w:t>HE</w:t>
            </w:r>
          </w:p>
        </w:tc>
        <w:tc>
          <w:tcPr>
            <w:tcW w:w="0" w:type="auto"/>
          </w:tcPr>
          <w:p w:rsidR="00D22D59" w:rsidRPr="00311E3A" w:rsidRDefault="00D22D59" w:rsidP="00D8209D">
            <w:pPr>
              <w:pStyle w:val="TableTextNoSpace"/>
            </w:pPr>
            <w:r w:rsidRPr="00311E3A">
              <w:t>Eurydice</w:t>
            </w:r>
          </w:p>
          <w:p w:rsidR="00D22D59" w:rsidRPr="00311E3A" w:rsidRDefault="00D22D59" w:rsidP="00D8209D">
            <w:pPr>
              <w:pStyle w:val="TableTextNoSpace"/>
            </w:pPr>
            <w:r w:rsidRPr="00311E3A">
              <w:t>(Assessment in Primary, General Lower Secondary Education, Upper Secondary Education, VET and HE)</w:t>
            </w:r>
          </w:p>
        </w:tc>
      </w:tr>
      <w:tr w:rsidR="00D22D59" w:rsidTr="00935FBB">
        <w:trPr>
          <w:gridAfter w:val="3"/>
        </w:trPr>
        <w:tc>
          <w:tcPr>
            <w:tcW w:w="0" w:type="auto"/>
            <w:shd w:val="clear" w:color="auto" w:fill="365F91" w:themeFill="accent1" w:themeFillShade="BF"/>
          </w:tcPr>
          <w:p w:rsidR="00D22D59" w:rsidRDefault="00D22D59" w:rsidP="00957A12">
            <w:pPr>
              <w:pStyle w:val="TableTextNoSpace"/>
            </w:pPr>
          </w:p>
        </w:tc>
      </w:tr>
      <w:tr w:rsidR="00D22D59" w:rsidTr="00935FBB">
        <w:tc>
          <w:tcPr>
            <w:tcW w:w="0" w:type="auto"/>
          </w:tcPr>
          <w:p w:rsidR="00D22D59" w:rsidRPr="00DB088A" w:rsidRDefault="00D22D59" w:rsidP="00A9495F">
            <w:pPr>
              <w:pStyle w:val="TableTextNoSpace"/>
            </w:pPr>
            <w:r w:rsidRPr="00DB088A">
              <w:t>13</w:t>
            </w:r>
          </w:p>
        </w:tc>
        <w:tc>
          <w:tcPr>
            <w:tcW w:w="0" w:type="auto"/>
            <w:shd w:val="clear" w:color="auto" w:fill="auto"/>
          </w:tcPr>
          <w:p w:rsidR="00D22D59" w:rsidRPr="00DB088A" w:rsidRDefault="00D22D59" w:rsidP="00642591">
            <w:pPr>
              <w:pStyle w:val="TableTextNoSpace"/>
            </w:pPr>
            <w:r w:rsidRPr="00DB088A">
              <w:t>Recommended minimum annual teaching time for foreign languages as compulsory subjects in full-time compulsory education (ministerial direction or inspection guidance)</w:t>
            </w:r>
          </w:p>
        </w:tc>
        <w:tc>
          <w:tcPr>
            <w:tcW w:w="0" w:type="auto"/>
            <w:shd w:val="clear" w:color="auto" w:fill="auto"/>
          </w:tcPr>
          <w:p w:rsidR="00D22D59" w:rsidRPr="00DB088A" w:rsidRDefault="00D22D59" w:rsidP="00A9495F">
            <w:pPr>
              <w:pStyle w:val="TableTextNoSpace"/>
            </w:pPr>
            <w:r w:rsidRPr="00DB088A">
              <w:t>At each grade 1-10</w:t>
            </w:r>
          </w:p>
          <w:p w:rsidR="00D22D59" w:rsidRPr="00DB088A" w:rsidRDefault="00D22D59" w:rsidP="00A9495F">
            <w:pPr>
              <w:pStyle w:val="TableTextNoSpace"/>
            </w:pPr>
          </w:p>
          <w:p w:rsidR="00D22D59" w:rsidRPr="00DB088A" w:rsidRDefault="00D22D59" w:rsidP="00A9495F">
            <w:pPr>
              <w:pStyle w:val="TableTextNoSpace"/>
            </w:pPr>
          </w:p>
          <w:tbl>
            <w:tblPr>
              <w:tblpPr w:leftFromText="180" w:rightFromText="180" w:vertAnchor="text" w:horzAnchor="margin" w:tblpY="-208"/>
              <w:tblOverlap w:val="never"/>
              <w:tblW w:w="5820" w:type="dxa"/>
              <w:tblLook w:val="04A0" w:firstRow="1" w:lastRow="0" w:firstColumn="1" w:lastColumn="0" w:noHBand="0" w:noVBand="1"/>
            </w:tblPr>
            <w:tblGrid>
              <w:gridCol w:w="850"/>
              <w:gridCol w:w="346"/>
              <w:gridCol w:w="346"/>
              <w:gridCol w:w="498"/>
              <w:gridCol w:w="498"/>
              <w:gridCol w:w="618"/>
              <w:gridCol w:w="618"/>
              <w:gridCol w:w="618"/>
              <w:gridCol w:w="498"/>
              <w:gridCol w:w="498"/>
              <w:gridCol w:w="432"/>
            </w:tblGrid>
            <w:tr w:rsidR="00D22D59" w:rsidRPr="00DB088A" w:rsidTr="002C2405">
              <w:trPr>
                <w:trHeight w:val="300"/>
              </w:trPr>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2D59" w:rsidRPr="00DB088A" w:rsidRDefault="00D22D59" w:rsidP="002C2405">
                  <w:pPr>
                    <w:spacing w:before="0" w:after="0" w:line="240" w:lineRule="auto"/>
                    <w:rPr>
                      <w:rFonts w:ascii="Calibri" w:eastAsia="Times New Roman" w:hAnsi="Calibri"/>
                      <w:color w:val="000000"/>
                      <w:sz w:val="16"/>
                      <w:szCs w:val="22"/>
                      <w:lang w:eastAsia="en-GB"/>
                    </w:rPr>
                  </w:pPr>
                  <w:r w:rsidRPr="00DB088A">
                    <w:rPr>
                      <w:rFonts w:ascii="Calibri" w:eastAsia="Times New Roman" w:hAnsi="Calibri"/>
                      <w:color w:val="000000"/>
                      <w:sz w:val="16"/>
                      <w:szCs w:val="22"/>
                      <w:lang w:eastAsia="en-GB"/>
                    </w:rPr>
                    <w:t>Grade</w:t>
                  </w:r>
                </w:p>
              </w:tc>
              <w:tc>
                <w:tcPr>
                  <w:tcW w:w="297" w:type="pct"/>
                  <w:tcBorders>
                    <w:top w:val="single" w:sz="4" w:space="0" w:color="auto"/>
                    <w:left w:val="nil"/>
                    <w:bottom w:val="single" w:sz="4" w:space="0" w:color="auto"/>
                    <w:right w:val="single" w:sz="4" w:space="0" w:color="auto"/>
                  </w:tcBorders>
                  <w:shd w:val="clear" w:color="000000" w:fill="D9D9D9"/>
                  <w:noWrap/>
                  <w:vAlign w:val="bottom"/>
                  <w:hideMark/>
                </w:tcPr>
                <w:p w:rsidR="00D22D59" w:rsidRPr="00DB088A" w:rsidRDefault="00D22D59" w:rsidP="002C2405">
                  <w:pPr>
                    <w:spacing w:before="0" w:after="0" w:line="240" w:lineRule="auto"/>
                    <w:rPr>
                      <w:rFonts w:ascii="Calibri" w:eastAsia="Times New Roman" w:hAnsi="Calibri"/>
                      <w:color w:val="000000"/>
                      <w:sz w:val="16"/>
                      <w:szCs w:val="22"/>
                      <w:lang w:eastAsia="en-GB"/>
                    </w:rPr>
                  </w:pPr>
                  <w:r w:rsidRPr="00DB088A">
                    <w:rPr>
                      <w:rFonts w:ascii="Calibri" w:eastAsia="Times New Roman" w:hAnsi="Calibri"/>
                      <w:color w:val="000000"/>
                      <w:sz w:val="16"/>
                      <w:szCs w:val="22"/>
                      <w:lang w:eastAsia="en-GB"/>
                    </w:rPr>
                    <w:t>1</w:t>
                  </w:r>
                </w:p>
              </w:tc>
              <w:tc>
                <w:tcPr>
                  <w:tcW w:w="297" w:type="pct"/>
                  <w:tcBorders>
                    <w:top w:val="single" w:sz="4" w:space="0" w:color="auto"/>
                    <w:left w:val="nil"/>
                    <w:bottom w:val="single" w:sz="4" w:space="0" w:color="auto"/>
                    <w:right w:val="single" w:sz="4" w:space="0" w:color="auto"/>
                  </w:tcBorders>
                  <w:shd w:val="clear" w:color="000000" w:fill="D9D9D9"/>
                  <w:noWrap/>
                  <w:vAlign w:val="bottom"/>
                  <w:hideMark/>
                </w:tcPr>
                <w:p w:rsidR="00D22D59" w:rsidRPr="00DB088A" w:rsidRDefault="00D22D59" w:rsidP="002C2405">
                  <w:pPr>
                    <w:spacing w:before="0" w:after="0" w:line="240" w:lineRule="auto"/>
                    <w:rPr>
                      <w:rFonts w:ascii="Calibri" w:eastAsia="Times New Roman" w:hAnsi="Calibri"/>
                      <w:color w:val="000000"/>
                      <w:sz w:val="16"/>
                      <w:szCs w:val="22"/>
                      <w:lang w:eastAsia="en-GB"/>
                    </w:rPr>
                  </w:pPr>
                  <w:r w:rsidRPr="00DB088A">
                    <w:rPr>
                      <w:rFonts w:ascii="Calibri" w:eastAsia="Times New Roman" w:hAnsi="Calibri"/>
                      <w:color w:val="000000"/>
                      <w:sz w:val="16"/>
                      <w:szCs w:val="22"/>
                      <w:lang w:eastAsia="en-GB"/>
                    </w:rPr>
                    <w:t>2</w:t>
                  </w:r>
                </w:p>
              </w:tc>
              <w:tc>
                <w:tcPr>
                  <w:tcW w:w="428" w:type="pct"/>
                  <w:tcBorders>
                    <w:top w:val="single" w:sz="4" w:space="0" w:color="auto"/>
                    <w:left w:val="nil"/>
                    <w:bottom w:val="single" w:sz="4" w:space="0" w:color="auto"/>
                    <w:right w:val="single" w:sz="4" w:space="0" w:color="auto"/>
                  </w:tcBorders>
                  <w:shd w:val="clear" w:color="000000" w:fill="D9D9D9"/>
                  <w:noWrap/>
                  <w:vAlign w:val="bottom"/>
                  <w:hideMark/>
                </w:tcPr>
                <w:p w:rsidR="00D22D59" w:rsidRPr="00DB088A" w:rsidRDefault="00D22D59" w:rsidP="002C2405">
                  <w:pPr>
                    <w:spacing w:before="0" w:after="0" w:line="240" w:lineRule="auto"/>
                    <w:rPr>
                      <w:rFonts w:ascii="Calibri" w:eastAsia="Times New Roman" w:hAnsi="Calibri"/>
                      <w:color w:val="000000"/>
                      <w:sz w:val="16"/>
                      <w:szCs w:val="22"/>
                      <w:lang w:eastAsia="en-GB"/>
                    </w:rPr>
                  </w:pPr>
                  <w:r w:rsidRPr="00DB088A">
                    <w:rPr>
                      <w:rFonts w:ascii="Calibri" w:eastAsia="Times New Roman" w:hAnsi="Calibri"/>
                      <w:color w:val="000000"/>
                      <w:sz w:val="16"/>
                      <w:szCs w:val="22"/>
                      <w:lang w:eastAsia="en-GB"/>
                    </w:rPr>
                    <w:t>3</w:t>
                  </w:r>
                </w:p>
              </w:tc>
              <w:tc>
                <w:tcPr>
                  <w:tcW w:w="428" w:type="pct"/>
                  <w:tcBorders>
                    <w:top w:val="single" w:sz="4" w:space="0" w:color="auto"/>
                    <w:left w:val="nil"/>
                    <w:bottom w:val="single" w:sz="4" w:space="0" w:color="auto"/>
                    <w:right w:val="single" w:sz="4" w:space="0" w:color="auto"/>
                  </w:tcBorders>
                  <w:shd w:val="clear" w:color="000000" w:fill="D9D9D9"/>
                  <w:noWrap/>
                  <w:vAlign w:val="bottom"/>
                  <w:hideMark/>
                </w:tcPr>
                <w:p w:rsidR="00D22D59" w:rsidRPr="00DB088A" w:rsidRDefault="00D22D59" w:rsidP="002C2405">
                  <w:pPr>
                    <w:spacing w:before="0" w:after="0" w:line="240" w:lineRule="auto"/>
                    <w:rPr>
                      <w:rFonts w:ascii="Calibri" w:eastAsia="Times New Roman" w:hAnsi="Calibri"/>
                      <w:color w:val="000000"/>
                      <w:sz w:val="16"/>
                      <w:szCs w:val="22"/>
                      <w:lang w:eastAsia="en-GB"/>
                    </w:rPr>
                  </w:pPr>
                  <w:r w:rsidRPr="00DB088A">
                    <w:rPr>
                      <w:rFonts w:ascii="Calibri" w:eastAsia="Times New Roman" w:hAnsi="Calibri"/>
                      <w:color w:val="000000"/>
                      <w:sz w:val="16"/>
                      <w:szCs w:val="22"/>
                      <w:lang w:eastAsia="en-GB"/>
                    </w:rPr>
                    <w:t>4</w:t>
                  </w:r>
                </w:p>
              </w:tc>
              <w:tc>
                <w:tcPr>
                  <w:tcW w:w="531" w:type="pct"/>
                  <w:tcBorders>
                    <w:top w:val="single" w:sz="4" w:space="0" w:color="auto"/>
                    <w:left w:val="nil"/>
                    <w:bottom w:val="single" w:sz="4" w:space="0" w:color="auto"/>
                    <w:right w:val="single" w:sz="4" w:space="0" w:color="auto"/>
                  </w:tcBorders>
                  <w:shd w:val="clear" w:color="000000" w:fill="D9D9D9"/>
                  <w:noWrap/>
                  <w:vAlign w:val="bottom"/>
                  <w:hideMark/>
                </w:tcPr>
                <w:p w:rsidR="00D22D59" w:rsidRPr="00DB088A" w:rsidRDefault="00D22D59" w:rsidP="002C2405">
                  <w:pPr>
                    <w:spacing w:before="0" w:after="0" w:line="240" w:lineRule="auto"/>
                    <w:rPr>
                      <w:rFonts w:ascii="Calibri" w:eastAsia="Times New Roman" w:hAnsi="Calibri"/>
                      <w:color w:val="000000"/>
                      <w:sz w:val="16"/>
                      <w:szCs w:val="22"/>
                      <w:lang w:eastAsia="en-GB"/>
                    </w:rPr>
                  </w:pPr>
                  <w:r w:rsidRPr="00DB088A">
                    <w:rPr>
                      <w:rFonts w:ascii="Calibri" w:eastAsia="Times New Roman" w:hAnsi="Calibri"/>
                      <w:color w:val="000000"/>
                      <w:sz w:val="16"/>
                      <w:szCs w:val="22"/>
                      <w:lang w:eastAsia="en-GB"/>
                    </w:rPr>
                    <w:t>5</w:t>
                  </w:r>
                </w:p>
              </w:tc>
              <w:tc>
                <w:tcPr>
                  <w:tcW w:w="531" w:type="pct"/>
                  <w:tcBorders>
                    <w:top w:val="single" w:sz="4" w:space="0" w:color="auto"/>
                    <w:left w:val="nil"/>
                    <w:bottom w:val="single" w:sz="4" w:space="0" w:color="auto"/>
                    <w:right w:val="single" w:sz="4" w:space="0" w:color="auto"/>
                  </w:tcBorders>
                  <w:shd w:val="clear" w:color="000000" w:fill="D9D9D9"/>
                  <w:noWrap/>
                  <w:vAlign w:val="bottom"/>
                  <w:hideMark/>
                </w:tcPr>
                <w:p w:rsidR="00D22D59" w:rsidRPr="00DB088A" w:rsidRDefault="00D22D59" w:rsidP="002C2405">
                  <w:pPr>
                    <w:spacing w:before="0" w:after="0" w:line="240" w:lineRule="auto"/>
                    <w:rPr>
                      <w:rFonts w:ascii="Calibri" w:eastAsia="Times New Roman" w:hAnsi="Calibri"/>
                      <w:color w:val="000000"/>
                      <w:sz w:val="16"/>
                      <w:szCs w:val="22"/>
                      <w:lang w:eastAsia="en-GB"/>
                    </w:rPr>
                  </w:pPr>
                  <w:r w:rsidRPr="00DB088A">
                    <w:rPr>
                      <w:rFonts w:ascii="Calibri" w:eastAsia="Times New Roman" w:hAnsi="Calibri"/>
                      <w:color w:val="000000"/>
                      <w:sz w:val="16"/>
                      <w:szCs w:val="22"/>
                      <w:lang w:eastAsia="en-GB"/>
                    </w:rPr>
                    <w:t>6</w:t>
                  </w:r>
                </w:p>
              </w:tc>
              <w:tc>
                <w:tcPr>
                  <w:tcW w:w="531" w:type="pct"/>
                  <w:tcBorders>
                    <w:top w:val="single" w:sz="4" w:space="0" w:color="auto"/>
                    <w:left w:val="nil"/>
                    <w:bottom w:val="single" w:sz="4" w:space="0" w:color="auto"/>
                    <w:right w:val="single" w:sz="4" w:space="0" w:color="auto"/>
                  </w:tcBorders>
                  <w:shd w:val="clear" w:color="000000" w:fill="D9D9D9"/>
                  <w:noWrap/>
                  <w:vAlign w:val="bottom"/>
                  <w:hideMark/>
                </w:tcPr>
                <w:p w:rsidR="00D22D59" w:rsidRPr="00DB088A" w:rsidRDefault="00D22D59" w:rsidP="002C2405">
                  <w:pPr>
                    <w:spacing w:before="0" w:after="0" w:line="240" w:lineRule="auto"/>
                    <w:rPr>
                      <w:rFonts w:ascii="Calibri" w:eastAsia="Times New Roman" w:hAnsi="Calibri"/>
                      <w:color w:val="000000"/>
                      <w:sz w:val="16"/>
                      <w:szCs w:val="22"/>
                      <w:lang w:eastAsia="en-GB"/>
                    </w:rPr>
                  </w:pPr>
                  <w:r w:rsidRPr="00DB088A">
                    <w:rPr>
                      <w:rFonts w:ascii="Calibri" w:eastAsia="Times New Roman" w:hAnsi="Calibri"/>
                      <w:color w:val="000000"/>
                      <w:sz w:val="16"/>
                      <w:szCs w:val="22"/>
                      <w:lang w:eastAsia="en-GB"/>
                    </w:rPr>
                    <w:t>7</w:t>
                  </w:r>
                </w:p>
              </w:tc>
              <w:tc>
                <w:tcPr>
                  <w:tcW w:w="428" w:type="pct"/>
                  <w:tcBorders>
                    <w:top w:val="single" w:sz="4" w:space="0" w:color="auto"/>
                    <w:left w:val="nil"/>
                    <w:bottom w:val="single" w:sz="4" w:space="0" w:color="auto"/>
                    <w:right w:val="single" w:sz="4" w:space="0" w:color="auto"/>
                  </w:tcBorders>
                  <w:shd w:val="clear" w:color="000000" w:fill="D9D9D9"/>
                  <w:noWrap/>
                  <w:vAlign w:val="bottom"/>
                  <w:hideMark/>
                </w:tcPr>
                <w:p w:rsidR="00D22D59" w:rsidRPr="00DB088A" w:rsidRDefault="00D22D59" w:rsidP="002C2405">
                  <w:pPr>
                    <w:spacing w:before="0" w:after="0" w:line="240" w:lineRule="auto"/>
                    <w:rPr>
                      <w:rFonts w:ascii="Calibri" w:eastAsia="Times New Roman" w:hAnsi="Calibri"/>
                      <w:color w:val="000000"/>
                      <w:sz w:val="16"/>
                      <w:szCs w:val="22"/>
                      <w:lang w:eastAsia="en-GB"/>
                    </w:rPr>
                  </w:pPr>
                  <w:r w:rsidRPr="00DB088A">
                    <w:rPr>
                      <w:rFonts w:ascii="Calibri" w:eastAsia="Times New Roman" w:hAnsi="Calibri"/>
                      <w:color w:val="000000"/>
                      <w:sz w:val="16"/>
                      <w:szCs w:val="22"/>
                      <w:lang w:eastAsia="en-GB"/>
                    </w:rPr>
                    <w:t>8</w:t>
                  </w:r>
                </w:p>
              </w:tc>
              <w:tc>
                <w:tcPr>
                  <w:tcW w:w="428" w:type="pct"/>
                  <w:tcBorders>
                    <w:top w:val="single" w:sz="4" w:space="0" w:color="auto"/>
                    <w:left w:val="nil"/>
                    <w:bottom w:val="single" w:sz="4" w:space="0" w:color="auto"/>
                    <w:right w:val="single" w:sz="4" w:space="0" w:color="auto"/>
                  </w:tcBorders>
                  <w:shd w:val="clear" w:color="000000" w:fill="D9D9D9"/>
                  <w:noWrap/>
                  <w:vAlign w:val="bottom"/>
                  <w:hideMark/>
                </w:tcPr>
                <w:p w:rsidR="00D22D59" w:rsidRPr="00DB088A" w:rsidRDefault="00D22D59" w:rsidP="002C2405">
                  <w:pPr>
                    <w:spacing w:before="0" w:after="0" w:line="240" w:lineRule="auto"/>
                    <w:rPr>
                      <w:rFonts w:ascii="Calibri" w:eastAsia="Times New Roman" w:hAnsi="Calibri"/>
                      <w:color w:val="000000"/>
                      <w:sz w:val="16"/>
                      <w:szCs w:val="22"/>
                      <w:lang w:eastAsia="en-GB"/>
                    </w:rPr>
                  </w:pPr>
                  <w:r w:rsidRPr="00DB088A">
                    <w:rPr>
                      <w:rFonts w:ascii="Calibri" w:eastAsia="Times New Roman" w:hAnsi="Calibri"/>
                      <w:color w:val="000000"/>
                      <w:sz w:val="16"/>
                      <w:szCs w:val="22"/>
                      <w:lang w:eastAsia="en-GB"/>
                    </w:rPr>
                    <w:t>9</w:t>
                  </w:r>
                </w:p>
              </w:tc>
              <w:tc>
                <w:tcPr>
                  <w:tcW w:w="371" w:type="pct"/>
                  <w:tcBorders>
                    <w:top w:val="single" w:sz="4" w:space="0" w:color="auto"/>
                    <w:left w:val="nil"/>
                    <w:bottom w:val="single" w:sz="4" w:space="0" w:color="auto"/>
                    <w:right w:val="single" w:sz="4" w:space="0" w:color="auto"/>
                  </w:tcBorders>
                  <w:shd w:val="clear" w:color="000000" w:fill="D9D9D9"/>
                  <w:vAlign w:val="bottom"/>
                </w:tcPr>
                <w:p w:rsidR="00D22D59" w:rsidRPr="00DB088A" w:rsidRDefault="00D22D59" w:rsidP="002C2405">
                  <w:pPr>
                    <w:spacing w:before="0" w:after="0" w:line="240" w:lineRule="auto"/>
                    <w:jc w:val="center"/>
                    <w:rPr>
                      <w:rFonts w:ascii="Calibri" w:eastAsia="Times New Roman" w:hAnsi="Calibri"/>
                      <w:color w:val="000000"/>
                      <w:sz w:val="16"/>
                      <w:szCs w:val="22"/>
                      <w:lang w:eastAsia="en-GB"/>
                    </w:rPr>
                  </w:pPr>
                  <w:r w:rsidRPr="00DB088A">
                    <w:rPr>
                      <w:rFonts w:ascii="Calibri" w:eastAsia="Times New Roman" w:hAnsi="Calibri"/>
                      <w:color w:val="000000"/>
                      <w:sz w:val="16"/>
                      <w:szCs w:val="22"/>
                      <w:lang w:eastAsia="en-GB"/>
                    </w:rPr>
                    <w:t>10</w:t>
                  </w:r>
                </w:p>
              </w:tc>
            </w:tr>
            <w:tr w:rsidR="00D22D59" w:rsidRPr="00DB088A" w:rsidTr="002C2405">
              <w:trPr>
                <w:trHeight w:val="300"/>
              </w:trPr>
              <w:tc>
                <w:tcPr>
                  <w:tcW w:w="730" w:type="pct"/>
                  <w:tcBorders>
                    <w:top w:val="nil"/>
                    <w:left w:val="single" w:sz="4" w:space="0" w:color="auto"/>
                    <w:bottom w:val="single" w:sz="4" w:space="0" w:color="auto"/>
                    <w:right w:val="single" w:sz="4" w:space="0" w:color="auto"/>
                  </w:tcBorders>
                  <w:shd w:val="clear" w:color="auto" w:fill="auto"/>
                  <w:noWrap/>
                  <w:vAlign w:val="bottom"/>
                  <w:hideMark/>
                </w:tcPr>
                <w:p w:rsidR="00D22D59" w:rsidRPr="00DB088A" w:rsidRDefault="00D22D59" w:rsidP="002C2405">
                  <w:pPr>
                    <w:spacing w:before="0" w:after="0" w:line="240" w:lineRule="auto"/>
                    <w:rPr>
                      <w:rFonts w:ascii="Calibri" w:eastAsia="Times New Roman" w:hAnsi="Calibri"/>
                      <w:color w:val="000000"/>
                      <w:sz w:val="16"/>
                      <w:szCs w:val="22"/>
                      <w:lang w:eastAsia="en-GB"/>
                    </w:rPr>
                  </w:pPr>
                  <w:r w:rsidRPr="00DB088A">
                    <w:rPr>
                      <w:rFonts w:ascii="Calibri" w:eastAsia="Times New Roman" w:hAnsi="Calibri"/>
                      <w:color w:val="000000"/>
                      <w:sz w:val="16"/>
                      <w:szCs w:val="22"/>
                      <w:lang w:eastAsia="en-GB"/>
                    </w:rPr>
                    <w:t>2010/11</w:t>
                  </w:r>
                </w:p>
              </w:tc>
              <w:tc>
                <w:tcPr>
                  <w:tcW w:w="297" w:type="pct"/>
                  <w:tcBorders>
                    <w:top w:val="nil"/>
                    <w:left w:val="nil"/>
                    <w:bottom w:val="single" w:sz="4" w:space="0" w:color="auto"/>
                    <w:right w:val="single" w:sz="4" w:space="0" w:color="auto"/>
                  </w:tcBorders>
                  <w:shd w:val="clear" w:color="auto" w:fill="auto"/>
                  <w:noWrap/>
                </w:tcPr>
                <w:p w:rsidR="00D22D59" w:rsidRPr="00DB088A" w:rsidRDefault="00D22D59" w:rsidP="002C2405">
                  <w:pPr>
                    <w:spacing w:before="0" w:after="0" w:line="240" w:lineRule="auto"/>
                    <w:rPr>
                      <w:rFonts w:ascii="Calibri" w:eastAsia="Times New Roman" w:hAnsi="Calibri"/>
                      <w:color w:val="000000"/>
                      <w:sz w:val="16"/>
                      <w:szCs w:val="22"/>
                      <w:lang w:eastAsia="en-GB"/>
                    </w:rPr>
                  </w:pPr>
                </w:p>
              </w:tc>
              <w:tc>
                <w:tcPr>
                  <w:tcW w:w="297" w:type="pct"/>
                  <w:tcBorders>
                    <w:top w:val="nil"/>
                    <w:left w:val="nil"/>
                    <w:bottom w:val="single" w:sz="4" w:space="0" w:color="auto"/>
                    <w:right w:val="single" w:sz="4" w:space="0" w:color="auto"/>
                  </w:tcBorders>
                  <w:shd w:val="clear" w:color="auto" w:fill="auto"/>
                  <w:noWrap/>
                </w:tcPr>
                <w:p w:rsidR="00D22D59" w:rsidRPr="00DB088A" w:rsidRDefault="00D22D59" w:rsidP="002C2405">
                  <w:pPr>
                    <w:spacing w:before="0" w:after="0" w:line="240" w:lineRule="auto"/>
                    <w:rPr>
                      <w:rFonts w:ascii="Calibri" w:eastAsia="Times New Roman" w:hAnsi="Calibri"/>
                      <w:color w:val="000000"/>
                      <w:sz w:val="16"/>
                      <w:szCs w:val="22"/>
                      <w:lang w:eastAsia="en-GB"/>
                    </w:rPr>
                  </w:pPr>
                </w:p>
              </w:tc>
              <w:tc>
                <w:tcPr>
                  <w:tcW w:w="428" w:type="pct"/>
                  <w:tcBorders>
                    <w:top w:val="nil"/>
                    <w:left w:val="nil"/>
                    <w:bottom w:val="single" w:sz="4" w:space="0" w:color="auto"/>
                    <w:right w:val="single" w:sz="4" w:space="0" w:color="auto"/>
                  </w:tcBorders>
                  <w:shd w:val="clear" w:color="auto" w:fill="auto"/>
                  <w:noWrap/>
                  <w:vAlign w:val="bottom"/>
                </w:tcPr>
                <w:p w:rsidR="00D22D59" w:rsidRPr="00DB088A" w:rsidRDefault="00D22D59" w:rsidP="002C2405">
                  <w:pPr>
                    <w:spacing w:before="0" w:after="0" w:line="240" w:lineRule="auto"/>
                    <w:jc w:val="center"/>
                    <w:rPr>
                      <w:rFonts w:ascii="Calibri" w:eastAsia="Times New Roman" w:hAnsi="Calibri"/>
                      <w:color w:val="000000"/>
                      <w:sz w:val="16"/>
                      <w:szCs w:val="22"/>
                      <w:lang w:eastAsia="en-GB"/>
                    </w:rPr>
                  </w:pPr>
                  <w:r w:rsidRPr="00DB088A">
                    <w:rPr>
                      <w:rFonts w:ascii="Calibri" w:eastAsia="Times New Roman" w:hAnsi="Calibri"/>
                      <w:color w:val="000000"/>
                      <w:sz w:val="16"/>
                      <w:szCs w:val="22"/>
                      <w:lang w:eastAsia="en-GB"/>
                    </w:rPr>
                    <w:t>79</w:t>
                  </w:r>
                </w:p>
              </w:tc>
              <w:tc>
                <w:tcPr>
                  <w:tcW w:w="428" w:type="pct"/>
                  <w:tcBorders>
                    <w:top w:val="nil"/>
                    <w:left w:val="nil"/>
                    <w:bottom w:val="single" w:sz="4" w:space="0" w:color="auto"/>
                    <w:right w:val="single" w:sz="4" w:space="0" w:color="auto"/>
                  </w:tcBorders>
                  <w:shd w:val="clear" w:color="auto" w:fill="auto"/>
                  <w:noWrap/>
                  <w:vAlign w:val="bottom"/>
                </w:tcPr>
                <w:p w:rsidR="00D22D59" w:rsidRPr="00DB088A" w:rsidRDefault="00D22D59" w:rsidP="002C2405">
                  <w:pPr>
                    <w:spacing w:before="0" w:after="0" w:line="240" w:lineRule="auto"/>
                    <w:jc w:val="center"/>
                    <w:rPr>
                      <w:rFonts w:ascii="Calibri" w:eastAsia="Times New Roman" w:hAnsi="Calibri"/>
                      <w:color w:val="000000"/>
                      <w:sz w:val="16"/>
                      <w:szCs w:val="22"/>
                      <w:lang w:eastAsia="en-GB"/>
                    </w:rPr>
                  </w:pPr>
                  <w:r w:rsidRPr="00DB088A">
                    <w:rPr>
                      <w:rFonts w:ascii="Calibri" w:eastAsia="Times New Roman" w:hAnsi="Calibri"/>
                      <w:color w:val="000000"/>
                      <w:sz w:val="16"/>
                      <w:szCs w:val="22"/>
                      <w:lang w:eastAsia="en-GB"/>
                    </w:rPr>
                    <w:t>79</w:t>
                  </w:r>
                </w:p>
              </w:tc>
              <w:tc>
                <w:tcPr>
                  <w:tcW w:w="531" w:type="pct"/>
                  <w:tcBorders>
                    <w:top w:val="nil"/>
                    <w:left w:val="nil"/>
                    <w:bottom w:val="single" w:sz="4" w:space="0" w:color="auto"/>
                    <w:right w:val="single" w:sz="4" w:space="0" w:color="auto"/>
                  </w:tcBorders>
                  <w:shd w:val="clear" w:color="auto" w:fill="auto"/>
                  <w:noWrap/>
                  <w:vAlign w:val="bottom"/>
                </w:tcPr>
                <w:p w:rsidR="00D22D59" w:rsidRPr="00DB088A" w:rsidRDefault="00D22D59" w:rsidP="002C2405">
                  <w:pPr>
                    <w:spacing w:before="0" w:after="0" w:line="240" w:lineRule="auto"/>
                    <w:jc w:val="center"/>
                    <w:rPr>
                      <w:rFonts w:ascii="Calibri" w:eastAsia="Times New Roman" w:hAnsi="Calibri"/>
                      <w:color w:val="000000"/>
                      <w:sz w:val="16"/>
                      <w:szCs w:val="22"/>
                      <w:lang w:eastAsia="en-GB"/>
                    </w:rPr>
                  </w:pPr>
                  <w:r w:rsidRPr="00DB088A">
                    <w:rPr>
                      <w:rFonts w:ascii="Calibri" w:eastAsia="Times New Roman" w:hAnsi="Calibri"/>
                      <w:color w:val="000000"/>
                      <w:sz w:val="16"/>
                      <w:szCs w:val="22"/>
                      <w:lang w:eastAsia="en-GB"/>
                    </w:rPr>
                    <w:t>131</w:t>
                  </w:r>
                </w:p>
              </w:tc>
              <w:tc>
                <w:tcPr>
                  <w:tcW w:w="531" w:type="pct"/>
                  <w:tcBorders>
                    <w:top w:val="nil"/>
                    <w:left w:val="nil"/>
                    <w:bottom w:val="single" w:sz="4" w:space="0" w:color="auto"/>
                    <w:right w:val="single" w:sz="4" w:space="0" w:color="auto"/>
                  </w:tcBorders>
                  <w:shd w:val="clear" w:color="auto" w:fill="auto"/>
                  <w:noWrap/>
                  <w:vAlign w:val="bottom"/>
                </w:tcPr>
                <w:p w:rsidR="00D22D59" w:rsidRPr="00DB088A" w:rsidRDefault="00D22D59" w:rsidP="002C2405">
                  <w:pPr>
                    <w:spacing w:before="0" w:after="0" w:line="240" w:lineRule="auto"/>
                    <w:jc w:val="center"/>
                    <w:rPr>
                      <w:rFonts w:ascii="Calibri" w:eastAsia="Times New Roman" w:hAnsi="Calibri"/>
                      <w:color w:val="000000"/>
                      <w:sz w:val="16"/>
                      <w:szCs w:val="22"/>
                      <w:lang w:eastAsia="en-GB"/>
                    </w:rPr>
                  </w:pPr>
                  <w:r w:rsidRPr="00DB088A">
                    <w:rPr>
                      <w:rFonts w:ascii="Calibri" w:eastAsia="Times New Roman" w:hAnsi="Calibri"/>
                      <w:color w:val="000000"/>
                      <w:sz w:val="16"/>
                      <w:szCs w:val="22"/>
                      <w:lang w:eastAsia="en-GB"/>
                    </w:rPr>
                    <w:t>131</w:t>
                  </w:r>
                </w:p>
              </w:tc>
              <w:tc>
                <w:tcPr>
                  <w:tcW w:w="531" w:type="pct"/>
                  <w:tcBorders>
                    <w:top w:val="nil"/>
                    <w:left w:val="nil"/>
                    <w:bottom w:val="single" w:sz="4" w:space="0" w:color="auto"/>
                    <w:right w:val="single" w:sz="4" w:space="0" w:color="auto"/>
                  </w:tcBorders>
                  <w:shd w:val="clear" w:color="auto" w:fill="auto"/>
                  <w:noWrap/>
                  <w:vAlign w:val="bottom"/>
                </w:tcPr>
                <w:p w:rsidR="00D22D59" w:rsidRPr="00DB088A" w:rsidRDefault="00D22D59" w:rsidP="002C2405">
                  <w:pPr>
                    <w:spacing w:before="0" w:after="0" w:line="240" w:lineRule="auto"/>
                    <w:jc w:val="center"/>
                    <w:rPr>
                      <w:rFonts w:ascii="Calibri" w:eastAsia="Times New Roman" w:hAnsi="Calibri"/>
                      <w:color w:val="000000"/>
                      <w:sz w:val="16"/>
                      <w:szCs w:val="22"/>
                      <w:lang w:eastAsia="en-GB"/>
                    </w:rPr>
                  </w:pPr>
                  <w:r w:rsidRPr="00DB088A">
                    <w:rPr>
                      <w:rFonts w:ascii="Calibri" w:eastAsia="Times New Roman" w:hAnsi="Calibri"/>
                      <w:color w:val="000000"/>
                      <w:sz w:val="16"/>
                      <w:szCs w:val="22"/>
                      <w:lang w:eastAsia="en-GB"/>
                    </w:rPr>
                    <w:t>113</w:t>
                  </w:r>
                </w:p>
              </w:tc>
              <w:tc>
                <w:tcPr>
                  <w:tcW w:w="428" w:type="pct"/>
                  <w:tcBorders>
                    <w:top w:val="nil"/>
                    <w:left w:val="nil"/>
                    <w:bottom w:val="single" w:sz="4" w:space="0" w:color="auto"/>
                    <w:right w:val="single" w:sz="4" w:space="0" w:color="auto"/>
                  </w:tcBorders>
                  <w:shd w:val="clear" w:color="auto" w:fill="auto"/>
                  <w:noWrap/>
                  <w:vAlign w:val="bottom"/>
                </w:tcPr>
                <w:p w:rsidR="00D22D59" w:rsidRPr="00DB088A" w:rsidRDefault="00D22D59" w:rsidP="002C2405">
                  <w:pPr>
                    <w:spacing w:before="0" w:after="0" w:line="240" w:lineRule="auto"/>
                    <w:jc w:val="center"/>
                    <w:rPr>
                      <w:rFonts w:ascii="Calibri" w:eastAsia="Times New Roman" w:hAnsi="Calibri"/>
                      <w:color w:val="000000"/>
                      <w:sz w:val="16"/>
                      <w:szCs w:val="22"/>
                      <w:lang w:eastAsia="en-GB"/>
                    </w:rPr>
                  </w:pPr>
                  <w:r w:rsidRPr="00DB088A">
                    <w:rPr>
                      <w:rFonts w:ascii="Calibri" w:eastAsia="Times New Roman" w:hAnsi="Calibri"/>
                      <w:color w:val="000000"/>
                      <w:sz w:val="16"/>
                      <w:szCs w:val="22"/>
                      <w:lang w:eastAsia="en-GB"/>
                    </w:rPr>
                    <w:t>90</w:t>
                  </w:r>
                </w:p>
              </w:tc>
              <w:tc>
                <w:tcPr>
                  <w:tcW w:w="428" w:type="pct"/>
                  <w:tcBorders>
                    <w:top w:val="nil"/>
                    <w:left w:val="nil"/>
                    <w:bottom w:val="single" w:sz="4" w:space="0" w:color="auto"/>
                    <w:right w:val="single" w:sz="4" w:space="0" w:color="auto"/>
                  </w:tcBorders>
                  <w:shd w:val="clear" w:color="auto" w:fill="auto"/>
                  <w:noWrap/>
                  <w:vAlign w:val="bottom"/>
                </w:tcPr>
                <w:p w:rsidR="00D22D59" w:rsidRPr="00DB088A" w:rsidRDefault="00D22D59" w:rsidP="002C2405">
                  <w:pPr>
                    <w:spacing w:before="0" w:after="0" w:line="240" w:lineRule="auto"/>
                    <w:jc w:val="center"/>
                    <w:rPr>
                      <w:rFonts w:ascii="Calibri" w:eastAsia="Times New Roman" w:hAnsi="Calibri"/>
                      <w:color w:val="000000"/>
                      <w:sz w:val="16"/>
                      <w:szCs w:val="22"/>
                      <w:lang w:eastAsia="en-GB"/>
                    </w:rPr>
                  </w:pPr>
                  <w:r w:rsidRPr="00DB088A">
                    <w:rPr>
                      <w:rFonts w:ascii="Calibri" w:eastAsia="Times New Roman" w:hAnsi="Calibri"/>
                      <w:color w:val="000000"/>
                      <w:sz w:val="16"/>
                      <w:szCs w:val="22"/>
                      <w:lang w:eastAsia="en-GB"/>
                    </w:rPr>
                    <w:t>90</w:t>
                  </w:r>
                </w:p>
              </w:tc>
              <w:tc>
                <w:tcPr>
                  <w:tcW w:w="371" w:type="pct"/>
                  <w:tcBorders>
                    <w:top w:val="nil"/>
                    <w:left w:val="nil"/>
                    <w:bottom w:val="single" w:sz="4" w:space="0" w:color="auto"/>
                    <w:right w:val="single" w:sz="4" w:space="0" w:color="auto"/>
                  </w:tcBorders>
                  <w:vAlign w:val="bottom"/>
                </w:tcPr>
                <w:p w:rsidR="00D22D59" w:rsidRPr="00DB088A" w:rsidRDefault="00D22D59" w:rsidP="002C2405">
                  <w:pPr>
                    <w:spacing w:before="0" w:after="0" w:line="240" w:lineRule="auto"/>
                    <w:jc w:val="center"/>
                    <w:rPr>
                      <w:rFonts w:ascii="Calibri" w:eastAsia="Times New Roman" w:hAnsi="Calibri"/>
                      <w:color w:val="000000"/>
                      <w:sz w:val="16"/>
                      <w:szCs w:val="22"/>
                      <w:lang w:eastAsia="en-GB"/>
                    </w:rPr>
                  </w:pPr>
                </w:p>
              </w:tc>
            </w:tr>
          </w:tbl>
          <w:p w:rsidR="00D22D59" w:rsidRPr="00DB088A" w:rsidRDefault="00D22D59" w:rsidP="00A9495F">
            <w:pPr>
              <w:pStyle w:val="TableTextNoSpace"/>
            </w:pPr>
          </w:p>
          <w:p w:rsidR="00D22D59" w:rsidRPr="00DB088A" w:rsidRDefault="00D22D59" w:rsidP="00A9495F">
            <w:pPr>
              <w:pStyle w:val="TableTextNoSpace"/>
            </w:pPr>
          </w:p>
          <w:p w:rsidR="00D22D59" w:rsidRPr="00DB088A" w:rsidRDefault="00D22D59" w:rsidP="00A9495F">
            <w:pPr>
              <w:pStyle w:val="TableTextNoSpace"/>
            </w:pPr>
          </w:p>
          <w:p w:rsidR="00D22D59" w:rsidRPr="00DB088A" w:rsidRDefault="00D22D59" w:rsidP="00A9495F">
            <w:pPr>
              <w:pStyle w:val="TableTextNoSpace"/>
            </w:pPr>
            <w:r w:rsidRPr="00DB088A">
              <w:t>Average number of hours at ISCED levels:</w:t>
            </w:r>
          </w:p>
          <w:p w:rsidR="00D22D59" w:rsidRPr="00DB088A" w:rsidRDefault="00D22D59" w:rsidP="00A9495F">
            <w:pPr>
              <w:pStyle w:val="TableTextNoSpace"/>
            </w:pPr>
            <w:r w:rsidRPr="00DB088A">
              <w:t xml:space="preserve">ISCED 1: 105 (Grades </w:t>
            </w:r>
            <w:r>
              <w:t>1</w:t>
            </w:r>
            <w:r w:rsidRPr="00DB088A">
              <w:t>-6</w:t>
            </w:r>
            <w:r>
              <w:t>, ages 6-11</w:t>
            </w:r>
            <w:r w:rsidRPr="00DB088A">
              <w:t>)</w:t>
            </w:r>
          </w:p>
          <w:p w:rsidR="00D22D59" w:rsidRPr="00DB088A" w:rsidRDefault="00D22D59" w:rsidP="00A9495F">
            <w:pPr>
              <w:pStyle w:val="TableTextNoSpace"/>
            </w:pPr>
            <w:r w:rsidRPr="00DB088A">
              <w:t xml:space="preserve">ISCED 2:  98 (Grades </w:t>
            </w:r>
            <w:r>
              <w:t>7-10, ages 12-15</w:t>
            </w:r>
            <w:r w:rsidRPr="00DB088A">
              <w:t>)</w:t>
            </w:r>
          </w:p>
          <w:p w:rsidR="00D22D59" w:rsidRPr="00DB088A" w:rsidRDefault="00D22D59" w:rsidP="00A9495F">
            <w:pPr>
              <w:pStyle w:val="TableTextNoSpace"/>
            </w:pPr>
            <w:r w:rsidRPr="00DB088A">
              <w:t>ISCED 3: not compulsory</w:t>
            </w:r>
            <w:r>
              <w:t xml:space="preserve"> </w:t>
            </w:r>
            <w:r w:rsidRPr="00DB088A">
              <w:t xml:space="preserve">(Grades </w:t>
            </w:r>
            <w:r>
              <w:t>11-13, ages 16-18</w:t>
            </w:r>
            <w:r w:rsidRPr="00DB088A">
              <w:t>)</w:t>
            </w:r>
          </w:p>
          <w:p w:rsidR="00D22D59" w:rsidRPr="00DB088A" w:rsidRDefault="00D22D59" w:rsidP="00A9495F">
            <w:pPr>
              <w:pStyle w:val="TableTextNoSpace"/>
            </w:pPr>
          </w:p>
          <w:p w:rsidR="00D22D59" w:rsidRPr="00DB088A" w:rsidRDefault="00D22D59" w:rsidP="00A9495F">
            <w:pPr>
              <w:pStyle w:val="TableTextNoSpace"/>
            </w:pPr>
          </w:p>
        </w:tc>
        <w:tc>
          <w:tcPr>
            <w:tcW w:w="0" w:type="auto"/>
          </w:tcPr>
          <w:p w:rsidR="00D22D59" w:rsidRPr="00DB088A" w:rsidRDefault="00D22D59" w:rsidP="00D8209D">
            <w:pPr>
              <w:pStyle w:val="TableTextNoSpace"/>
            </w:pPr>
            <w:r w:rsidRPr="00DB088A">
              <w:t xml:space="preserve">Key Data on Teaching Languages at School in Europe, 2012, p.112 </w:t>
            </w:r>
          </w:p>
          <w:p w:rsidR="00D22D59" w:rsidRPr="00DB088A" w:rsidRDefault="00D22D59" w:rsidP="00D8209D">
            <w:pPr>
              <w:pStyle w:val="TableTextNoSpace"/>
            </w:pPr>
          </w:p>
        </w:tc>
      </w:tr>
      <w:tr w:rsidR="00D22D59" w:rsidTr="00935FBB">
        <w:tc>
          <w:tcPr>
            <w:tcW w:w="0" w:type="auto"/>
          </w:tcPr>
          <w:p w:rsidR="00D22D59" w:rsidRDefault="00D22D59" w:rsidP="00A9495F">
            <w:pPr>
              <w:pStyle w:val="TableTextNoSpace"/>
            </w:pPr>
            <w:r>
              <w:lastRenderedPageBreak/>
              <w:t>14</w:t>
            </w:r>
          </w:p>
        </w:tc>
        <w:tc>
          <w:tcPr>
            <w:tcW w:w="0" w:type="auto"/>
            <w:shd w:val="clear" w:color="auto" w:fill="auto"/>
          </w:tcPr>
          <w:p w:rsidR="00D22D59" w:rsidRDefault="00D22D59" w:rsidP="00A9495F">
            <w:pPr>
              <w:pStyle w:val="TableTextNoSpace"/>
            </w:pPr>
            <w:r w:rsidRPr="00C4551A">
              <w:t xml:space="preserve">School autonomy in deciding </w:t>
            </w:r>
            <w:r>
              <w:t>amount of hours in</w:t>
            </w:r>
            <w:r w:rsidRPr="007959A4">
              <w:t xml:space="preserve"> foreign</w:t>
            </w:r>
            <w:r>
              <w:t xml:space="preserve"> language learning</w:t>
            </w:r>
          </w:p>
        </w:tc>
        <w:tc>
          <w:tcPr>
            <w:tcW w:w="0" w:type="auto"/>
            <w:shd w:val="clear" w:color="auto" w:fill="auto"/>
          </w:tcPr>
          <w:p w:rsidR="00D22D59" w:rsidRDefault="00D22D59" w:rsidP="002C2405">
            <w:pPr>
              <w:pStyle w:val="TableBullet"/>
            </w:pPr>
            <w:r>
              <w:t>No</w:t>
            </w:r>
          </w:p>
        </w:tc>
        <w:tc>
          <w:tcPr>
            <w:tcW w:w="0" w:type="auto"/>
          </w:tcPr>
          <w:p w:rsidR="00D22D59" w:rsidRDefault="00D22D59" w:rsidP="00D8209D">
            <w:pPr>
              <w:pStyle w:val="TableTextNoSpace"/>
            </w:pPr>
            <w:r w:rsidRPr="00C4551A">
              <w:t>Key Data on Teaching Languages at School in Europe, 2012</w:t>
            </w:r>
          </w:p>
        </w:tc>
      </w:tr>
      <w:tr w:rsidR="00D22D59" w:rsidRPr="009744D3" w:rsidTr="00935FBB">
        <w:tc>
          <w:tcPr>
            <w:tcW w:w="0" w:type="auto"/>
          </w:tcPr>
          <w:p w:rsidR="00D22D59" w:rsidRPr="009744D3" w:rsidRDefault="00D22D59" w:rsidP="00957A12">
            <w:pPr>
              <w:pStyle w:val="TableTextNoSpace"/>
            </w:pPr>
            <w:r w:rsidRPr="009744D3">
              <w:t>15</w:t>
            </w:r>
          </w:p>
        </w:tc>
        <w:tc>
          <w:tcPr>
            <w:tcW w:w="0" w:type="auto"/>
            <w:shd w:val="clear" w:color="auto" w:fill="auto"/>
          </w:tcPr>
          <w:p w:rsidR="00D22D59" w:rsidRPr="009744D3" w:rsidRDefault="00D22D59" w:rsidP="008917B5">
            <w:pPr>
              <w:pStyle w:val="TableTextNoSpace"/>
            </w:pPr>
            <w:r w:rsidRPr="009744D3">
              <w:t xml:space="preserve">Ages for the </w:t>
            </w:r>
            <w:r w:rsidRPr="009744D3">
              <w:rPr>
                <w:b/>
              </w:rPr>
              <w:t>first</w:t>
            </w:r>
            <w:r w:rsidRPr="009744D3">
              <w:t xml:space="preserve"> foreign language as a compulsory subject </w:t>
            </w:r>
          </w:p>
        </w:tc>
        <w:tc>
          <w:tcPr>
            <w:tcW w:w="0" w:type="auto"/>
            <w:shd w:val="clear" w:color="auto" w:fill="auto"/>
          </w:tcPr>
          <w:p w:rsidR="00D22D59" w:rsidRPr="009744D3" w:rsidRDefault="00D22D59" w:rsidP="005330DD">
            <w:pPr>
              <w:pStyle w:val="TableBullet"/>
            </w:pPr>
            <w:r w:rsidRPr="009744D3">
              <w:t>Start age – 8 (Grade 3)</w:t>
            </w:r>
          </w:p>
          <w:p w:rsidR="00D22D59" w:rsidRPr="009744D3" w:rsidRDefault="00D22D59" w:rsidP="005330DD">
            <w:pPr>
              <w:pStyle w:val="TableBullet"/>
            </w:pPr>
            <w:r w:rsidRPr="009744D3">
              <w:t>Duration (years)  - 10</w:t>
            </w:r>
          </w:p>
          <w:p w:rsidR="00D22D59" w:rsidRPr="009744D3" w:rsidRDefault="00D22D59" w:rsidP="00985BA6">
            <w:pPr>
              <w:pStyle w:val="TableBullet"/>
            </w:pPr>
            <w:r w:rsidRPr="009744D3">
              <w:t xml:space="preserve">Changes – Previously the age of learning one compulsory language was 10 before it was lowered to 8. </w:t>
            </w:r>
          </w:p>
        </w:tc>
        <w:tc>
          <w:tcPr>
            <w:tcW w:w="0" w:type="auto"/>
          </w:tcPr>
          <w:p w:rsidR="00D22D59" w:rsidRPr="009744D3" w:rsidRDefault="00D22D59" w:rsidP="00D8209D">
            <w:pPr>
              <w:pStyle w:val="TableTextNoSpace"/>
            </w:pPr>
            <w:r w:rsidRPr="009744D3">
              <w:t>Key Data on Teaching Languages at School in Europe, 2012, pp. 28-31</w:t>
            </w:r>
          </w:p>
        </w:tc>
      </w:tr>
      <w:tr w:rsidR="00D22D59" w:rsidTr="00935FBB">
        <w:tc>
          <w:tcPr>
            <w:tcW w:w="0" w:type="auto"/>
          </w:tcPr>
          <w:p w:rsidR="00D22D59" w:rsidRPr="009744D3" w:rsidRDefault="00D22D59" w:rsidP="00957A12">
            <w:pPr>
              <w:pStyle w:val="TableTextNoSpace"/>
            </w:pPr>
            <w:r w:rsidRPr="009744D3">
              <w:t>16</w:t>
            </w:r>
          </w:p>
        </w:tc>
        <w:tc>
          <w:tcPr>
            <w:tcW w:w="0" w:type="auto"/>
            <w:shd w:val="clear" w:color="auto" w:fill="auto"/>
          </w:tcPr>
          <w:p w:rsidR="00D22D59" w:rsidRPr="009744D3" w:rsidRDefault="00D22D59" w:rsidP="008917B5">
            <w:pPr>
              <w:pStyle w:val="TableTextNoSpace"/>
            </w:pPr>
            <w:r w:rsidRPr="009744D3">
              <w:t xml:space="preserve">Ages for the </w:t>
            </w:r>
            <w:r w:rsidRPr="009744D3">
              <w:rPr>
                <w:b/>
              </w:rPr>
              <w:t>second</w:t>
            </w:r>
            <w:r w:rsidRPr="009744D3">
              <w:t xml:space="preserve"> foreign language as a compulsory subject</w:t>
            </w:r>
          </w:p>
        </w:tc>
        <w:tc>
          <w:tcPr>
            <w:tcW w:w="0" w:type="auto"/>
            <w:shd w:val="clear" w:color="auto" w:fill="auto"/>
          </w:tcPr>
          <w:p w:rsidR="00D22D59" w:rsidRPr="009744D3" w:rsidRDefault="00D22D59" w:rsidP="005330DD">
            <w:pPr>
              <w:pStyle w:val="TableBullet"/>
            </w:pPr>
            <w:r w:rsidRPr="009744D3">
              <w:t>Start age – 10 (Grade 5)</w:t>
            </w:r>
          </w:p>
          <w:p w:rsidR="00D22D59" w:rsidRPr="009744D3" w:rsidRDefault="00D22D59" w:rsidP="00AF51C3">
            <w:pPr>
              <w:pStyle w:val="TableBullet"/>
            </w:pPr>
            <w:r w:rsidRPr="009744D3">
              <w:t>Duration (years) - 5</w:t>
            </w:r>
          </w:p>
          <w:p w:rsidR="00D22D59" w:rsidRPr="009744D3" w:rsidRDefault="00D22D59" w:rsidP="00985BA6">
            <w:pPr>
              <w:pStyle w:val="TableBullet"/>
            </w:pPr>
            <w:r w:rsidRPr="009744D3">
              <w:t xml:space="preserve">Changes – The age of learning a second foreign language as a compulsory subject used to be 12 years old. </w:t>
            </w:r>
          </w:p>
        </w:tc>
        <w:tc>
          <w:tcPr>
            <w:tcW w:w="0" w:type="auto"/>
          </w:tcPr>
          <w:p w:rsidR="0065214F" w:rsidRPr="009744D3" w:rsidRDefault="00D22D59" w:rsidP="0065214F">
            <w:pPr>
              <w:pStyle w:val="TableTextNoSpace"/>
            </w:pPr>
            <w:r w:rsidRPr="009744D3">
              <w:t>Key Data on Teaching Languages at School in Europe, 2012</w:t>
            </w:r>
          </w:p>
          <w:p w:rsidR="00D22D59" w:rsidRPr="009744D3" w:rsidRDefault="00D22D59" w:rsidP="00D8209D">
            <w:pPr>
              <w:pStyle w:val="TableTextNoSpace"/>
            </w:pPr>
          </w:p>
        </w:tc>
      </w:tr>
      <w:tr w:rsidR="00D22D59" w:rsidTr="00935FBB">
        <w:tc>
          <w:tcPr>
            <w:tcW w:w="0" w:type="auto"/>
          </w:tcPr>
          <w:p w:rsidR="00D22D59" w:rsidRPr="00FF4E3C" w:rsidRDefault="00D22D59" w:rsidP="00957A12">
            <w:pPr>
              <w:pStyle w:val="TableTextNoSpace"/>
            </w:pPr>
            <w:r w:rsidRPr="00FF4E3C">
              <w:t>17</w:t>
            </w:r>
          </w:p>
        </w:tc>
        <w:tc>
          <w:tcPr>
            <w:tcW w:w="0" w:type="auto"/>
            <w:shd w:val="clear" w:color="auto" w:fill="auto"/>
          </w:tcPr>
          <w:p w:rsidR="00D22D59" w:rsidRPr="00FF4E3C" w:rsidRDefault="00D22D59" w:rsidP="008917B5">
            <w:pPr>
              <w:pStyle w:val="TableTextNoSpace"/>
            </w:pPr>
            <w:r w:rsidRPr="00FF4E3C">
              <w:t xml:space="preserve">Ages for the </w:t>
            </w:r>
            <w:r w:rsidRPr="00FF4E3C">
              <w:rPr>
                <w:b/>
              </w:rPr>
              <w:t>third</w:t>
            </w:r>
            <w:r w:rsidRPr="00FF4E3C">
              <w:t xml:space="preserve"> foreign language as a compulsory subject</w:t>
            </w:r>
          </w:p>
        </w:tc>
        <w:tc>
          <w:tcPr>
            <w:tcW w:w="0" w:type="auto"/>
            <w:shd w:val="clear" w:color="auto" w:fill="auto"/>
          </w:tcPr>
          <w:p w:rsidR="00D22D59" w:rsidRPr="00FF4E3C" w:rsidRDefault="00D22D59" w:rsidP="005330DD">
            <w:pPr>
              <w:pStyle w:val="TableBullet"/>
            </w:pPr>
            <w:r w:rsidRPr="00FF4E3C">
              <w:t xml:space="preserve">Start age – not compulsory </w:t>
            </w:r>
          </w:p>
          <w:p w:rsidR="00D22D59" w:rsidRPr="00FF4E3C" w:rsidRDefault="00D22D59" w:rsidP="00AF51C3">
            <w:pPr>
              <w:pStyle w:val="TableBullet"/>
            </w:pPr>
            <w:r w:rsidRPr="00FF4E3C">
              <w:t>Duration (years)</w:t>
            </w:r>
          </w:p>
          <w:p w:rsidR="00D22D59" w:rsidRPr="00FF4E3C" w:rsidRDefault="00D22D59" w:rsidP="00985BA6">
            <w:pPr>
              <w:pStyle w:val="TableBullet"/>
            </w:pPr>
            <w:r w:rsidRPr="00FF4E3C">
              <w:t>Changes</w:t>
            </w:r>
          </w:p>
        </w:tc>
        <w:tc>
          <w:tcPr>
            <w:tcW w:w="0" w:type="auto"/>
          </w:tcPr>
          <w:p w:rsidR="0065214F" w:rsidRPr="00FF4E3C" w:rsidRDefault="00D22D59" w:rsidP="0065214F">
            <w:pPr>
              <w:pStyle w:val="TableTextNoSpace"/>
            </w:pPr>
            <w:r w:rsidRPr="00FF4E3C">
              <w:t>Key Data on Teaching Languages at School in Europe, 2012</w:t>
            </w:r>
          </w:p>
          <w:p w:rsidR="00D22D59" w:rsidRPr="00FF4E3C" w:rsidRDefault="00D22D59" w:rsidP="00D8209D">
            <w:pPr>
              <w:pStyle w:val="TableTextNoSpace"/>
            </w:pPr>
          </w:p>
        </w:tc>
      </w:tr>
      <w:tr w:rsidR="00D22D59" w:rsidTr="00935FBB">
        <w:tc>
          <w:tcPr>
            <w:tcW w:w="0" w:type="auto"/>
          </w:tcPr>
          <w:p w:rsidR="00D22D59" w:rsidRPr="00FF4E3C" w:rsidRDefault="00D22D59" w:rsidP="00AC50A4">
            <w:pPr>
              <w:pStyle w:val="TableTextNoSpace"/>
            </w:pPr>
            <w:r w:rsidRPr="00FF4E3C">
              <w:t>18</w:t>
            </w:r>
          </w:p>
        </w:tc>
        <w:tc>
          <w:tcPr>
            <w:tcW w:w="0" w:type="auto"/>
            <w:shd w:val="clear" w:color="auto" w:fill="auto"/>
          </w:tcPr>
          <w:p w:rsidR="00D22D59" w:rsidRPr="00FF4E3C" w:rsidRDefault="00D22D59" w:rsidP="00D16407">
            <w:pPr>
              <w:pStyle w:val="TableTextNoSpace"/>
            </w:pPr>
            <w:r w:rsidRPr="00FF4E3C">
              <w:t xml:space="preserve">Where not compulsory, age at which foreign language can be chosen </w:t>
            </w:r>
          </w:p>
        </w:tc>
        <w:tc>
          <w:tcPr>
            <w:tcW w:w="0" w:type="auto"/>
            <w:shd w:val="clear" w:color="auto" w:fill="auto"/>
          </w:tcPr>
          <w:p w:rsidR="00D22D59" w:rsidRPr="00FF4E3C" w:rsidRDefault="00D22D59" w:rsidP="005330DD">
            <w:pPr>
              <w:pStyle w:val="TableBullet"/>
            </w:pPr>
            <w:r w:rsidRPr="00FF4E3C">
              <w:t>Start age</w:t>
            </w:r>
          </w:p>
          <w:p w:rsidR="00D22D59" w:rsidRPr="00FF4E3C" w:rsidRDefault="00D22D59" w:rsidP="00AF51C3">
            <w:pPr>
              <w:pStyle w:val="TableBullet"/>
            </w:pPr>
            <w:r w:rsidRPr="00FF4E3C">
              <w:t>Duration (years)</w:t>
            </w:r>
          </w:p>
          <w:p w:rsidR="00D22D59" w:rsidRPr="00FF4E3C" w:rsidRDefault="00D22D59" w:rsidP="00985BA6">
            <w:pPr>
              <w:pStyle w:val="TableBullet"/>
            </w:pPr>
            <w:r w:rsidRPr="00FF4E3C">
              <w:t xml:space="preserve">Changes  </w:t>
            </w:r>
          </w:p>
        </w:tc>
        <w:tc>
          <w:tcPr>
            <w:tcW w:w="0" w:type="auto"/>
          </w:tcPr>
          <w:p w:rsidR="00D22D59" w:rsidRPr="00FF4E3C" w:rsidRDefault="00D22D59" w:rsidP="00D8209D">
            <w:pPr>
              <w:pStyle w:val="TableTextNoSpace"/>
            </w:pPr>
          </w:p>
        </w:tc>
      </w:tr>
      <w:tr w:rsidR="00D22D59" w:rsidRPr="009744D3" w:rsidTr="00935FBB">
        <w:tc>
          <w:tcPr>
            <w:tcW w:w="0" w:type="auto"/>
          </w:tcPr>
          <w:p w:rsidR="00D22D59" w:rsidRPr="009744D3" w:rsidRDefault="00D22D59" w:rsidP="00AC50A4">
            <w:pPr>
              <w:pStyle w:val="TableTextNoSpace"/>
            </w:pPr>
            <w:r w:rsidRPr="009744D3">
              <w:t>19</w:t>
            </w:r>
          </w:p>
        </w:tc>
        <w:tc>
          <w:tcPr>
            <w:tcW w:w="0" w:type="auto"/>
            <w:shd w:val="clear" w:color="auto" w:fill="auto"/>
          </w:tcPr>
          <w:p w:rsidR="00D22D59" w:rsidRPr="009744D3" w:rsidRDefault="00D22D59" w:rsidP="00F4553D">
            <w:pPr>
              <w:pStyle w:val="TableTextNoSpace"/>
            </w:pPr>
            <w:r w:rsidRPr="009744D3">
              <w:t>Foreign languages specified by central education authorities (full-time compulsory education) to be taught (single language or options)</w:t>
            </w:r>
          </w:p>
        </w:tc>
        <w:tc>
          <w:tcPr>
            <w:tcW w:w="0" w:type="auto"/>
            <w:shd w:val="clear" w:color="auto" w:fill="auto"/>
          </w:tcPr>
          <w:p w:rsidR="00D22D59" w:rsidRPr="009744D3" w:rsidRDefault="00D22D59" w:rsidP="009744D3">
            <w:pPr>
              <w:pStyle w:val="TableBullet"/>
              <w:numPr>
                <w:ilvl w:val="0"/>
                <w:numId w:val="0"/>
              </w:numPr>
              <w:ind w:left="33"/>
            </w:pPr>
            <w:r w:rsidRPr="009744D3">
              <w:t xml:space="preserve">English is a mandatory foreign language which has been specified by the central education authority. </w:t>
            </w:r>
            <w:r>
              <w:t xml:space="preserve">This is followed by </w:t>
            </w:r>
            <w:r w:rsidRPr="009744D3">
              <w:t>French and German at ISCED 1-3</w:t>
            </w:r>
          </w:p>
          <w:p w:rsidR="00D22D59" w:rsidRPr="009744D3" w:rsidRDefault="00D22D59" w:rsidP="003F4EF8">
            <w:pPr>
              <w:pStyle w:val="TableTextNoSpace"/>
            </w:pPr>
          </w:p>
        </w:tc>
        <w:tc>
          <w:tcPr>
            <w:tcW w:w="0" w:type="auto"/>
          </w:tcPr>
          <w:p w:rsidR="00D22D59" w:rsidRPr="009744D3" w:rsidRDefault="00D22D59" w:rsidP="00D8209D">
            <w:pPr>
              <w:pStyle w:val="TableTextNoSpace"/>
            </w:pPr>
            <w:r w:rsidRPr="009744D3">
              <w:t>Key Data on Teaching Languages at School in Europe, 2012, pp 45-48</w:t>
            </w:r>
          </w:p>
          <w:p w:rsidR="00D22D59" w:rsidRPr="009744D3" w:rsidRDefault="00D22D59" w:rsidP="00D8209D">
            <w:pPr>
              <w:pStyle w:val="TableTextNoSpace"/>
            </w:pPr>
          </w:p>
        </w:tc>
      </w:tr>
      <w:tr w:rsidR="00D22D59" w:rsidTr="00935FBB">
        <w:tc>
          <w:tcPr>
            <w:tcW w:w="0" w:type="auto"/>
          </w:tcPr>
          <w:p w:rsidR="00D22D59" w:rsidRPr="009744D3" w:rsidRDefault="00D22D59" w:rsidP="00AC50A4">
            <w:pPr>
              <w:pStyle w:val="TableTextNoSpace"/>
            </w:pPr>
            <w:r w:rsidRPr="009744D3">
              <w:t>20</w:t>
            </w:r>
          </w:p>
        </w:tc>
        <w:tc>
          <w:tcPr>
            <w:tcW w:w="0" w:type="auto"/>
            <w:shd w:val="clear" w:color="auto" w:fill="auto"/>
          </w:tcPr>
          <w:p w:rsidR="00D22D59" w:rsidRPr="009744D3" w:rsidRDefault="00D22D59" w:rsidP="00AC3906">
            <w:pPr>
              <w:pStyle w:val="TableTextNoSpace"/>
            </w:pPr>
            <w:r w:rsidRPr="009744D3">
              <w:t xml:space="preserve">Entitlement to learning two foreign languages in the curriculum but outside compulsory foreign language learning </w:t>
            </w:r>
          </w:p>
        </w:tc>
        <w:tc>
          <w:tcPr>
            <w:tcW w:w="0" w:type="auto"/>
            <w:shd w:val="clear" w:color="auto" w:fill="auto"/>
          </w:tcPr>
          <w:p w:rsidR="00D22D59" w:rsidRPr="009744D3" w:rsidRDefault="00D22D59" w:rsidP="00AC3906">
            <w:pPr>
              <w:pStyle w:val="TableTextNoSpace"/>
            </w:pPr>
            <w:r w:rsidRPr="009744D3">
              <w:t>Spanish and Italian (ISCED 2-3)</w:t>
            </w:r>
          </w:p>
          <w:p w:rsidR="00D22D59" w:rsidRPr="009744D3" w:rsidRDefault="00D22D59" w:rsidP="009744D3">
            <w:pPr>
              <w:pStyle w:val="TableTextNoSpace"/>
            </w:pPr>
          </w:p>
        </w:tc>
        <w:tc>
          <w:tcPr>
            <w:tcW w:w="0" w:type="auto"/>
          </w:tcPr>
          <w:p w:rsidR="00D22D59" w:rsidRPr="009744D3" w:rsidRDefault="00D22D59" w:rsidP="00D8209D">
            <w:pPr>
              <w:pStyle w:val="TableTextNoSpace"/>
            </w:pPr>
            <w:r w:rsidRPr="009744D3">
              <w:t>Key Data on Teaching Languages at School in Europe, 2012, p. 32p.35, P.48</w:t>
            </w:r>
          </w:p>
        </w:tc>
      </w:tr>
      <w:tr w:rsidR="00D22D59" w:rsidTr="00935FBB">
        <w:tc>
          <w:tcPr>
            <w:tcW w:w="0" w:type="auto"/>
          </w:tcPr>
          <w:p w:rsidR="00D22D59" w:rsidRDefault="00D22D59" w:rsidP="00AC50A4">
            <w:pPr>
              <w:pStyle w:val="TableTextNoSpace"/>
            </w:pPr>
            <w:r>
              <w:t>21</w:t>
            </w:r>
          </w:p>
        </w:tc>
        <w:tc>
          <w:tcPr>
            <w:tcW w:w="0" w:type="auto"/>
            <w:shd w:val="clear" w:color="auto" w:fill="auto"/>
          </w:tcPr>
          <w:p w:rsidR="00D22D59" w:rsidRDefault="00D22D59" w:rsidP="007F6F24">
            <w:pPr>
              <w:pStyle w:val="TableTextNoSpace"/>
            </w:pPr>
            <w:r>
              <w:t>Foreign language requirements for entry to HE</w:t>
            </w:r>
          </w:p>
        </w:tc>
        <w:tc>
          <w:tcPr>
            <w:tcW w:w="0" w:type="auto"/>
            <w:shd w:val="clear" w:color="auto" w:fill="auto"/>
          </w:tcPr>
          <w:p w:rsidR="00D22D59" w:rsidRDefault="00D22D59" w:rsidP="00AC3906">
            <w:pPr>
              <w:pStyle w:val="TableTextNoSpace"/>
            </w:pPr>
          </w:p>
        </w:tc>
        <w:tc>
          <w:tcPr>
            <w:tcW w:w="0" w:type="auto"/>
          </w:tcPr>
          <w:p w:rsidR="00D22D59" w:rsidRPr="007F0676" w:rsidRDefault="00D22D59" w:rsidP="00D8209D">
            <w:pPr>
              <w:pStyle w:val="TableTextNoSpace"/>
            </w:pPr>
          </w:p>
        </w:tc>
      </w:tr>
      <w:tr w:rsidR="00D22D59" w:rsidTr="00935FBB">
        <w:trPr>
          <w:gridAfter w:val="3"/>
        </w:trPr>
        <w:tc>
          <w:tcPr>
            <w:tcW w:w="0" w:type="auto"/>
            <w:shd w:val="clear" w:color="auto" w:fill="365F91" w:themeFill="accent1" w:themeFillShade="BF"/>
          </w:tcPr>
          <w:p w:rsidR="00D22D59" w:rsidRPr="00737959" w:rsidRDefault="00D22D59" w:rsidP="00737959">
            <w:pPr>
              <w:pStyle w:val="TableTextNoSpace"/>
              <w:jc w:val="center"/>
              <w:rPr>
                <w:color w:val="FFFFFF" w:themeColor="background1"/>
              </w:rPr>
            </w:pPr>
          </w:p>
        </w:tc>
      </w:tr>
      <w:tr w:rsidR="00D22D59" w:rsidRPr="007959A4" w:rsidTr="00A9495F">
        <w:trPr>
          <w:gridAfter w:val="3"/>
          <w:trHeight w:val="225"/>
        </w:trPr>
        <w:tc>
          <w:tcPr>
            <w:tcW w:w="0" w:type="auto"/>
            <w:shd w:val="clear" w:color="auto" w:fill="B8CCE4" w:themeFill="accent1" w:themeFillTint="66"/>
          </w:tcPr>
          <w:p w:rsidR="00D22D59" w:rsidRPr="007959A4" w:rsidRDefault="00D22D59" w:rsidP="00A9495F">
            <w:pPr>
              <w:pStyle w:val="TableTextNoSpace"/>
            </w:pPr>
          </w:p>
        </w:tc>
      </w:tr>
      <w:tr w:rsidR="00D22D59" w:rsidTr="00935FBB">
        <w:trPr>
          <w:trHeight w:val="225"/>
        </w:trPr>
        <w:tc>
          <w:tcPr>
            <w:tcW w:w="0" w:type="auto"/>
          </w:tcPr>
          <w:p w:rsidR="00D22D59" w:rsidRPr="007959A4" w:rsidRDefault="00D22D59" w:rsidP="00A9495F">
            <w:pPr>
              <w:pStyle w:val="TableTextNoSpace"/>
            </w:pPr>
            <w:r>
              <w:t>22</w:t>
            </w:r>
          </w:p>
        </w:tc>
        <w:tc>
          <w:tcPr>
            <w:tcW w:w="0" w:type="auto"/>
            <w:shd w:val="clear" w:color="auto" w:fill="auto"/>
          </w:tcPr>
          <w:p w:rsidR="00D22D59" w:rsidRDefault="00D22D59" w:rsidP="00A9495F">
            <w:pPr>
              <w:pStyle w:val="TableTextNoSpace"/>
            </w:pPr>
            <w:r>
              <w:t>% of total time in curriculum (all foreign languages)</w:t>
            </w:r>
          </w:p>
          <w:p w:rsidR="00D22D59" w:rsidRPr="00165526" w:rsidRDefault="00D22D59" w:rsidP="00170A28">
            <w:pPr>
              <w:pStyle w:val="TableTextNoSpace"/>
              <w:rPr>
                <w:i/>
              </w:rPr>
            </w:pPr>
            <w:r w:rsidRPr="00165526">
              <w:rPr>
                <w:i/>
              </w:rPr>
              <w:lastRenderedPageBreak/>
              <w:t>EU: generally less than 10%</w:t>
            </w:r>
          </w:p>
        </w:tc>
        <w:tc>
          <w:tcPr>
            <w:tcW w:w="0" w:type="auto"/>
            <w:shd w:val="clear" w:color="auto" w:fill="auto"/>
          </w:tcPr>
          <w:p w:rsidR="00D22D59" w:rsidRDefault="00D22D59" w:rsidP="00D16407">
            <w:pPr>
              <w:pStyle w:val="TableBullet"/>
            </w:pPr>
            <w:r>
              <w:lastRenderedPageBreak/>
              <w:t xml:space="preserve">ISCED 1 – 7.3% </w:t>
            </w:r>
          </w:p>
          <w:p w:rsidR="00D22D59" w:rsidRDefault="00D22D59" w:rsidP="00D16407">
            <w:pPr>
              <w:pStyle w:val="TableBullet"/>
            </w:pPr>
            <w:r>
              <w:t xml:space="preserve">ISCED 2 – 10% </w:t>
            </w:r>
          </w:p>
          <w:p w:rsidR="00D22D59" w:rsidRDefault="00D22D59" w:rsidP="00650EC5">
            <w:pPr>
              <w:pStyle w:val="TableBullet"/>
            </w:pPr>
            <w:r>
              <w:lastRenderedPageBreak/>
              <w:t>ISCED 3  - no data</w:t>
            </w:r>
          </w:p>
          <w:p w:rsidR="00D22D59" w:rsidRDefault="00D22D59" w:rsidP="003F4EF8">
            <w:pPr>
              <w:pStyle w:val="TableBullet"/>
              <w:numPr>
                <w:ilvl w:val="0"/>
                <w:numId w:val="0"/>
              </w:numPr>
              <w:ind w:left="340" w:hanging="340"/>
            </w:pPr>
          </w:p>
        </w:tc>
        <w:tc>
          <w:tcPr>
            <w:tcW w:w="0" w:type="auto"/>
          </w:tcPr>
          <w:p w:rsidR="00D22D59" w:rsidRPr="007959A4" w:rsidRDefault="00D22D59" w:rsidP="00D8209D">
            <w:pPr>
              <w:pStyle w:val="TableTextNoSpace"/>
            </w:pPr>
            <w:r w:rsidRPr="00170A28">
              <w:lastRenderedPageBreak/>
              <w:t xml:space="preserve">Key Data on Teaching Languages at School in </w:t>
            </w:r>
            <w:r w:rsidRPr="00170A28">
              <w:lastRenderedPageBreak/>
              <w:t>Europe, 2012</w:t>
            </w:r>
            <w:r>
              <w:t>, pp 121-122</w:t>
            </w:r>
          </w:p>
        </w:tc>
      </w:tr>
      <w:tr w:rsidR="00D22D59" w:rsidTr="00935FBB">
        <w:tc>
          <w:tcPr>
            <w:tcW w:w="0" w:type="auto"/>
          </w:tcPr>
          <w:p w:rsidR="00D22D59" w:rsidRDefault="00D22D59" w:rsidP="00A9495F">
            <w:pPr>
              <w:pStyle w:val="TableTextNoSpace"/>
            </w:pPr>
            <w:r>
              <w:lastRenderedPageBreak/>
              <w:t>23</w:t>
            </w:r>
          </w:p>
        </w:tc>
        <w:tc>
          <w:tcPr>
            <w:tcW w:w="0" w:type="auto"/>
            <w:shd w:val="clear" w:color="auto" w:fill="auto"/>
          </w:tcPr>
          <w:p w:rsidR="00D22D59" w:rsidRDefault="00D22D59" w:rsidP="00D9751B">
            <w:pPr>
              <w:pStyle w:val="TableTextNoSpace"/>
            </w:pPr>
            <w:r>
              <w:t>Description of policies or practices to increase the number of hours devoted to the teaching of foreign languages</w:t>
            </w:r>
          </w:p>
        </w:tc>
        <w:tc>
          <w:tcPr>
            <w:tcW w:w="0" w:type="auto"/>
            <w:shd w:val="clear" w:color="auto" w:fill="auto"/>
          </w:tcPr>
          <w:p w:rsidR="00D22D59" w:rsidRDefault="00D22D59" w:rsidP="00B703F5">
            <w:pPr>
              <w:pStyle w:val="TableTextNoSpace"/>
            </w:pPr>
            <w:r>
              <w:t xml:space="preserve">In Greece, when students study two foreign languages as compulsory subjects, the taught time for foreign languages increases so that 90 hours are allocated to each. </w:t>
            </w:r>
          </w:p>
          <w:p w:rsidR="00D22D59" w:rsidRDefault="00D22D59" w:rsidP="00B703F5">
            <w:pPr>
              <w:pStyle w:val="TableTextNoSpace"/>
            </w:pPr>
          </w:p>
        </w:tc>
        <w:tc>
          <w:tcPr>
            <w:tcW w:w="0" w:type="auto"/>
          </w:tcPr>
          <w:p w:rsidR="00D22D59" w:rsidRPr="00170A28" w:rsidRDefault="00D22D59" w:rsidP="00D8209D">
            <w:pPr>
              <w:pStyle w:val="TableTextNoSpace"/>
            </w:pPr>
            <w:r w:rsidRPr="00170A28">
              <w:t>Key Data on Teaching Languages at School in Europe, 2012</w:t>
            </w:r>
            <w:r>
              <w:t>, pp113-</w:t>
            </w:r>
          </w:p>
        </w:tc>
      </w:tr>
      <w:tr w:rsidR="00D22D59" w:rsidTr="00D45BFA">
        <w:trPr>
          <w:gridAfter w:val="3"/>
        </w:trPr>
        <w:tc>
          <w:tcPr>
            <w:tcW w:w="0" w:type="auto"/>
            <w:shd w:val="clear" w:color="auto" w:fill="B8CCE4" w:themeFill="accent1" w:themeFillTint="66"/>
          </w:tcPr>
          <w:p w:rsidR="00D22D59" w:rsidRPr="00AE0D7A" w:rsidRDefault="00D22D59" w:rsidP="00173799">
            <w:pPr>
              <w:pStyle w:val="TableTextNoSpace"/>
            </w:pPr>
          </w:p>
        </w:tc>
      </w:tr>
      <w:tr w:rsidR="0065214F" w:rsidTr="00935FBB">
        <w:tc>
          <w:tcPr>
            <w:tcW w:w="0" w:type="auto"/>
          </w:tcPr>
          <w:p w:rsidR="0065214F" w:rsidRDefault="0065214F" w:rsidP="00A9495F">
            <w:pPr>
              <w:pStyle w:val="TableTextNoSpace"/>
            </w:pPr>
            <w:r>
              <w:t>24</w:t>
            </w:r>
          </w:p>
        </w:tc>
        <w:tc>
          <w:tcPr>
            <w:tcW w:w="0" w:type="auto"/>
            <w:shd w:val="clear" w:color="auto" w:fill="auto"/>
          </w:tcPr>
          <w:p w:rsidR="0065214F" w:rsidRDefault="0065214F" w:rsidP="00F767E9">
            <w:pPr>
              <w:pStyle w:val="TableTextNoSpace"/>
            </w:pPr>
            <w:r>
              <w:t>% of students learning 0 foreign languages</w:t>
            </w:r>
            <w:r w:rsidRPr="00C4551A">
              <w:t xml:space="preserve"> </w:t>
            </w:r>
          </w:p>
        </w:tc>
        <w:tc>
          <w:tcPr>
            <w:tcW w:w="0" w:type="auto"/>
            <w:shd w:val="clear" w:color="auto" w:fill="auto"/>
          </w:tcPr>
          <w:p w:rsidR="0065214F" w:rsidRDefault="0065214F" w:rsidP="00F767E9">
            <w:pPr>
              <w:pStyle w:val="TableBullet"/>
            </w:pPr>
            <w:r>
              <w:t>ISCED 1 - 3.8% (2010)</w:t>
            </w:r>
          </w:p>
          <w:p w:rsidR="0065214F" w:rsidRDefault="0065214F" w:rsidP="00F767E9">
            <w:pPr>
              <w:pStyle w:val="TableBullet"/>
            </w:pPr>
            <w:r>
              <w:t>ISCED 2 – 0.1% (2010)</w:t>
            </w:r>
          </w:p>
          <w:p w:rsidR="0065214F" w:rsidRDefault="0065214F" w:rsidP="0065214F">
            <w:pPr>
              <w:pStyle w:val="TableBullet"/>
            </w:pPr>
            <w:r>
              <w:t>ISCED 3 (prevocational and vocational) – gen 1.0% (2010); pre-voc/voc 33.9% (2010)</w:t>
            </w:r>
          </w:p>
        </w:tc>
        <w:tc>
          <w:tcPr>
            <w:tcW w:w="0" w:type="auto"/>
          </w:tcPr>
          <w:p w:rsidR="0065214F" w:rsidRDefault="0065214F" w:rsidP="00BC7579">
            <w:pPr>
              <w:pStyle w:val="TableTextNoSpace"/>
            </w:pPr>
            <w:r>
              <w:t>Eurostat</w:t>
            </w:r>
            <w:r>
              <w:rPr>
                <w:rStyle w:val="FootnoteReference"/>
              </w:rPr>
              <w:footnoteReference w:id="8"/>
            </w:r>
          </w:p>
        </w:tc>
      </w:tr>
      <w:tr w:rsidR="0065214F" w:rsidTr="00935FBB">
        <w:tc>
          <w:tcPr>
            <w:tcW w:w="0" w:type="auto"/>
          </w:tcPr>
          <w:p w:rsidR="0065214F" w:rsidRDefault="0065214F" w:rsidP="00A9495F">
            <w:pPr>
              <w:pStyle w:val="TableTextNoSpace"/>
            </w:pPr>
            <w:r>
              <w:t>25</w:t>
            </w:r>
          </w:p>
        </w:tc>
        <w:tc>
          <w:tcPr>
            <w:tcW w:w="0" w:type="auto"/>
            <w:shd w:val="clear" w:color="auto" w:fill="auto"/>
          </w:tcPr>
          <w:p w:rsidR="0065214F" w:rsidRDefault="0065214F" w:rsidP="00F767E9">
            <w:pPr>
              <w:pStyle w:val="TableTextNoSpace"/>
            </w:pPr>
            <w:r>
              <w:t>% of students learning 1 foreign language</w:t>
            </w:r>
          </w:p>
        </w:tc>
        <w:tc>
          <w:tcPr>
            <w:tcW w:w="0" w:type="auto"/>
            <w:shd w:val="clear" w:color="auto" w:fill="auto"/>
          </w:tcPr>
          <w:p w:rsidR="0065214F" w:rsidRDefault="0065214F" w:rsidP="00F767E9">
            <w:pPr>
              <w:pStyle w:val="TableBullet"/>
            </w:pPr>
            <w:r>
              <w:t>ISCED 1 – 49.6% (2010)</w:t>
            </w:r>
          </w:p>
          <w:p w:rsidR="0065214F" w:rsidRDefault="0065214F" w:rsidP="00F767E9">
            <w:pPr>
              <w:pStyle w:val="TableBullet"/>
            </w:pPr>
            <w:r>
              <w:t>ISCED 2 – 2.7% (2010)</w:t>
            </w:r>
          </w:p>
          <w:p w:rsidR="0065214F" w:rsidRDefault="0065214F" w:rsidP="0065214F">
            <w:pPr>
              <w:pStyle w:val="TableBullet"/>
            </w:pPr>
            <w:r>
              <w:t>ISCED 3 (prevocational and vocational) – gen 93.3% (2010), pre-voc/voc – 66.1% (2010)</w:t>
            </w:r>
          </w:p>
        </w:tc>
        <w:tc>
          <w:tcPr>
            <w:tcW w:w="0" w:type="auto"/>
          </w:tcPr>
          <w:p w:rsidR="0065214F" w:rsidRDefault="0065214F" w:rsidP="00BC7579">
            <w:pPr>
              <w:pStyle w:val="TableTextNoSpace"/>
            </w:pPr>
            <w:r>
              <w:t>Eurostat</w:t>
            </w:r>
            <w:r>
              <w:rPr>
                <w:rStyle w:val="FootnoteReference"/>
              </w:rPr>
              <w:footnoteReference w:id="9"/>
            </w:r>
          </w:p>
        </w:tc>
      </w:tr>
      <w:tr w:rsidR="0065214F" w:rsidTr="00935FBB">
        <w:tc>
          <w:tcPr>
            <w:tcW w:w="0" w:type="auto"/>
          </w:tcPr>
          <w:p w:rsidR="0065214F" w:rsidRDefault="0065214F" w:rsidP="00C4551A">
            <w:pPr>
              <w:pStyle w:val="TableTextNoSpace"/>
            </w:pPr>
            <w:r>
              <w:t>26</w:t>
            </w:r>
          </w:p>
        </w:tc>
        <w:tc>
          <w:tcPr>
            <w:tcW w:w="0" w:type="auto"/>
            <w:shd w:val="clear" w:color="auto" w:fill="auto"/>
          </w:tcPr>
          <w:p w:rsidR="0065214F" w:rsidRDefault="0065214F" w:rsidP="00F767E9">
            <w:pPr>
              <w:pStyle w:val="TableTextNoSpace"/>
            </w:pPr>
            <w:r>
              <w:t>% of students learning 2 or more foreign languages</w:t>
            </w:r>
          </w:p>
        </w:tc>
        <w:tc>
          <w:tcPr>
            <w:tcW w:w="0" w:type="auto"/>
            <w:shd w:val="clear" w:color="auto" w:fill="auto"/>
          </w:tcPr>
          <w:p w:rsidR="0065214F" w:rsidRDefault="0065214F" w:rsidP="00F767E9">
            <w:pPr>
              <w:pStyle w:val="TableBullet"/>
            </w:pPr>
            <w:r>
              <w:t>ISCED 1 – 46.7% (2010)</w:t>
            </w:r>
          </w:p>
          <w:p w:rsidR="0065214F" w:rsidRDefault="0065214F" w:rsidP="00F767E9">
            <w:pPr>
              <w:pStyle w:val="TableBullet"/>
            </w:pPr>
            <w:r>
              <w:t>ISCED 2 – 2.7% (2010)</w:t>
            </w:r>
          </w:p>
          <w:p w:rsidR="0065214F" w:rsidRDefault="0065214F" w:rsidP="0065214F">
            <w:pPr>
              <w:pStyle w:val="TableBullet"/>
            </w:pPr>
            <w:r>
              <w:t>ISCED 3 (prevocational and vocational) – gen – 5.7%; pre-voc/voc – 0% (2010)</w:t>
            </w:r>
          </w:p>
        </w:tc>
        <w:tc>
          <w:tcPr>
            <w:tcW w:w="0" w:type="auto"/>
          </w:tcPr>
          <w:p w:rsidR="0065214F" w:rsidRDefault="0065214F" w:rsidP="00BC7579">
            <w:pPr>
              <w:pStyle w:val="TableTextNoSpace"/>
            </w:pPr>
            <w:r>
              <w:t>Eurostat</w:t>
            </w:r>
            <w:r>
              <w:rPr>
                <w:rStyle w:val="FootnoteReference"/>
              </w:rPr>
              <w:footnoteReference w:id="10"/>
            </w:r>
          </w:p>
        </w:tc>
      </w:tr>
      <w:tr w:rsidR="00D22D59" w:rsidTr="00935FBB">
        <w:tc>
          <w:tcPr>
            <w:tcW w:w="0" w:type="auto"/>
          </w:tcPr>
          <w:p w:rsidR="00D22D59" w:rsidRPr="009B40A4" w:rsidRDefault="00D22D59" w:rsidP="00C4551A">
            <w:pPr>
              <w:pStyle w:val="TableTextNoSpace"/>
            </w:pPr>
            <w:r w:rsidRPr="009B40A4">
              <w:t>27</w:t>
            </w:r>
          </w:p>
        </w:tc>
        <w:tc>
          <w:tcPr>
            <w:tcW w:w="0" w:type="auto"/>
            <w:shd w:val="clear" w:color="auto" w:fill="auto"/>
          </w:tcPr>
          <w:p w:rsidR="00D22D59" w:rsidRPr="009B40A4" w:rsidRDefault="00D22D59" w:rsidP="00903013">
            <w:pPr>
              <w:pStyle w:val="TableTextNoSpace"/>
            </w:pPr>
            <w:r w:rsidRPr="009B40A4">
              <w:t>Description of differences in numbers of languages learned in upper secondary general and upper secondary VET</w:t>
            </w:r>
          </w:p>
        </w:tc>
        <w:tc>
          <w:tcPr>
            <w:tcW w:w="0" w:type="auto"/>
            <w:shd w:val="clear" w:color="auto" w:fill="auto"/>
          </w:tcPr>
          <w:p w:rsidR="00D22D59" w:rsidRPr="009B40A4" w:rsidRDefault="00D22D59" w:rsidP="00957A12">
            <w:pPr>
              <w:pStyle w:val="TableTextNoSpace"/>
            </w:pPr>
            <w:r w:rsidRPr="009B40A4">
              <w:t>The average number of languages learned in upper secondary general is 1 and in upper secondary VET is 0.7.</w:t>
            </w:r>
          </w:p>
        </w:tc>
        <w:tc>
          <w:tcPr>
            <w:tcW w:w="0" w:type="auto"/>
          </w:tcPr>
          <w:p w:rsidR="00D22D59" w:rsidRPr="009B40A4" w:rsidRDefault="00D22D59" w:rsidP="00D8209D">
            <w:pPr>
              <w:pStyle w:val="TableTextNoSpace"/>
            </w:pPr>
            <w:r w:rsidRPr="009B40A4">
              <w:t>EACEA/Eurydice (2012). Key Data on Teaching Languages at School in Europe 2012, p.65 and 63/71</w:t>
            </w:r>
          </w:p>
        </w:tc>
      </w:tr>
      <w:tr w:rsidR="00D22D59" w:rsidRPr="00D45BFA" w:rsidTr="00A9495F">
        <w:trPr>
          <w:gridAfter w:val="3"/>
        </w:trPr>
        <w:tc>
          <w:tcPr>
            <w:tcW w:w="0" w:type="auto"/>
            <w:shd w:val="clear" w:color="auto" w:fill="B8CCE4" w:themeFill="accent1" w:themeFillTint="66"/>
          </w:tcPr>
          <w:p w:rsidR="00D22D59" w:rsidRPr="00D45BFA" w:rsidRDefault="00D22D59" w:rsidP="00A9495F">
            <w:pPr>
              <w:pStyle w:val="TableTextNoSpace"/>
              <w:rPr>
                <w:color w:val="000000" w:themeColor="text1"/>
              </w:rPr>
            </w:pPr>
          </w:p>
        </w:tc>
      </w:tr>
      <w:tr w:rsidR="00D22D59" w:rsidTr="00A9495F">
        <w:tc>
          <w:tcPr>
            <w:tcW w:w="0" w:type="auto"/>
          </w:tcPr>
          <w:p w:rsidR="00D22D59" w:rsidRDefault="00D22D59" w:rsidP="00A9495F">
            <w:pPr>
              <w:pStyle w:val="TableTextNoSpace"/>
            </w:pPr>
            <w:r>
              <w:t>28</w:t>
            </w:r>
          </w:p>
        </w:tc>
        <w:tc>
          <w:tcPr>
            <w:tcW w:w="0" w:type="auto"/>
            <w:shd w:val="clear" w:color="auto" w:fill="auto"/>
          </w:tcPr>
          <w:p w:rsidR="00D22D59" w:rsidRDefault="00D22D59" w:rsidP="00A9495F">
            <w:pPr>
              <w:pStyle w:val="TableTextNoSpace"/>
            </w:pPr>
            <w:r>
              <w:t>% of students reaching A2 level or</w:t>
            </w:r>
          </w:p>
          <w:p w:rsidR="00D22D59" w:rsidRDefault="00D22D59" w:rsidP="00A9495F">
            <w:pPr>
              <w:pStyle w:val="TableTextNoSpace"/>
            </w:pPr>
            <w:r>
              <w:t xml:space="preserve">higher in the second foreign language at the end of lower secondary education </w:t>
            </w:r>
          </w:p>
          <w:p w:rsidR="00D22D59" w:rsidRPr="00165526" w:rsidRDefault="00D22D59" w:rsidP="00A9495F">
            <w:pPr>
              <w:pStyle w:val="TableTextNoSpace"/>
              <w:rPr>
                <w:i/>
              </w:rPr>
            </w:pPr>
            <w:r w:rsidRPr="00165526">
              <w:rPr>
                <w:i/>
              </w:rPr>
              <w:t xml:space="preserve">EU </w:t>
            </w:r>
            <w:r>
              <w:rPr>
                <w:i/>
              </w:rPr>
              <w:t>a</w:t>
            </w:r>
            <w:r w:rsidRPr="00165526">
              <w:rPr>
                <w:i/>
              </w:rPr>
              <w:t>verage: 42%</w:t>
            </w:r>
          </w:p>
        </w:tc>
        <w:tc>
          <w:tcPr>
            <w:tcW w:w="0" w:type="auto"/>
            <w:shd w:val="clear" w:color="auto" w:fill="auto"/>
          </w:tcPr>
          <w:p w:rsidR="00D22D59" w:rsidRDefault="00D22D59" w:rsidP="00A9495F">
            <w:pPr>
              <w:pStyle w:val="TableTextNoSpace"/>
            </w:pPr>
            <w:r>
              <w:t>Reading – 21%</w:t>
            </w:r>
          </w:p>
          <w:p w:rsidR="00D22D59" w:rsidRDefault="00D22D59" w:rsidP="00A9495F">
            <w:pPr>
              <w:pStyle w:val="TableTextNoSpace"/>
            </w:pPr>
            <w:r>
              <w:t>Listening – 23%</w:t>
            </w:r>
          </w:p>
          <w:p w:rsidR="00D22D59" w:rsidRDefault="00D22D59" w:rsidP="00A9495F">
            <w:pPr>
              <w:pStyle w:val="TableTextNoSpace"/>
            </w:pPr>
            <w:r>
              <w:t>Writing – 27%</w:t>
            </w:r>
          </w:p>
        </w:tc>
        <w:tc>
          <w:tcPr>
            <w:tcW w:w="0" w:type="auto"/>
          </w:tcPr>
          <w:p w:rsidR="00D22D59" w:rsidRPr="00AE0D7A" w:rsidRDefault="00D22D59" w:rsidP="00D8209D">
            <w:pPr>
              <w:pStyle w:val="TableTextNoSpace"/>
            </w:pPr>
            <w:r w:rsidRPr="00346678">
              <w:t>European Survey on Language Competences (ESLC)</w:t>
            </w:r>
          </w:p>
        </w:tc>
      </w:tr>
      <w:tr w:rsidR="00D22D59" w:rsidTr="00A9495F">
        <w:tc>
          <w:tcPr>
            <w:tcW w:w="0" w:type="auto"/>
          </w:tcPr>
          <w:p w:rsidR="00D22D59" w:rsidRPr="00AE0D7A" w:rsidRDefault="00D22D59" w:rsidP="00A9495F">
            <w:pPr>
              <w:pStyle w:val="TableTextNoSpace"/>
            </w:pPr>
            <w:r>
              <w:t>29</w:t>
            </w:r>
          </w:p>
        </w:tc>
        <w:tc>
          <w:tcPr>
            <w:tcW w:w="0" w:type="auto"/>
            <w:shd w:val="clear" w:color="auto" w:fill="auto"/>
          </w:tcPr>
          <w:p w:rsidR="00D22D59" w:rsidRDefault="00D22D59" w:rsidP="00923903">
            <w:pPr>
              <w:pStyle w:val="TableTextNoSpace"/>
            </w:pPr>
            <w:r>
              <w:t xml:space="preserve">National attainment data at all levels </w:t>
            </w:r>
            <w:r>
              <w:lastRenderedPageBreak/>
              <w:t>(achievements in tests or exams) in foreign languages</w:t>
            </w:r>
          </w:p>
        </w:tc>
        <w:tc>
          <w:tcPr>
            <w:tcW w:w="0" w:type="auto"/>
            <w:shd w:val="clear" w:color="auto" w:fill="auto"/>
          </w:tcPr>
          <w:p w:rsidR="00D22D59" w:rsidRDefault="00D22D59" w:rsidP="00A9495F">
            <w:pPr>
              <w:pStyle w:val="TableTextNoSpace"/>
            </w:pPr>
            <w:r>
              <w:lastRenderedPageBreak/>
              <w:t>Data (age, language)</w:t>
            </w:r>
          </w:p>
          <w:p w:rsidR="00D22D59" w:rsidRDefault="00D22D59" w:rsidP="00A552C2">
            <w:pPr>
              <w:pStyle w:val="TableBullet"/>
            </w:pPr>
            <w:r>
              <w:lastRenderedPageBreak/>
              <w:t xml:space="preserve">ISCED 1 </w:t>
            </w:r>
          </w:p>
          <w:p w:rsidR="00D22D59" w:rsidRDefault="00D22D59" w:rsidP="00923903">
            <w:pPr>
              <w:pStyle w:val="TableBullet"/>
            </w:pPr>
            <w:r>
              <w:t>ISCED 2</w:t>
            </w:r>
          </w:p>
          <w:p w:rsidR="00D22D59" w:rsidRDefault="00D22D59" w:rsidP="00923903">
            <w:pPr>
              <w:pStyle w:val="TableBullet"/>
            </w:pPr>
            <w:r>
              <w:t>ISCED 3 (general and VET)</w:t>
            </w:r>
          </w:p>
          <w:p w:rsidR="00D22D59" w:rsidRDefault="00D22D59" w:rsidP="00A9495F">
            <w:pPr>
              <w:pStyle w:val="TableTextNoSpace"/>
            </w:pPr>
          </w:p>
        </w:tc>
        <w:tc>
          <w:tcPr>
            <w:tcW w:w="0" w:type="auto"/>
          </w:tcPr>
          <w:p w:rsidR="00D22D59" w:rsidRPr="00AE0D7A" w:rsidRDefault="00D22D59" w:rsidP="00D8209D">
            <w:pPr>
              <w:pStyle w:val="TableTextNoSpace"/>
            </w:pPr>
          </w:p>
        </w:tc>
      </w:tr>
      <w:tr w:rsidR="00D22D59" w:rsidTr="00A9495F">
        <w:tc>
          <w:tcPr>
            <w:tcW w:w="0" w:type="auto"/>
          </w:tcPr>
          <w:p w:rsidR="00D22D59" w:rsidRPr="00352838" w:rsidRDefault="00D22D59" w:rsidP="00A9495F">
            <w:pPr>
              <w:pStyle w:val="TableTextNoSpace"/>
            </w:pPr>
            <w:r w:rsidRPr="00352838">
              <w:lastRenderedPageBreak/>
              <w:t>30</w:t>
            </w:r>
          </w:p>
        </w:tc>
        <w:tc>
          <w:tcPr>
            <w:tcW w:w="0" w:type="auto"/>
            <w:shd w:val="clear" w:color="auto" w:fill="auto"/>
          </w:tcPr>
          <w:p w:rsidR="00D22D59" w:rsidRPr="00352838" w:rsidRDefault="00D22D59" w:rsidP="00AF51C3">
            <w:pPr>
              <w:pStyle w:val="TableTextNoSpace"/>
            </w:pPr>
            <w:r w:rsidRPr="00352838">
              <w:t>Description of  policies and practices around increased opportunities for children and young people to improve foreign language skills outside compulsory education (including non-formal and informal learning)</w:t>
            </w:r>
          </w:p>
        </w:tc>
        <w:tc>
          <w:tcPr>
            <w:tcW w:w="0" w:type="auto"/>
            <w:shd w:val="clear" w:color="auto" w:fill="auto"/>
          </w:tcPr>
          <w:p w:rsidR="00D22D59" w:rsidRPr="00352838" w:rsidRDefault="00D22D59" w:rsidP="00A9495F">
            <w:pPr>
              <w:pStyle w:val="TableTextNoSpace"/>
            </w:pPr>
          </w:p>
        </w:tc>
        <w:tc>
          <w:tcPr>
            <w:tcW w:w="0" w:type="auto"/>
          </w:tcPr>
          <w:p w:rsidR="00D22D59" w:rsidRPr="00352838" w:rsidRDefault="00D22D59" w:rsidP="00D8209D">
            <w:pPr>
              <w:pStyle w:val="TableTextNoSpace"/>
            </w:pPr>
            <w:r w:rsidRPr="00352838">
              <w:t>European Survey on Language Competences (ESLC)</w:t>
            </w:r>
          </w:p>
        </w:tc>
      </w:tr>
      <w:tr w:rsidR="00D22D59" w:rsidTr="00437E32">
        <w:trPr>
          <w:gridAfter w:val="3"/>
        </w:trPr>
        <w:tc>
          <w:tcPr>
            <w:tcW w:w="0" w:type="auto"/>
            <w:shd w:val="clear" w:color="auto" w:fill="365F91" w:themeFill="accent1" w:themeFillShade="BF"/>
            <w:vAlign w:val="center"/>
          </w:tcPr>
          <w:p w:rsidR="00D22D59" w:rsidRPr="00737959" w:rsidRDefault="00D22D59" w:rsidP="00437E32">
            <w:pPr>
              <w:pStyle w:val="TableTextNoSpace"/>
              <w:jc w:val="center"/>
              <w:rPr>
                <w:b/>
              </w:rPr>
            </w:pPr>
          </w:p>
        </w:tc>
      </w:tr>
      <w:tr w:rsidR="00D22D59" w:rsidRPr="003159F4" w:rsidTr="00935FBB">
        <w:tc>
          <w:tcPr>
            <w:tcW w:w="0" w:type="auto"/>
          </w:tcPr>
          <w:p w:rsidR="00D22D59" w:rsidRPr="000761CE" w:rsidRDefault="00D22D59" w:rsidP="00172E89">
            <w:pPr>
              <w:pStyle w:val="TableTextNoSpace"/>
            </w:pPr>
            <w:r w:rsidRPr="000761CE">
              <w:t>31</w:t>
            </w:r>
          </w:p>
        </w:tc>
        <w:tc>
          <w:tcPr>
            <w:tcW w:w="0" w:type="auto"/>
            <w:shd w:val="clear" w:color="auto" w:fill="auto"/>
          </w:tcPr>
          <w:p w:rsidR="00D22D59" w:rsidRPr="000761CE" w:rsidRDefault="00D22D59" w:rsidP="00C959F7">
            <w:pPr>
              <w:pStyle w:val="TableTextNoSpace"/>
            </w:pPr>
            <w:r w:rsidRPr="000761CE">
              <w:t>Description of  policies and practices to combine the teaching of languages with the teaching of other subjects (CLIL)</w:t>
            </w:r>
          </w:p>
        </w:tc>
        <w:tc>
          <w:tcPr>
            <w:tcW w:w="0" w:type="auto"/>
            <w:shd w:val="clear" w:color="auto" w:fill="auto"/>
          </w:tcPr>
          <w:p w:rsidR="00D22D59" w:rsidRPr="000761CE" w:rsidRDefault="00D22D59" w:rsidP="00D44B04">
            <w:pPr>
              <w:pStyle w:val="TableTextNoSpace"/>
            </w:pPr>
            <w:r w:rsidRPr="000761CE">
              <w:t>In 2006/07 a pilot project (funded by educational authorities) was introduced in Greece to introduce CLIL provision in general and vocational secondary schools, where Information and communication technology (ICT) will be taught in English.</w:t>
            </w:r>
          </w:p>
        </w:tc>
        <w:tc>
          <w:tcPr>
            <w:tcW w:w="0" w:type="auto"/>
          </w:tcPr>
          <w:p w:rsidR="00D22D59" w:rsidRPr="000761CE" w:rsidRDefault="00D22D59" w:rsidP="00D8209D">
            <w:pPr>
              <w:pStyle w:val="TableTextNoSpace"/>
            </w:pPr>
            <w:r w:rsidRPr="000761CE">
              <w:t>Eurydice 2006, Content and Language</w:t>
            </w:r>
          </w:p>
          <w:p w:rsidR="00D22D59" w:rsidRPr="000761CE" w:rsidRDefault="00D22D59" w:rsidP="00D8209D">
            <w:pPr>
              <w:pStyle w:val="TableTextNoSpace"/>
            </w:pPr>
            <w:r w:rsidRPr="000761CE">
              <w:t>Integrated Learning (CLIL)</w:t>
            </w:r>
          </w:p>
          <w:p w:rsidR="00D22D59" w:rsidRPr="000761CE" w:rsidRDefault="00D22D59" w:rsidP="00D8209D">
            <w:pPr>
              <w:pStyle w:val="TableTextNoSpace"/>
            </w:pPr>
            <w:r w:rsidRPr="000761CE">
              <w:t>at School in Europe</w:t>
            </w:r>
          </w:p>
          <w:p w:rsidR="00D22D59" w:rsidRPr="000761CE" w:rsidRDefault="00D22D59" w:rsidP="00D8209D">
            <w:pPr>
              <w:pStyle w:val="TableTextNoSpace"/>
            </w:pPr>
          </w:p>
          <w:p w:rsidR="00D22D59" w:rsidRPr="000761CE" w:rsidRDefault="00D22D59" w:rsidP="00D8209D">
            <w:pPr>
              <w:pStyle w:val="TableTextNoSpace"/>
            </w:pPr>
            <w:r w:rsidRPr="000761CE">
              <w:t>Local projects (European language policy and CLIL report)</w:t>
            </w:r>
          </w:p>
        </w:tc>
      </w:tr>
      <w:tr w:rsidR="00D22D59" w:rsidRPr="003159F4" w:rsidTr="00935FBB">
        <w:tc>
          <w:tcPr>
            <w:tcW w:w="0" w:type="auto"/>
          </w:tcPr>
          <w:p w:rsidR="00D22D59" w:rsidRPr="00D2492C" w:rsidRDefault="00D22D59" w:rsidP="00AC50A4">
            <w:pPr>
              <w:pStyle w:val="TableTextNoSpace"/>
            </w:pPr>
            <w:r w:rsidRPr="00D2492C">
              <w:t>32</w:t>
            </w:r>
          </w:p>
        </w:tc>
        <w:tc>
          <w:tcPr>
            <w:tcW w:w="0" w:type="auto"/>
            <w:shd w:val="clear" w:color="auto" w:fill="auto"/>
          </w:tcPr>
          <w:p w:rsidR="00D22D59" w:rsidRPr="00D2492C" w:rsidRDefault="00D22D59" w:rsidP="007F6F24">
            <w:pPr>
              <w:pStyle w:val="TableTextNoSpace"/>
            </w:pPr>
            <w:r w:rsidRPr="00D2492C">
              <w:t>Description of policies and practices to link the learning of languages to the learning of other transversal skills</w:t>
            </w:r>
          </w:p>
        </w:tc>
        <w:tc>
          <w:tcPr>
            <w:tcW w:w="0" w:type="auto"/>
            <w:shd w:val="clear" w:color="auto" w:fill="auto"/>
          </w:tcPr>
          <w:p w:rsidR="00D22D59" w:rsidRPr="00D2492C" w:rsidRDefault="00D22D59" w:rsidP="00A9495F">
            <w:pPr>
              <w:pStyle w:val="TableTextNoSpace"/>
            </w:pPr>
          </w:p>
        </w:tc>
        <w:tc>
          <w:tcPr>
            <w:tcW w:w="0" w:type="auto"/>
          </w:tcPr>
          <w:p w:rsidR="00D22D59" w:rsidRPr="00D2492C" w:rsidRDefault="00D22D59" w:rsidP="00D8209D">
            <w:pPr>
              <w:pStyle w:val="TableTextNoSpace"/>
            </w:pPr>
            <w:r w:rsidRPr="00D2492C">
              <w:t>Rethinking Education</w:t>
            </w:r>
          </w:p>
          <w:p w:rsidR="00D22D59" w:rsidRPr="00D2492C" w:rsidRDefault="00D22D59" w:rsidP="00D8209D">
            <w:pPr>
              <w:pStyle w:val="TableTextNoSpace"/>
            </w:pPr>
          </w:p>
          <w:p w:rsidR="00D22D59" w:rsidRPr="00D2492C" w:rsidRDefault="00D22D59" w:rsidP="00D8209D">
            <w:pPr>
              <w:pStyle w:val="TableTextNoSpace"/>
            </w:pPr>
            <w:r w:rsidRPr="00D2492C">
              <w:t>Assessment of Key Competences in initial education and training: Policy Guidance</w:t>
            </w:r>
          </w:p>
        </w:tc>
      </w:tr>
      <w:tr w:rsidR="00D22D59" w:rsidRPr="003159F4" w:rsidTr="00935FBB">
        <w:tc>
          <w:tcPr>
            <w:tcW w:w="0" w:type="auto"/>
          </w:tcPr>
          <w:p w:rsidR="00D22D59" w:rsidRPr="00E95FDB" w:rsidRDefault="00D22D59" w:rsidP="00AC50A4">
            <w:pPr>
              <w:pStyle w:val="TableTextNoSpace"/>
            </w:pPr>
            <w:r w:rsidRPr="00E95FDB">
              <w:t>33</w:t>
            </w:r>
          </w:p>
        </w:tc>
        <w:tc>
          <w:tcPr>
            <w:tcW w:w="0" w:type="auto"/>
            <w:shd w:val="clear" w:color="auto" w:fill="auto"/>
          </w:tcPr>
          <w:p w:rsidR="00D22D59" w:rsidRPr="00E95FDB" w:rsidRDefault="00D22D59" w:rsidP="00995E89">
            <w:pPr>
              <w:pStyle w:val="TableTextNoSpace"/>
            </w:pPr>
            <w:r w:rsidRPr="00E95FDB">
              <w:t>Description of  policies and practices around increased opportunities for the development of ICT language learning resources</w:t>
            </w:r>
          </w:p>
        </w:tc>
        <w:tc>
          <w:tcPr>
            <w:tcW w:w="0" w:type="auto"/>
            <w:shd w:val="clear" w:color="auto" w:fill="auto"/>
          </w:tcPr>
          <w:p w:rsidR="00D22D59" w:rsidRPr="00E95FDB" w:rsidRDefault="00D22D59" w:rsidP="00E95FDB">
            <w:pPr>
              <w:pStyle w:val="TableTextNoSpace"/>
            </w:pPr>
            <w:r w:rsidRPr="00E95FDB">
              <w:t>In 2010/11, the percentage of students who said that ICT is regularly used during their language lessons:</w:t>
            </w:r>
          </w:p>
          <w:p w:rsidR="00D22D59" w:rsidRPr="00E95FDB" w:rsidRDefault="00D22D59" w:rsidP="00E95FDB">
            <w:pPr>
              <w:pStyle w:val="TableTextNoSpace"/>
            </w:pPr>
            <w:r w:rsidRPr="00E95FDB">
              <w:t>Internet – 19.7%</w:t>
            </w:r>
          </w:p>
          <w:p w:rsidR="00D22D59" w:rsidRPr="00E95FDB" w:rsidRDefault="00D22D59" w:rsidP="00E95FDB">
            <w:pPr>
              <w:pStyle w:val="TableTextNoSpace"/>
            </w:pPr>
            <w:r w:rsidRPr="00E95FDB">
              <w:t>Computer Programme – 19.1%</w:t>
            </w:r>
          </w:p>
          <w:p w:rsidR="00D22D59" w:rsidRPr="00E95FDB" w:rsidRDefault="00D22D59" w:rsidP="00E95FDB">
            <w:pPr>
              <w:pStyle w:val="TableTextNoSpace"/>
            </w:pPr>
            <w:r w:rsidRPr="00E95FDB">
              <w:t xml:space="preserve">Language laboratory – 15.6% </w:t>
            </w:r>
          </w:p>
        </w:tc>
        <w:tc>
          <w:tcPr>
            <w:tcW w:w="0" w:type="auto"/>
          </w:tcPr>
          <w:p w:rsidR="00D22D59" w:rsidRPr="00E95FDB" w:rsidRDefault="00D22D59" w:rsidP="00D8209D">
            <w:pPr>
              <w:pStyle w:val="TableTextNoSpace"/>
            </w:pPr>
            <w:r w:rsidRPr="00E95FDB">
              <w:t>Key Data on Teaching Languages at School in Europe, 2012 p.107</w:t>
            </w:r>
          </w:p>
          <w:p w:rsidR="00D22D59" w:rsidRPr="00E95FDB" w:rsidRDefault="00D22D59" w:rsidP="00D8209D">
            <w:pPr>
              <w:pStyle w:val="TableTextNoSpace"/>
            </w:pPr>
          </w:p>
        </w:tc>
      </w:tr>
      <w:tr w:rsidR="00D22D59" w:rsidRPr="003159F4" w:rsidTr="00935FBB">
        <w:tc>
          <w:tcPr>
            <w:tcW w:w="0" w:type="auto"/>
          </w:tcPr>
          <w:p w:rsidR="00D22D59" w:rsidRPr="000761CE" w:rsidRDefault="00D22D59" w:rsidP="00AC50A4">
            <w:pPr>
              <w:pStyle w:val="TableTextNoSpace"/>
            </w:pPr>
            <w:r w:rsidRPr="000761CE">
              <w:t>34</w:t>
            </w:r>
          </w:p>
        </w:tc>
        <w:tc>
          <w:tcPr>
            <w:tcW w:w="0" w:type="auto"/>
            <w:shd w:val="clear" w:color="auto" w:fill="auto"/>
          </w:tcPr>
          <w:p w:rsidR="00D22D59" w:rsidRPr="000761CE" w:rsidRDefault="00D22D59" w:rsidP="00317135">
            <w:pPr>
              <w:pStyle w:val="TableTextNoSpace"/>
            </w:pPr>
            <w:r w:rsidRPr="000761CE">
              <w:t xml:space="preserve">Description of  policies and practices in Initial Teacher Education to increase their foreign language teaching  competence and the number of </w:t>
            </w:r>
            <w:r w:rsidRPr="000761CE">
              <w:lastRenderedPageBreak/>
              <w:t>available teachers</w:t>
            </w:r>
          </w:p>
        </w:tc>
        <w:tc>
          <w:tcPr>
            <w:tcW w:w="0" w:type="auto"/>
            <w:shd w:val="clear" w:color="auto" w:fill="auto"/>
          </w:tcPr>
          <w:p w:rsidR="00D22D59" w:rsidRPr="000761CE" w:rsidRDefault="00D22D59" w:rsidP="00A9495F">
            <w:pPr>
              <w:pStyle w:val="TableTextNoSpace"/>
            </w:pPr>
          </w:p>
        </w:tc>
        <w:tc>
          <w:tcPr>
            <w:tcW w:w="0" w:type="auto"/>
          </w:tcPr>
          <w:p w:rsidR="00D22D59" w:rsidRPr="000761CE" w:rsidRDefault="00D22D59" w:rsidP="00D8209D">
            <w:pPr>
              <w:pStyle w:val="TableTextNoSpace"/>
            </w:pPr>
            <w:r w:rsidRPr="000761CE">
              <w:t>Key Data on Teaching Languages at School in Europe, 2012 p90-91, 69</w:t>
            </w:r>
          </w:p>
          <w:p w:rsidR="00D22D59" w:rsidRPr="000761CE" w:rsidRDefault="00D22D59" w:rsidP="00D8209D">
            <w:pPr>
              <w:pStyle w:val="TableTextNoSpace"/>
            </w:pPr>
          </w:p>
          <w:p w:rsidR="00D22D59" w:rsidRPr="000761CE" w:rsidRDefault="00D22D59" w:rsidP="00D8209D">
            <w:pPr>
              <w:pStyle w:val="TableTextNoSpace"/>
            </w:pPr>
            <w:r w:rsidRPr="000761CE">
              <w:lastRenderedPageBreak/>
              <w:t>Key Data on Teachers and School Leaders in Europe, Eurydice 2013</w:t>
            </w:r>
          </w:p>
        </w:tc>
      </w:tr>
      <w:tr w:rsidR="00D22D59" w:rsidRPr="003159F4" w:rsidTr="00935FBB">
        <w:tc>
          <w:tcPr>
            <w:tcW w:w="0" w:type="auto"/>
          </w:tcPr>
          <w:p w:rsidR="00D22D59" w:rsidRPr="000761CE" w:rsidRDefault="00D22D59" w:rsidP="00AC50A4">
            <w:pPr>
              <w:pStyle w:val="TableTextNoSpace"/>
            </w:pPr>
            <w:r w:rsidRPr="000761CE">
              <w:lastRenderedPageBreak/>
              <w:t>35</w:t>
            </w:r>
          </w:p>
        </w:tc>
        <w:tc>
          <w:tcPr>
            <w:tcW w:w="0" w:type="auto"/>
            <w:shd w:val="clear" w:color="auto" w:fill="auto"/>
          </w:tcPr>
          <w:p w:rsidR="00D22D59" w:rsidRPr="000761CE" w:rsidRDefault="00D22D59" w:rsidP="00317135">
            <w:pPr>
              <w:pStyle w:val="TableTextNoSpace"/>
            </w:pPr>
            <w:r w:rsidRPr="000761CE">
              <w:t>Description of  policies and practices in Continuing Professional Development of teachers to increase their foreign language teaching  competence and the number of available teachers</w:t>
            </w:r>
          </w:p>
        </w:tc>
        <w:tc>
          <w:tcPr>
            <w:tcW w:w="0" w:type="auto"/>
            <w:shd w:val="clear" w:color="auto" w:fill="auto"/>
          </w:tcPr>
          <w:p w:rsidR="00D22D59" w:rsidRPr="000761CE" w:rsidRDefault="00D22D59" w:rsidP="000761CE">
            <w:pPr>
              <w:pStyle w:val="TableTextNoSpace"/>
            </w:pPr>
            <w:r w:rsidRPr="000761CE">
              <w:t>In Greece, teachers in primary and secondary education have the right to take educational leave for one year. The leave can be extended if the teacher has been awarded a scholarship from the National Scholarships Foundation. This educational leave could be used for postgraduate studies abroad.</w:t>
            </w:r>
          </w:p>
        </w:tc>
        <w:tc>
          <w:tcPr>
            <w:tcW w:w="0" w:type="auto"/>
          </w:tcPr>
          <w:p w:rsidR="00D22D59" w:rsidRPr="000761CE" w:rsidRDefault="00D22D59" w:rsidP="00D8209D">
            <w:pPr>
              <w:pStyle w:val="TableTextNoSpace"/>
            </w:pPr>
            <w:r w:rsidRPr="000761CE">
              <w:t>Key Data on Teaching Languages at School in Europe, 2012, p. 99-101</w:t>
            </w:r>
          </w:p>
          <w:p w:rsidR="00D22D59" w:rsidRPr="000761CE" w:rsidRDefault="00D22D59" w:rsidP="00D8209D">
            <w:pPr>
              <w:pStyle w:val="TableTextNoSpace"/>
            </w:pPr>
          </w:p>
          <w:p w:rsidR="00D22D59" w:rsidRPr="000761CE" w:rsidRDefault="00D22D59" w:rsidP="00D8209D">
            <w:pPr>
              <w:pStyle w:val="TableTextNoSpace"/>
            </w:pPr>
            <w:r w:rsidRPr="000761CE">
              <w:t>Key Data on Teachers and School Leaders in Europe, Eurydice 2013, p 66-67</w:t>
            </w:r>
          </w:p>
        </w:tc>
      </w:tr>
      <w:tr w:rsidR="00D22D59" w:rsidRPr="003159F4" w:rsidTr="00935FBB">
        <w:tc>
          <w:tcPr>
            <w:tcW w:w="0" w:type="auto"/>
          </w:tcPr>
          <w:p w:rsidR="00D22D59" w:rsidRPr="008119D1" w:rsidRDefault="00D22D59" w:rsidP="00172E89">
            <w:pPr>
              <w:pStyle w:val="TableTextNoSpace"/>
            </w:pPr>
            <w:r w:rsidRPr="008119D1">
              <w:t>36</w:t>
            </w:r>
          </w:p>
        </w:tc>
        <w:tc>
          <w:tcPr>
            <w:tcW w:w="0" w:type="auto"/>
            <w:shd w:val="clear" w:color="auto" w:fill="auto"/>
          </w:tcPr>
          <w:p w:rsidR="00D22D59" w:rsidRPr="008119D1" w:rsidRDefault="00D22D59" w:rsidP="007F6F24">
            <w:pPr>
              <w:pStyle w:val="TableTextNoSpace"/>
            </w:pPr>
            <w:r w:rsidRPr="008119D1">
              <w:t xml:space="preserve">Entry requirements to Initial Teacher Training for teachers of foreign languages </w:t>
            </w:r>
          </w:p>
        </w:tc>
        <w:tc>
          <w:tcPr>
            <w:tcW w:w="0" w:type="auto"/>
            <w:shd w:val="clear" w:color="auto" w:fill="auto"/>
          </w:tcPr>
          <w:p w:rsidR="00D22D59" w:rsidRPr="008119D1" w:rsidRDefault="00D22D59" w:rsidP="005B63E3">
            <w:pPr>
              <w:pStyle w:val="TableTextNoSpace"/>
            </w:pPr>
            <w:r w:rsidRPr="008119D1">
              <w:t xml:space="preserve">Since 2003, recruitment for foreign language teachers for both primary and secondary levels has been based on a competitive examination. Prior to this recruitment was based on a waiting list. </w:t>
            </w:r>
          </w:p>
          <w:p w:rsidR="00D22D59" w:rsidRPr="008119D1" w:rsidRDefault="00D22D59" w:rsidP="005B63E3">
            <w:pPr>
              <w:pStyle w:val="TableTextNoSpace"/>
            </w:pPr>
          </w:p>
          <w:p w:rsidR="00D22D59" w:rsidRPr="0054043A" w:rsidRDefault="00D22D59" w:rsidP="005B63E3">
            <w:pPr>
              <w:pStyle w:val="TableTextNoSpace"/>
            </w:pPr>
            <w:r w:rsidRPr="0054043A">
              <w:t xml:space="preserve">The examination is made up of three parts: </w:t>
            </w:r>
          </w:p>
          <w:p w:rsidR="00D22D59" w:rsidRPr="00D44B04" w:rsidRDefault="00D22D59" w:rsidP="005B63E3">
            <w:pPr>
              <w:pStyle w:val="Bullet1"/>
              <w:rPr>
                <w:rFonts w:cs="Arial"/>
                <w:sz w:val="18"/>
                <w:szCs w:val="18"/>
              </w:rPr>
            </w:pPr>
            <w:r w:rsidRPr="00D44B04">
              <w:rPr>
                <w:sz w:val="18"/>
                <w:szCs w:val="18"/>
              </w:rPr>
              <w:t xml:space="preserve">An assessment of the specific knowledge for the </w:t>
            </w:r>
            <w:r w:rsidRPr="00D44B04">
              <w:rPr>
                <w:rFonts w:cs="Arial"/>
                <w:sz w:val="18"/>
                <w:szCs w:val="18"/>
              </w:rPr>
              <w:t>relevant field or speciality, aptitude for teaching and mastery of the necessary teaching techniques;</w:t>
            </w:r>
          </w:p>
          <w:p w:rsidR="00D22D59" w:rsidRPr="00D44B04" w:rsidRDefault="00D22D59" w:rsidP="009B46A6">
            <w:pPr>
              <w:pStyle w:val="Bullet1"/>
              <w:rPr>
                <w:rFonts w:cs="Arial"/>
                <w:sz w:val="18"/>
                <w:szCs w:val="18"/>
              </w:rPr>
            </w:pPr>
            <w:r w:rsidRPr="00D44B04">
              <w:rPr>
                <w:rFonts w:cs="Arial"/>
                <w:sz w:val="18"/>
                <w:szCs w:val="18"/>
              </w:rPr>
              <w:t>A merit-based selection phase assessing the suitability of candidates (educational background and previous teaching experience); and,</w:t>
            </w:r>
          </w:p>
          <w:p w:rsidR="00D22D59" w:rsidRPr="00D44B04" w:rsidRDefault="00D22D59" w:rsidP="005B63E3">
            <w:pPr>
              <w:pStyle w:val="Bullet1"/>
              <w:rPr>
                <w:rFonts w:cs="Arial"/>
                <w:sz w:val="18"/>
                <w:szCs w:val="18"/>
              </w:rPr>
            </w:pPr>
            <w:r w:rsidRPr="00D44B04">
              <w:rPr>
                <w:rFonts w:cs="Arial"/>
                <w:sz w:val="18"/>
                <w:szCs w:val="18"/>
              </w:rPr>
              <w:t>A probationary period, where the candidate would demonstrate their teaching.</w:t>
            </w:r>
          </w:p>
          <w:p w:rsidR="00D22D59" w:rsidRPr="008119D1" w:rsidRDefault="00D22D59" w:rsidP="00D8209D">
            <w:pPr>
              <w:pStyle w:val="TableTextNoSpace"/>
            </w:pPr>
          </w:p>
        </w:tc>
        <w:tc>
          <w:tcPr>
            <w:tcW w:w="0" w:type="auto"/>
          </w:tcPr>
          <w:p w:rsidR="00D22D59" w:rsidRDefault="00D22D59" w:rsidP="00D8209D">
            <w:pPr>
              <w:pStyle w:val="TableTextNoSpace"/>
            </w:pPr>
            <w:r w:rsidRPr="00E05670">
              <w:t xml:space="preserve">Rethinking Education: Country Analysis </w:t>
            </w:r>
          </w:p>
          <w:p w:rsidR="00D22D59" w:rsidRDefault="00D22D59" w:rsidP="00D8209D">
            <w:pPr>
              <w:pStyle w:val="TableTextNoSpace"/>
            </w:pPr>
          </w:p>
          <w:p w:rsidR="00D22D59" w:rsidRPr="008119D1" w:rsidRDefault="00D22D59" w:rsidP="00D8209D">
            <w:pPr>
              <w:pStyle w:val="TableTextNoSpace"/>
            </w:pPr>
            <w:r w:rsidRPr="008119D1">
              <w:t>Key Data on Teaching Languages at School in Europe, 2012</w:t>
            </w:r>
          </w:p>
          <w:p w:rsidR="00D22D59" w:rsidRPr="008119D1" w:rsidRDefault="00D22D59" w:rsidP="00D8209D">
            <w:pPr>
              <w:pStyle w:val="TableTextNoSpace"/>
            </w:pPr>
          </w:p>
          <w:p w:rsidR="00D22D59" w:rsidRPr="008119D1" w:rsidRDefault="00D22D59" w:rsidP="00D8209D">
            <w:pPr>
              <w:pStyle w:val="TableTextNoSpace"/>
            </w:pPr>
            <w:r w:rsidRPr="008119D1">
              <w:t>Key Data on Teachers and School Leaders in Europe, Eurydice 2013</w:t>
            </w:r>
          </w:p>
        </w:tc>
      </w:tr>
      <w:tr w:rsidR="00D22D59" w:rsidTr="00935FBB">
        <w:tc>
          <w:tcPr>
            <w:tcW w:w="0" w:type="auto"/>
          </w:tcPr>
          <w:p w:rsidR="00D22D59" w:rsidRPr="00212301" w:rsidRDefault="00D22D59" w:rsidP="00172E89">
            <w:pPr>
              <w:pStyle w:val="TableTextNoSpace"/>
            </w:pPr>
            <w:r w:rsidRPr="00212301">
              <w:t>37</w:t>
            </w:r>
          </w:p>
        </w:tc>
        <w:tc>
          <w:tcPr>
            <w:tcW w:w="0" w:type="auto"/>
            <w:shd w:val="clear" w:color="auto" w:fill="auto"/>
          </w:tcPr>
          <w:p w:rsidR="00D22D59" w:rsidRPr="00212301" w:rsidRDefault="00D22D59" w:rsidP="00C959F7">
            <w:pPr>
              <w:pStyle w:val="TableTextNoSpace"/>
            </w:pPr>
            <w:r w:rsidRPr="00212301">
              <w:t>Description of policies and practices to reduce any gender or socio-economic differences in foreign language competence</w:t>
            </w:r>
          </w:p>
        </w:tc>
        <w:tc>
          <w:tcPr>
            <w:tcW w:w="0" w:type="auto"/>
            <w:shd w:val="clear" w:color="auto" w:fill="auto"/>
          </w:tcPr>
          <w:p w:rsidR="00D22D59" w:rsidRPr="00212301" w:rsidRDefault="00D22D59" w:rsidP="00A9495F">
            <w:pPr>
              <w:pStyle w:val="TableTextNoSpace"/>
            </w:pPr>
          </w:p>
        </w:tc>
        <w:tc>
          <w:tcPr>
            <w:tcW w:w="0" w:type="auto"/>
          </w:tcPr>
          <w:p w:rsidR="00D22D59" w:rsidRPr="00212301" w:rsidRDefault="00D22D59" w:rsidP="00D8209D">
            <w:pPr>
              <w:pStyle w:val="TableTextNoSpace"/>
            </w:pPr>
            <w:r w:rsidRPr="00212301">
              <w:t>Eurydice,  Gender Differences in Educational Outcomes: Study on the Measures Taken and the Current Situation in Europe</w:t>
            </w:r>
          </w:p>
        </w:tc>
      </w:tr>
      <w:tr w:rsidR="00D22D59" w:rsidTr="00935FBB">
        <w:tc>
          <w:tcPr>
            <w:tcW w:w="0" w:type="auto"/>
          </w:tcPr>
          <w:p w:rsidR="00D22D59" w:rsidRDefault="00D22D59" w:rsidP="00172E89">
            <w:pPr>
              <w:pStyle w:val="TableTextNoSpace"/>
            </w:pPr>
            <w:r>
              <w:t>38</w:t>
            </w:r>
          </w:p>
        </w:tc>
        <w:tc>
          <w:tcPr>
            <w:tcW w:w="0" w:type="auto"/>
            <w:shd w:val="clear" w:color="auto" w:fill="auto"/>
          </w:tcPr>
          <w:p w:rsidR="00D22D59" w:rsidRDefault="00D22D59" w:rsidP="0065214F">
            <w:pPr>
              <w:pStyle w:val="TableTextNoSpace"/>
            </w:pPr>
            <w:r>
              <w:t xml:space="preserve">Description of policies and practices to increase access to language learning in </w:t>
            </w:r>
            <w:r w:rsidR="0065214F">
              <w:t xml:space="preserve">ISCED 4,5,6 </w:t>
            </w:r>
          </w:p>
        </w:tc>
        <w:tc>
          <w:tcPr>
            <w:tcW w:w="0" w:type="auto"/>
            <w:shd w:val="clear" w:color="auto" w:fill="auto"/>
          </w:tcPr>
          <w:p w:rsidR="00D22D59" w:rsidRDefault="00D22D59" w:rsidP="008119D1">
            <w:pPr>
              <w:pStyle w:val="TableTextNoSpace"/>
            </w:pPr>
            <w:r w:rsidRPr="008119D1">
              <w:t xml:space="preserve">There is a great deal of foreign language teaching and learning (and certification) taking place outside the formal education system, such as in private language schools. </w:t>
            </w:r>
            <w:r>
              <w:t>Outside general education</w:t>
            </w:r>
            <w:r w:rsidRPr="008119D1">
              <w:t>, the State Certificate of Language Competence validates the skills of Greek natives in modern languages and the skills of foreign nationals in the Greek language. It is aligned to the six levels proposed in the European Language Passport</w:t>
            </w:r>
            <w:r>
              <w:t>.</w:t>
            </w:r>
          </w:p>
          <w:p w:rsidR="00D22D59" w:rsidRDefault="00D22D59" w:rsidP="00E66282">
            <w:pPr>
              <w:pStyle w:val="TableTextNoSpace"/>
            </w:pPr>
          </w:p>
          <w:p w:rsidR="00D22D59" w:rsidRDefault="00D22D59" w:rsidP="00E66282">
            <w:pPr>
              <w:pStyle w:val="TableTextNoSpace"/>
            </w:pPr>
            <w:r>
              <w:t>Other practices include EPAL (</w:t>
            </w:r>
            <w:r w:rsidRPr="00E66282">
              <w:rPr>
                <w:bCs/>
              </w:rPr>
              <w:t>Epangelmatiko Lykeio</w:t>
            </w:r>
            <w:r>
              <w:rPr>
                <w:b/>
                <w:bCs/>
              </w:rPr>
              <w:t xml:space="preserve">), </w:t>
            </w:r>
            <w:r w:rsidRPr="00E66282">
              <w:rPr>
                <w:bCs/>
              </w:rPr>
              <w:t xml:space="preserve">which </w:t>
            </w:r>
            <w:r w:rsidRPr="00E66282">
              <w:t>is classified as secondary non-compulsory education and offers both day and evening</w:t>
            </w:r>
            <w:r>
              <w:t xml:space="preserve"> </w:t>
            </w:r>
            <w:r w:rsidRPr="00E66282">
              <w:t xml:space="preserve">classes. </w:t>
            </w:r>
            <w:r>
              <w:t>Foreign languages are taught as part of the EPAL curricula. T</w:t>
            </w:r>
            <w:r w:rsidRPr="008119D1">
              <w:t>he Greek lifelong learning strategy aims to improve the learning of foreign languages.</w:t>
            </w:r>
            <w:r>
              <w:t xml:space="preserve"> </w:t>
            </w:r>
          </w:p>
          <w:p w:rsidR="00D22D59" w:rsidRDefault="00D22D59" w:rsidP="00E66282">
            <w:pPr>
              <w:pStyle w:val="TableTextNoSpace"/>
            </w:pPr>
          </w:p>
          <w:p w:rsidR="00D22D59" w:rsidRDefault="00D22D59" w:rsidP="008C5501">
            <w:pPr>
              <w:pStyle w:val="TableTextNoSpace"/>
              <w:rPr>
                <w:highlight w:val="yellow"/>
              </w:rPr>
            </w:pPr>
            <w:r>
              <w:t>Foreign languages, such as English, French, German</w:t>
            </w:r>
            <w:r w:rsidRPr="00E66282">
              <w:t xml:space="preserve"> and Italian</w:t>
            </w:r>
            <w:r>
              <w:t xml:space="preserve"> are also offered in IVET. The IVET is targeted at </w:t>
            </w:r>
            <w:r w:rsidRPr="00E66282">
              <w:t>adults aged 18+ who do not wish to continue their</w:t>
            </w:r>
            <w:r>
              <w:t xml:space="preserve"> </w:t>
            </w:r>
            <w:r w:rsidRPr="00E66282">
              <w:t>studies in Higher Education (AEI and ATEI)</w:t>
            </w:r>
            <w:r>
              <w:t>,</w:t>
            </w:r>
            <w:r w:rsidRPr="00E66282">
              <w:t xml:space="preserve"> but they need to obtain </w:t>
            </w:r>
            <w:r>
              <w:t xml:space="preserve">their </w:t>
            </w:r>
            <w:r w:rsidRPr="00E66282">
              <w:t>IVET to enter</w:t>
            </w:r>
            <w:r>
              <w:t xml:space="preserve"> the labour market as skilled </w:t>
            </w:r>
            <w:r w:rsidRPr="00E66282">
              <w:t xml:space="preserve"> technicians</w:t>
            </w:r>
            <w:r>
              <w:t>.</w:t>
            </w:r>
          </w:p>
          <w:p w:rsidR="00D22D59" w:rsidRDefault="00D22D59" w:rsidP="008119D1">
            <w:pPr>
              <w:pStyle w:val="TableTextNoSpace"/>
            </w:pPr>
          </w:p>
        </w:tc>
        <w:tc>
          <w:tcPr>
            <w:tcW w:w="0" w:type="auto"/>
          </w:tcPr>
          <w:p w:rsidR="00D22D59" w:rsidRDefault="00D22D59" w:rsidP="00D8209D">
            <w:pPr>
              <w:pStyle w:val="TableTextNoSpace"/>
            </w:pPr>
            <w:r>
              <w:lastRenderedPageBreak/>
              <w:t xml:space="preserve">Cedefop 2011, VET in Europe Country reports </w:t>
            </w:r>
          </w:p>
          <w:p w:rsidR="00D22D59" w:rsidRDefault="00D22D59" w:rsidP="00D8209D">
            <w:pPr>
              <w:pStyle w:val="TableTextNoSpace"/>
            </w:pPr>
          </w:p>
          <w:p w:rsidR="00D22D59" w:rsidRDefault="00D22D59" w:rsidP="00D8209D">
            <w:pPr>
              <w:pStyle w:val="TableTextNoSpace"/>
            </w:pPr>
            <w:r>
              <w:t xml:space="preserve">Language Rich Europe </w:t>
            </w:r>
            <w:r w:rsidRPr="005B6CF5">
              <w:t>Trends in Policies and Practices for Multilingualism in Europe</w:t>
            </w:r>
          </w:p>
        </w:tc>
      </w:tr>
    </w:tbl>
    <w:p w:rsidR="00957A12" w:rsidRPr="00957A12" w:rsidRDefault="00957A12" w:rsidP="00957A12">
      <w:pPr>
        <w:pStyle w:val="BodyText"/>
      </w:pPr>
    </w:p>
    <w:p w:rsidR="00957A12" w:rsidRDefault="00957A12" w:rsidP="00957A12">
      <w:pPr>
        <w:pStyle w:val="BodyText"/>
      </w:pPr>
    </w:p>
    <w:p w:rsidR="00957A12" w:rsidRPr="00957A12" w:rsidRDefault="00957A12" w:rsidP="00957A12">
      <w:pPr>
        <w:pStyle w:val="BodyText"/>
      </w:pPr>
    </w:p>
    <w:sectPr w:rsidR="00957A12" w:rsidRPr="00957A12" w:rsidSect="008673EC">
      <w:headerReference w:type="default" r:id="rId9"/>
      <w:footerReference w:type="default" r:id="rId10"/>
      <w:pgSz w:w="16840" w:h="11907" w:orient="landscape" w:code="9"/>
      <w:pgMar w:top="1418" w:right="1418" w:bottom="1418" w:left="102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B04" w:rsidRDefault="00D44B04" w:rsidP="001E33FA">
      <w:pPr>
        <w:spacing w:after="0" w:line="240" w:lineRule="auto"/>
      </w:pPr>
      <w:r>
        <w:separator/>
      </w:r>
    </w:p>
  </w:endnote>
  <w:endnote w:type="continuationSeparator" w:id="0">
    <w:p w:rsidR="00D44B04" w:rsidRDefault="00D44B04" w:rsidP="001E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B04" w:rsidRDefault="0065214F">
    <w:pPr>
      <w:pStyle w:val="Footer"/>
    </w:pPr>
    <w:fldSimple w:instr=" DOCVARIABLE  FooterVersion  \* MERGEFORMAT ">
      <w:r w:rsidR="00D44B04">
        <w:t xml:space="preserve"> </w:t>
      </w:r>
    </w:fldSimple>
    <w:r w:rsidR="00D44B04">
      <w:tab/>
    </w:r>
    <w:r>
      <w:fldChar w:fldCharType="begin"/>
    </w:r>
    <w:r>
      <w:instrText xml:space="preserve"> PAGE   \* MERGEFORMAT </w:instrText>
    </w:r>
    <w:r>
      <w:fldChar w:fldCharType="separate"/>
    </w:r>
    <w:r w:rsidR="00FE348F">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B04" w:rsidRDefault="00D44B04" w:rsidP="001E33FA">
      <w:pPr>
        <w:spacing w:after="0" w:line="240" w:lineRule="auto"/>
      </w:pPr>
      <w:r>
        <w:separator/>
      </w:r>
    </w:p>
  </w:footnote>
  <w:footnote w:type="continuationSeparator" w:id="0">
    <w:p w:rsidR="00D44B04" w:rsidRDefault="00D44B04" w:rsidP="001E33FA">
      <w:pPr>
        <w:spacing w:after="0" w:line="240" w:lineRule="auto"/>
      </w:pPr>
      <w:r>
        <w:continuationSeparator/>
      </w:r>
    </w:p>
  </w:footnote>
  <w:footnote w:id="1">
    <w:p w:rsidR="00D22D59" w:rsidRDefault="00D22D59">
      <w:pPr>
        <w:pStyle w:val="FootnoteText"/>
      </w:pPr>
      <w:r>
        <w:rPr>
          <w:rStyle w:val="FootnoteReference"/>
        </w:rPr>
        <w:footnoteRef/>
      </w:r>
      <w:r>
        <w:t xml:space="preserve"> </w:t>
      </w:r>
      <w:r w:rsidRPr="00D22D59">
        <w:t>Census 2011: http://www.tovima.gr/files/1/2011/07/22/apografh22.pdf</w:t>
      </w:r>
    </w:p>
  </w:footnote>
  <w:footnote w:id="2">
    <w:p w:rsidR="00D22D59" w:rsidRDefault="00D22D59">
      <w:pPr>
        <w:pStyle w:val="FootnoteText"/>
      </w:pPr>
      <w:r>
        <w:rPr>
          <w:rStyle w:val="FootnoteReference"/>
        </w:rPr>
        <w:footnoteRef/>
      </w:r>
      <w:r>
        <w:t xml:space="preserve"> </w:t>
      </w:r>
      <w:hyperlink r:id="rId1" w:history="1">
        <w:r>
          <w:rPr>
            <w:rStyle w:val="Hyperlink"/>
          </w:rPr>
          <w:t>http://epp.eurostat.ec.europa.eu/portal/page/portal/education/data/database</w:t>
        </w:r>
      </w:hyperlink>
      <w:r>
        <w:t xml:space="preserve"> Education and training / Education / Enrolments, graduates, entrants, personnel and language learning - absolute numbers / Students by ISCED level, age and sex (educ_enrl1tl)</w:t>
      </w:r>
    </w:p>
  </w:footnote>
  <w:footnote w:id="3">
    <w:p w:rsidR="00D22D59" w:rsidRDefault="00D22D59" w:rsidP="00D22D59">
      <w:pPr>
        <w:pStyle w:val="FootnoteText"/>
      </w:pPr>
      <w:r>
        <w:rPr>
          <w:rStyle w:val="FootnoteReference"/>
        </w:rPr>
        <w:footnoteRef/>
      </w:r>
      <w:r>
        <w:t xml:space="preserve"> Law on Minority Schools of the Muslim Minority in Western Thrace, regarding the Turkish language (Law 694 of 1977), at: http://www.regione.taa.it/biblioteca/minoranze/grecia2.pdf</w:t>
      </w:r>
    </w:p>
  </w:footnote>
  <w:footnote w:id="4">
    <w:p w:rsidR="00D22D59" w:rsidRDefault="00D22D59" w:rsidP="00D22D59">
      <w:pPr>
        <w:pStyle w:val="FootnoteText"/>
      </w:pPr>
      <w:r>
        <w:rPr>
          <w:rStyle w:val="FootnoteReference"/>
        </w:rPr>
        <w:footnoteRef/>
      </w:r>
      <w:r>
        <w:t xml:space="preserve"> Source: Special Eurobarometer 243, 'Europeans and their Languages', February 2006. Please note that these figures are based on self-evaluation by respondents.</w:t>
      </w:r>
    </w:p>
  </w:footnote>
  <w:footnote w:id="5">
    <w:p w:rsidR="0065214F" w:rsidRDefault="0065214F" w:rsidP="007227DD">
      <w:pPr>
        <w:pStyle w:val="FootnoteText"/>
      </w:pPr>
      <w:r>
        <w:rPr>
          <w:rStyle w:val="FootnoteReference"/>
        </w:rPr>
        <w:footnoteRef/>
      </w:r>
      <w:r>
        <w:t xml:space="preserve"> Levels B1 and B2 of the Council of Europe’s Common European Framework of Reference for Languages (CEFR).</w:t>
      </w:r>
    </w:p>
  </w:footnote>
  <w:footnote w:id="6">
    <w:p w:rsidR="0065214F" w:rsidRDefault="0065214F">
      <w:pPr>
        <w:pStyle w:val="FootnoteText"/>
      </w:pPr>
      <w:r>
        <w:rPr>
          <w:rStyle w:val="FootnoteReference"/>
        </w:rPr>
        <w:footnoteRef/>
      </w:r>
      <w:r>
        <w:t xml:space="preserve"> </w:t>
      </w:r>
      <w:hyperlink r:id="rId2" w:history="1">
        <w:r>
          <w:rPr>
            <w:rStyle w:val="Hyperlink"/>
          </w:rPr>
          <w:t>http://epp.eurostat.ec.europa.eu/portal/page/portal/education/data/database</w:t>
        </w:r>
      </w:hyperlink>
      <w:r>
        <w:t xml:space="preserve"> Education and training / Education / Education indicators - non-finance (educ_indic) / Language learning (educ_ilang).</w:t>
      </w:r>
    </w:p>
  </w:footnote>
  <w:footnote w:id="7">
    <w:p w:rsidR="0065214F" w:rsidRDefault="0065214F">
      <w:pPr>
        <w:pStyle w:val="FootnoteText"/>
      </w:pPr>
      <w:r>
        <w:rPr>
          <w:rStyle w:val="FootnoteReference"/>
        </w:rPr>
        <w:footnoteRef/>
      </w:r>
      <w:r>
        <w:t xml:space="preserve"> </w:t>
      </w:r>
      <w:hyperlink r:id="rId3" w:history="1">
        <w:r>
          <w:rPr>
            <w:rStyle w:val="Hyperlink"/>
          </w:rPr>
          <w:t>http://epp.eurostat.ec.europa.eu/portal/page/portal/education/data/database</w:t>
        </w:r>
      </w:hyperlink>
      <w:r>
        <w:t xml:space="preserve"> Education and training / Education / Thematic indicators - Progress towards the Lisbon objectives in education and training (educ_them_ind) / Foreign language learning (educ_thfrlan)</w:t>
      </w:r>
    </w:p>
  </w:footnote>
  <w:footnote w:id="8">
    <w:p w:rsidR="0065214F" w:rsidRDefault="0065214F">
      <w:pPr>
        <w:pStyle w:val="FootnoteText"/>
      </w:pPr>
      <w:r>
        <w:rPr>
          <w:rStyle w:val="FootnoteReference"/>
        </w:rPr>
        <w:footnoteRef/>
      </w:r>
      <w:r>
        <w:t xml:space="preserve"> </w:t>
      </w:r>
      <w:hyperlink r:id="rId4" w:history="1">
        <w:r>
          <w:rPr>
            <w:rStyle w:val="Hyperlink"/>
          </w:rPr>
          <w:t>http://epp.eurostat.ec.europa.eu/portal/page/portal/education/data/database</w:t>
        </w:r>
      </w:hyperlink>
      <w:r>
        <w:t xml:space="preserve"> Education and training / Education / Education indicators - non-finance (educ_indic) / Language learning (educ_ilang).</w:t>
      </w:r>
    </w:p>
  </w:footnote>
  <w:footnote w:id="9">
    <w:p w:rsidR="0065214F" w:rsidRDefault="0065214F">
      <w:pPr>
        <w:pStyle w:val="FootnoteText"/>
      </w:pPr>
      <w:r>
        <w:rPr>
          <w:rStyle w:val="FootnoteReference"/>
        </w:rPr>
        <w:footnoteRef/>
      </w:r>
      <w:r>
        <w:t xml:space="preserve"> Ibid.</w:t>
      </w:r>
    </w:p>
  </w:footnote>
  <w:footnote w:id="10">
    <w:p w:rsidR="0065214F" w:rsidRDefault="0065214F">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Layout w:type="fixed"/>
      <w:tblCellMar>
        <w:left w:w="0" w:type="dxa"/>
        <w:right w:w="0" w:type="dxa"/>
      </w:tblCellMar>
      <w:tblLook w:val="04A0" w:firstRow="1" w:lastRow="0" w:firstColumn="1" w:lastColumn="0" w:noHBand="0" w:noVBand="1"/>
    </w:tblPr>
    <w:tblGrid>
      <w:gridCol w:w="6351"/>
      <w:gridCol w:w="2721"/>
    </w:tblGrid>
    <w:tr w:rsidR="00D44B04" w:rsidRPr="00A75E46" w:rsidTr="00A9495F">
      <w:trPr>
        <w:trHeight w:hRule="exact" w:val="794"/>
      </w:trPr>
      <w:tc>
        <w:tcPr>
          <w:tcW w:w="6351" w:type="dxa"/>
        </w:tcPr>
        <w:p w:rsidR="00D44B04" w:rsidRPr="00A75E46" w:rsidRDefault="00D44B04" w:rsidP="00A9495F">
          <w:pPr>
            <w:pStyle w:val="Header"/>
          </w:pPr>
          <w:r>
            <w:t>Order 39 – Languages in Education and Training</w:t>
          </w:r>
          <w:fldSimple w:instr=" DOCVARIABLE  HeaderText  \* MERGEFORMAT ">
            <w:r>
              <w:t xml:space="preserve"> </w:t>
            </w:r>
          </w:fldSimple>
        </w:p>
      </w:tc>
      <w:tc>
        <w:tcPr>
          <w:tcW w:w="2721" w:type="dxa"/>
        </w:tcPr>
        <w:p w:rsidR="00D44B04" w:rsidRPr="00A75E46" w:rsidRDefault="00D44B04" w:rsidP="00A9495F">
          <w:pPr>
            <w:pStyle w:val="Header"/>
            <w:jc w:val="right"/>
          </w:pPr>
          <w:r>
            <w:rPr>
              <w:noProof/>
              <w:lang w:eastAsia="en-GB"/>
            </w:rPr>
            <w:drawing>
              <wp:inline distT="0" distB="0" distL="0" distR="0">
                <wp:extent cx="160920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F_GHK_black-and-white-only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200" cy="457200"/>
                        </a:xfrm>
                        <a:prstGeom prst="rect">
                          <a:avLst/>
                        </a:prstGeom>
                      </pic:spPr>
                    </pic:pic>
                  </a:graphicData>
                </a:graphic>
              </wp:inline>
            </w:drawing>
          </w:r>
        </w:p>
      </w:tc>
    </w:tr>
  </w:tbl>
  <w:p w:rsidR="00D44B04" w:rsidRDefault="00D44B04" w:rsidP="00F971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3A309C"/>
    <w:lvl w:ilvl="0">
      <w:start w:val="1"/>
      <w:numFmt w:val="decimal"/>
      <w:lvlText w:val="%1."/>
      <w:lvlJc w:val="left"/>
      <w:pPr>
        <w:tabs>
          <w:tab w:val="num" w:pos="1492"/>
        </w:tabs>
        <w:ind w:left="1492" w:hanging="360"/>
      </w:pPr>
    </w:lvl>
  </w:abstractNum>
  <w:abstractNum w:abstractNumId="1">
    <w:nsid w:val="FFFFFF7D"/>
    <w:multiLevelType w:val="singleLevel"/>
    <w:tmpl w:val="F1F279E4"/>
    <w:lvl w:ilvl="0">
      <w:start w:val="1"/>
      <w:numFmt w:val="decimal"/>
      <w:lvlText w:val="%1."/>
      <w:lvlJc w:val="left"/>
      <w:pPr>
        <w:tabs>
          <w:tab w:val="num" w:pos="1209"/>
        </w:tabs>
        <w:ind w:left="1209" w:hanging="360"/>
      </w:pPr>
    </w:lvl>
  </w:abstractNum>
  <w:abstractNum w:abstractNumId="2">
    <w:nsid w:val="FFFFFF7E"/>
    <w:multiLevelType w:val="singleLevel"/>
    <w:tmpl w:val="132CD5C2"/>
    <w:lvl w:ilvl="0">
      <w:start w:val="1"/>
      <w:numFmt w:val="decimal"/>
      <w:lvlText w:val="%1."/>
      <w:lvlJc w:val="left"/>
      <w:pPr>
        <w:tabs>
          <w:tab w:val="num" w:pos="926"/>
        </w:tabs>
        <w:ind w:left="926" w:hanging="360"/>
      </w:pPr>
    </w:lvl>
  </w:abstractNum>
  <w:abstractNum w:abstractNumId="3">
    <w:nsid w:val="FFFFFF7F"/>
    <w:multiLevelType w:val="singleLevel"/>
    <w:tmpl w:val="1472BF42"/>
    <w:lvl w:ilvl="0">
      <w:start w:val="1"/>
      <w:numFmt w:val="decimal"/>
      <w:lvlText w:val="%1."/>
      <w:lvlJc w:val="left"/>
      <w:pPr>
        <w:tabs>
          <w:tab w:val="num" w:pos="643"/>
        </w:tabs>
        <w:ind w:left="643" w:hanging="360"/>
      </w:pPr>
    </w:lvl>
  </w:abstractNum>
  <w:abstractNum w:abstractNumId="4">
    <w:nsid w:val="FFFFFF80"/>
    <w:multiLevelType w:val="singleLevel"/>
    <w:tmpl w:val="62AE12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D47B0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500C16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BBE71E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9C48E2E"/>
    <w:lvl w:ilvl="0">
      <w:start w:val="1"/>
      <w:numFmt w:val="decimal"/>
      <w:lvlText w:val="%1."/>
      <w:lvlJc w:val="left"/>
      <w:pPr>
        <w:tabs>
          <w:tab w:val="num" w:pos="360"/>
        </w:tabs>
        <w:ind w:left="360" w:hanging="360"/>
      </w:pPr>
    </w:lvl>
  </w:abstractNum>
  <w:abstractNum w:abstractNumId="9">
    <w:nsid w:val="FFFFFF89"/>
    <w:multiLevelType w:val="singleLevel"/>
    <w:tmpl w:val="8C3077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515EFB"/>
    <w:multiLevelType w:val="multilevel"/>
    <w:tmpl w:val="22266CAE"/>
    <w:styleLink w:val="NumbLstMain"/>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b/>
        <w:i/>
        <w:color w:val="0067AC"/>
        <w:sz w:val="20"/>
      </w:rPr>
    </w:lvl>
    <w:lvl w:ilvl="4">
      <w:start w:val="1"/>
      <w:numFmt w:val="decimal"/>
      <w:pStyle w:val="Heading5"/>
      <w:lvlText w:val="%1.%2.%3.%4.%5"/>
      <w:lvlJc w:val="left"/>
      <w:pPr>
        <w:ind w:left="851" w:hanging="851"/>
      </w:pPr>
      <w:rPr>
        <w:rFonts w:ascii="Calibri" w:hAnsi="Calibri" w:hint="default"/>
        <w:b/>
        <w:i/>
        <w:color w:val="0067AC"/>
        <w:sz w:val="20"/>
      </w:rPr>
    </w:lvl>
    <w:lvl w:ilvl="5">
      <w:start w:val="1"/>
      <w:numFmt w:val="decimal"/>
      <w:lvlRestart w:val="1"/>
      <w:pStyle w:val="Figure"/>
      <w:lvlText w:val="Figure %1.%6"/>
      <w:lvlJc w:val="left"/>
      <w:pPr>
        <w:tabs>
          <w:tab w:val="num" w:pos="851"/>
        </w:tabs>
        <w:ind w:left="1928" w:hanging="1077"/>
      </w:pPr>
      <w:rPr>
        <w:rFonts w:ascii="Calibri" w:hAnsi="Calibri" w:hint="default"/>
        <w:color w:val="0067AC"/>
      </w:rPr>
    </w:lvl>
    <w:lvl w:ilvl="6">
      <w:start w:val="1"/>
      <w:numFmt w:val="decimal"/>
      <w:lvlRestart w:val="1"/>
      <w:pStyle w:val="Table"/>
      <w:lvlText w:val="Table %1.%7"/>
      <w:lvlJc w:val="left"/>
      <w:pPr>
        <w:tabs>
          <w:tab w:val="num" w:pos="851"/>
        </w:tabs>
        <w:ind w:left="1928" w:hanging="1077"/>
      </w:pPr>
      <w:rPr>
        <w:rFonts w:ascii="Calibri" w:hAnsi="Calibri" w:hint="default"/>
      </w:rPr>
    </w:lvl>
    <w:lvl w:ilvl="7">
      <w:start w:val="1"/>
      <w:numFmt w:val="decimal"/>
      <w:lvlRestart w:val="1"/>
      <w:pStyle w:val="Box"/>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0067AC" w:themeColor="text2"/>
      </w:rPr>
    </w:lvl>
  </w:abstractNum>
  <w:abstractNum w:abstractNumId="11">
    <w:nsid w:val="0AEC3580"/>
    <w:multiLevelType w:val="multilevel"/>
    <w:tmpl w:val="DF12587C"/>
    <w:styleLink w:val="NumbLstTableNumb"/>
    <w:lvl w:ilvl="0">
      <w:start w:val="1"/>
      <w:numFmt w:val="decimal"/>
      <w:pStyle w:val="TableNumbList"/>
      <w:lvlText w:val="%1."/>
      <w:lvlJc w:val="left"/>
      <w:pPr>
        <w:tabs>
          <w:tab w:val="num" w:pos="340"/>
        </w:tabs>
        <w:ind w:left="340" w:hanging="340"/>
      </w:pPr>
      <w:rPr>
        <w:rFonts w:ascii="Arial" w:hAnsi="Arial" w:hint="default"/>
        <w:sz w:val="18"/>
      </w:rPr>
    </w:lvl>
    <w:lvl w:ilvl="1">
      <w:start w:val="1"/>
      <w:numFmt w:val="lowerLetter"/>
      <w:lvlText w:val="%2."/>
      <w:lvlJc w:val="left"/>
      <w:pPr>
        <w:tabs>
          <w:tab w:val="num" w:pos="680"/>
        </w:tabs>
        <w:ind w:left="680" w:hanging="340"/>
      </w:pPr>
      <w:rPr>
        <w:rFonts w:hint="default"/>
      </w:rPr>
    </w:lvl>
    <w:lvl w:ilvl="2">
      <w:start w:val="1"/>
      <w:numFmt w:val="lowerRoman"/>
      <w:lvlRestart w:val="0"/>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suff w:val="nothing"/>
      <w:lvlText w:val=""/>
      <w:lvlJc w:val="righ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right"/>
      <w:pPr>
        <w:ind w:left="1021" w:firstLine="0"/>
      </w:pPr>
      <w:rPr>
        <w:rFonts w:hint="default"/>
      </w:rPr>
    </w:lvl>
  </w:abstractNum>
  <w:abstractNum w:abstractNumId="12">
    <w:nsid w:val="0BE16066"/>
    <w:multiLevelType w:val="multilevel"/>
    <w:tmpl w:val="6412989C"/>
    <w:lvl w:ilvl="0">
      <w:start w:val="1"/>
      <w:numFmt w:val="decimal"/>
      <w:pStyle w:val="BTNumbList"/>
      <w:lvlText w:val="%1."/>
      <w:lvlJc w:val="left"/>
      <w:pPr>
        <w:tabs>
          <w:tab w:val="num" w:pos="1191"/>
        </w:tabs>
        <w:ind w:left="1191" w:hanging="340"/>
      </w:pPr>
      <w:rPr>
        <w:rFonts w:hint="default"/>
      </w:rPr>
    </w:lvl>
    <w:lvl w:ilvl="1">
      <w:start w:val="1"/>
      <w:numFmt w:val="lowerLetter"/>
      <w:pStyle w:val="BTNumbList2"/>
      <w:lvlText w:val="%2."/>
      <w:lvlJc w:val="left"/>
      <w:pPr>
        <w:tabs>
          <w:tab w:val="num" w:pos="1531"/>
        </w:tabs>
        <w:ind w:left="1531" w:hanging="340"/>
      </w:pPr>
      <w:rPr>
        <w:rFonts w:hint="default"/>
      </w:rPr>
    </w:lvl>
    <w:lvl w:ilvl="2">
      <w:start w:val="1"/>
      <w:numFmt w:val="lowerRoman"/>
      <w:lvlRestart w:val="0"/>
      <w:pStyle w:val="BTNumbList3"/>
      <w:lvlText w:val="%3."/>
      <w:lvlJc w:val="left"/>
      <w:pPr>
        <w:tabs>
          <w:tab w:val="num" w:pos="1871"/>
        </w:tabs>
        <w:ind w:left="1871" w:hanging="340"/>
      </w:pPr>
      <w:rPr>
        <w:rFonts w:hint="default"/>
      </w:rPr>
    </w:lvl>
    <w:lvl w:ilvl="3">
      <w:start w:val="1"/>
      <w:numFmt w:val="none"/>
      <w:suff w:val="nothing"/>
      <w:lvlText w:val=""/>
      <w:lvlJc w:val="left"/>
      <w:pPr>
        <w:ind w:left="1871" w:firstLine="0"/>
      </w:pPr>
      <w:rPr>
        <w:rFonts w:hint="default"/>
      </w:rPr>
    </w:lvl>
    <w:lvl w:ilvl="4">
      <w:start w:val="1"/>
      <w:numFmt w:val="none"/>
      <w:lvlRestart w:val="0"/>
      <w:suff w:val="nothing"/>
      <w:lvlText w:val=""/>
      <w:lvlJc w:val="left"/>
      <w:pPr>
        <w:ind w:left="1871" w:firstLine="0"/>
      </w:pPr>
      <w:rPr>
        <w:rFonts w:hint="default"/>
      </w:rPr>
    </w:lvl>
    <w:lvl w:ilvl="5">
      <w:start w:val="1"/>
      <w:numFmt w:val="none"/>
      <w:suff w:val="nothing"/>
      <w:lvlText w:val=""/>
      <w:lvlJc w:val="righ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suff w:val="nothing"/>
      <w:lvlText w:val=""/>
      <w:lvlJc w:val="right"/>
      <w:pPr>
        <w:ind w:left="1871" w:firstLine="0"/>
      </w:pPr>
      <w:rPr>
        <w:rFonts w:hint="default"/>
      </w:rPr>
    </w:lvl>
  </w:abstractNum>
  <w:abstractNum w:abstractNumId="13">
    <w:nsid w:val="0F572937"/>
    <w:multiLevelType w:val="multilevel"/>
    <w:tmpl w:val="2AF08B76"/>
    <w:name w:val="Bullet"/>
    <w:lvl w:ilvl="0">
      <w:start w:val="1"/>
      <w:numFmt w:val="bullet"/>
      <w:lvlText w:val="▪"/>
      <w:lvlJc w:val="left"/>
      <w:pPr>
        <w:ind w:left="340" w:hanging="340"/>
      </w:pPr>
      <w:rPr>
        <w:rFonts w:ascii="Arial" w:hAnsi="Arial" w:hint="default"/>
        <w:color w:val="0067AC" w:themeColor="text2"/>
        <w:sz w:val="24"/>
      </w:rPr>
    </w:lvl>
    <w:lvl w:ilvl="1">
      <w:start w:val="1"/>
      <w:numFmt w:val="bullet"/>
      <w:lvlText w:val="−"/>
      <w:lvlJc w:val="left"/>
      <w:pPr>
        <w:ind w:left="680" w:hanging="340"/>
      </w:pPr>
      <w:rPr>
        <w:rFonts w:ascii="Calibri" w:hAnsi="Calibri" w:hint="default"/>
        <w:color w:val="0067AC" w:themeColor="text2"/>
      </w:rPr>
    </w:lvl>
    <w:lvl w:ilvl="2">
      <w:start w:val="1"/>
      <w:numFmt w:val="bullet"/>
      <w:lvlText w:val="◦"/>
      <w:lvlJc w:val="left"/>
      <w:pPr>
        <w:ind w:left="1021" w:hanging="341"/>
      </w:pPr>
      <w:rPr>
        <w:rFonts w:ascii="Arial" w:hAnsi="Arial" w:hint="default"/>
        <w:color w:val="0067AC" w:themeColor="text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00D7D88"/>
    <w:multiLevelType w:val="multilevel"/>
    <w:tmpl w:val="75B63B8C"/>
    <w:styleLink w:val="NumbLstStage"/>
    <w:lvl w:ilvl="0">
      <w:start w:val="1"/>
      <w:numFmt w:val="decimal"/>
      <w:pStyle w:val="Stage"/>
      <w:lvlText w:val="Stage %1"/>
      <w:lvlJc w:val="left"/>
      <w:pPr>
        <w:tabs>
          <w:tab w:val="num" w:pos="1814"/>
        </w:tabs>
        <w:ind w:left="1814" w:hanging="963"/>
      </w:pPr>
      <w:rPr>
        <w:rFonts w:hint="default"/>
      </w:rPr>
    </w:lvl>
    <w:lvl w:ilvl="1">
      <w:start w:val="1"/>
      <w:numFmt w:val="decimal"/>
      <w:pStyle w:val="Task"/>
      <w:lvlText w:val="Task %1.%2"/>
      <w:lvlJc w:val="left"/>
      <w:pPr>
        <w:tabs>
          <w:tab w:val="num" w:pos="1814"/>
        </w:tabs>
        <w:ind w:left="1814" w:hanging="96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02C26B6"/>
    <w:multiLevelType w:val="multilevel"/>
    <w:tmpl w:val="1E32C318"/>
    <w:numStyleLink w:val="NumbLstNumb"/>
  </w:abstractNum>
  <w:abstractNum w:abstractNumId="16">
    <w:nsid w:val="13264F5E"/>
    <w:multiLevelType w:val="multilevel"/>
    <w:tmpl w:val="89BC52E8"/>
    <w:numStyleLink w:val="NumbLstBoxes"/>
  </w:abstractNum>
  <w:abstractNum w:abstractNumId="17">
    <w:nsid w:val="13CB0134"/>
    <w:multiLevelType w:val="multilevel"/>
    <w:tmpl w:val="1E32C318"/>
    <w:styleLink w:val="NumbLstNumb"/>
    <w:lvl w:ilvl="0">
      <w:start w:val="1"/>
      <w:numFmt w:val="decimal"/>
      <w:pStyle w:val="NumbList"/>
      <w:lvlText w:val="%1."/>
      <w:lvlJc w:val="left"/>
      <w:pPr>
        <w:ind w:left="340" w:hanging="340"/>
      </w:pPr>
      <w:rPr>
        <w:rFonts w:hint="default"/>
      </w:rPr>
    </w:lvl>
    <w:lvl w:ilvl="1">
      <w:start w:val="1"/>
      <w:numFmt w:val="lowerLetter"/>
      <w:pStyle w:val="NumbList2"/>
      <w:lvlText w:val="%2."/>
      <w:lvlJc w:val="left"/>
      <w:pPr>
        <w:ind w:left="680" w:hanging="340"/>
      </w:pPr>
      <w:rPr>
        <w:rFonts w:hint="default"/>
      </w:rPr>
    </w:lvl>
    <w:lvl w:ilvl="2">
      <w:start w:val="1"/>
      <w:numFmt w:val="lowerRoman"/>
      <w:pStyle w:val="NumbList3"/>
      <w:lvlText w:val="%3."/>
      <w:lvlJc w:val="left"/>
      <w:pPr>
        <w:tabs>
          <w:tab w:val="num" w:pos="85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suff w:val="nothing"/>
      <w:lvlText w:val=""/>
      <w:lvlJc w:val="righ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right"/>
      <w:pPr>
        <w:ind w:left="1021" w:firstLine="0"/>
      </w:pPr>
      <w:rPr>
        <w:rFonts w:hint="default"/>
      </w:rPr>
    </w:lvl>
  </w:abstractNum>
  <w:abstractNum w:abstractNumId="18">
    <w:nsid w:val="183010F3"/>
    <w:multiLevelType w:val="multilevel"/>
    <w:tmpl w:val="E20ED5C8"/>
    <w:styleLink w:val="Style1"/>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Restart w:val="1"/>
      <w:lvlText w:val="%1.%2.%3.%4"/>
      <w:lvlJc w:val="left"/>
      <w:pPr>
        <w:ind w:left="851" w:hanging="851"/>
      </w:pPr>
      <w:rPr>
        <w:rFonts w:hint="default"/>
        <w:color w:val="auto"/>
        <w:sz w:val="20"/>
      </w:rPr>
    </w:lvl>
    <w:lvl w:ilvl="4">
      <w:start w:val="1"/>
      <w:numFmt w:val="decimal"/>
      <w:lvlRestart w:val="1"/>
      <w:lvlText w:val="Figure %1.%5"/>
      <w:lvlJc w:val="left"/>
      <w:pPr>
        <w:ind w:left="1928" w:hanging="1077"/>
      </w:pPr>
      <w:rPr>
        <w:rFonts w:ascii="Georgia" w:hAnsi="Georgia" w:hint="default"/>
        <w:color w:val="0067AC" w:themeColor="text2"/>
      </w:rPr>
    </w:lvl>
    <w:lvl w:ilvl="5">
      <w:start w:val="1"/>
      <w:numFmt w:val="decimal"/>
      <w:lvlRestart w:val="3"/>
      <w:lvlText w:val="Table %1.%6"/>
      <w:lvlJc w:val="left"/>
      <w:pPr>
        <w:tabs>
          <w:tab w:val="num" w:pos="851"/>
        </w:tabs>
        <w:ind w:left="1928" w:hanging="1077"/>
      </w:pPr>
      <w:rPr>
        <w:rFonts w:ascii="Georgia" w:hAnsi="Georgia" w:hint="default"/>
        <w:color w:val="0067AC" w:themeColor="text2"/>
      </w:rPr>
    </w:lvl>
    <w:lvl w:ilvl="6">
      <w:start w:val="1"/>
      <w:numFmt w:val="decimal"/>
      <w:lvlRestart w:val="5"/>
      <w:lvlText w:val="%7"/>
      <w:lvlJc w:val="left"/>
      <w:pPr>
        <w:ind w:left="425" w:hanging="425"/>
      </w:pPr>
      <w:rPr>
        <w:rFonts w:hint="default"/>
      </w:rPr>
    </w:lvl>
    <w:lvl w:ilvl="7">
      <w:start w:val="1"/>
      <w:numFmt w:val="lowerLetter"/>
      <w:lvlRestart w:val="0"/>
      <w:lvlText w:val="%8."/>
      <w:lvlJc w:val="left"/>
      <w:pPr>
        <w:ind w:left="425" w:hanging="425"/>
      </w:pPr>
      <w:rPr>
        <w:rFonts w:hint="default"/>
        <w:color w:val="auto"/>
      </w:rPr>
    </w:lvl>
    <w:lvl w:ilvl="8">
      <w:start w:val="1"/>
      <w:numFmt w:val="decimal"/>
      <w:lvlText w:val="Case study %9"/>
      <w:lvlJc w:val="left"/>
      <w:pPr>
        <w:ind w:left="1701" w:hanging="1701"/>
      </w:pPr>
      <w:rPr>
        <w:rFonts w:ascii="Georgia" w:hAnsi="Georgia" w:hint="default"/>
        <w:color w:val="0067AC" w:themeColor="text2"/>
      </w:rPr>
    </w:lvl>
  </w:abstractNum>
  <w:abstractNum w:abstractNumId="19">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0">
    <w:nsid w:val="213056DA"/>
    <w:multiLevelType w:val="multilevel"/>
    <w:tmpl w:val="89BC52E8"/>
    <w:styleLink w:val="NumbLstBoxes"/>
    <w:lvl w:ilvl="0">
      <w:start w:val="1"/>
      <w:numFmt w:val="decimal"/>
      <w:pStyle w:val="CaseStudy"/>
      <w:suff w:val="space"/>
      <w:lvlText w:val="Case Study %1"/>
      <w:lvlJc w:val="left"/>
      <w:pPr>
        <w:ind w:left="0" w:firstLine="0"/>
      </w:pPr>
      <w:rPr>
        <w:rFonts w:hint="default"/>
      </w:rPr>
    </w:lvl>
    <w:lvl w:ilvl="1">
      <w:start w:val="1"/>
      <w:numFmt w:val="decimal"/>
      <w:lvlRestart w:val="0"/>
      <w:pStyle w:val="Evidence"/>
      <w:suff w:val="space"/>
      <w:lvlText w:val="Evidence %2"/>
      <w:lvlJc w:val="left"/>
      <w:pPr>
        <w:ind w:left="0" w:firstLine="0"/>
      </w:pPr>
      <w:rPr>
        <w:rFonts w:hint="default"/>
      </w:rPr>
    </w:lvl>
    <w:lvl w:ilvl="2">
      <w:start w:val="1"/>
      <w:numFmt w:val="decimal"/>
      <w:lvlRestart w:val="0"/>
      <w:pStyle w:val="Conclusion"/>
      <w:suff w:val="space"/>
      <w:lvlText w:val="Conclusion %3"/>
      <w:lvlJc w:val="left"/>
      <w:pPr>
        <w:ind w:left="0" w:firstLine="0"/>
      </w:pPr>
      <w:rPr>
        <w:rFonts w:hint="default"/>
      </w:rPr>
    </w:lvl>
    <w:lvl w:ilvl="3">
      <w:start w:val="1"/>
      <w:numFmt w:val="decimal"/>
      <w:lvlRestart w:val="0"/>
      <w:pStyle w:val="Recommendation"/>
      <w:suff w:val="space"/>
      <w:lvlText w:val="Recommendation %4"/>
      <w:lvlJc w:val="left"/>
      <w:pPr>
        <w:ind w:left="0" w:firstLine="0"/>
      </w:pPr>
      <w:rPr>
        <w:rFonts w:hint="default"/>
        <w:b/>
        <w:i w:val="0"/>
        <w:color w:val="0067AC"/>
        <w:sz w:val="28"/>
      </w:rPr>
    </w:lvl>
    <w:lvl w:ilvl="4">
      <w:start w:val="1"/>
      <w:numFmt w:val="decimal"/>
      <w:lvlRestart w:val="0"/>
      <w:pStyle w:val="BoxNumb"/>
      <w:suff w:val="space"/>
      <w:lvlText w:val="Box %5"/>
      <w:lvlJc w:val="left"/>
      <w:pPr>
        <w:ind w:left="0" w:firstLine="0"/>
      </w:pPr>
      <w:rPr>
        <w:rFonts w:hint="default"/>
        <w:color w:val="0067AC"/>
      </w:rPr>
    </w:lvl>
    <w:lvl w:ilvl="5">
      <w:start w:val="1"/>
      <w:numFmt w:val="none"/>
      <w:lvlRestart w:val="3"/>
      <w:lvlText w:val=""/>
      <w:lvlJc w:val="left"/>
      <w:pPr>
        <w:tabs>
          <w:tab w:val="num" w:pos="851"/>
        </w:tabs>
        <w:ind w:left="0" w:firstLine="0"/>
      </w:pPr>
      <w:rPr>
        <w:rFonts w:ascii="Georgia" w:hAnsi="Georgia" w:hint="default"/>
        <w:color w:val="336633"/>
      </w:rPr>
    </w:lvl>
    <w:lvl w:ilvl="6">
      <w:start w:val="1"/>
      <w:numFmt w:val="none"/>
      <w:lvlRestart w:val="5"/>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color w:val="auto"/>
      </w:rPr>
    </w:lvl>
    <w:lvl w:ilvl="8">
      <w:start w:val="1"/>
      <w:numFmt w:val="none"/>
      <w:suff w:val="nothing"/>
      <w:lvlText w:val=""/>
      <w:lvlJc w:val="left"/>
      <w:pPr>
        <w:ind w:left="0" w:firstLine="0"/>
      </w:pPr>
      <w:rPr>
        <w:rFonts w:ascii="Georgia" w:hAnsi="Georgia" w:hint="default"/>
        <w:color w:val="0067AC" w:themeColor="text2"/>
      </w:rPr>
    </w:lvl>
  </w:abstractNum>
  <w:abstractNum w:abstractNumId="21">
    <w:nsid w:val="24312FB3"/>
    <w:multiLevelType w:val="multilevel"/>
    <w:tmpl w:val="841A508E"/>
    <w:lvl w:ilvl="0">
      <w:start w:val="1"/>
      <w:numFmt w:val="decimal"/>
      <w:lvlText w:val="Annex %1"/>
      <w:lvlJc w:val="left"/>
      <w:pPr>
        <w:ind w:left="1304" w:hanging="1304"/>
      </w:pPr>
      <w:rPr>
        <w:rFonts w:hint="default"/>
      </w:rPr>
    </w:lvl>
    <w:lvl w:ilvl="1">
      <w:start w:val="1"/>
      <w:numFmt w:val="decimal"/>
      <w:lvlText w:val="A%1.%2"/>
      <w:lvlJc w:val="left"/>
      <w:pPr>
        <w:ind w:left="851" w:hanging="851"/>
      </w:pPr>
      <w:rPr>
        <w:rFonts w:hint="default"/>
      </w:rPr>
    </w:lvl>
    <w:lvl w:ilvl="2">
      <w:start w:val="1"/>
      <w:numFmt w:val="decimal"/>
      <w:lvlText w:val="A%1.%2.%3"/>
      <w:lvlJc w:val="left"/>
      <w:pPr>
        <w:ind w:left="851" w:hanging="851"/>
      </w:pPr>
      <w:rPr>
        <w:rFonts w:hint="default"/>
      </w:rPr>
    </w:lvl>
    <w:lvl w:ilvl="3">
      <w:start w:val="1"/>
      <w:numFmt w:val="decimal"/>
      <w:lvlText w:val="A%1.%2.%3.%4"/>
      <w:lvlJc w:val="left"/>
      <w:pPr>
        <w:ind w:left="851" w:hanging="851"/>
      </w:pPr>
      <w:rPr>
        <w:rFonts w:hint="default"/>
      </w:rPr>
    </w:lvl>
    <w:lvl w:ilvl="4">
      <w:start w:val="1"/>
      <w:numFmt w:val="decimal"/>
      <w:lvlRestart w:val="1"/>
      <w:lvlText w:val="Table A%1.%5"/>
      <w:lvlJc w:val="left"/>
      <w:pPr>
        <w:ind w:left="1247" w:hanging="1247"/>
      </w:pPr>
      <w:rPr>
        <w:rFonts w:ascii="Calibri" w:hAnsi="Calibri" w:hint="default"/>
        <w:color w:val="0067AC"/>
      </w:rPr>
    </w:lvl>
    <w:lvl w:ilvl="5">
      <w:start w:val="1"/>
      <w:numFmt w:val="decimal"/>
      <w:lvlRestart w:val="1"/>
      <w:lvlText w:val="Figure A%1.%6"/>
      <w:lvlJc w:val="left"/>
      <w:pPr>
        <w:ind w:left="1247" w:hanging="1247"/>
      </w:pPr>
      <w:rPr>
        <w:rFonts w:ascii="Calibri" w:hAnsi="Calibri" w:hint="default"/>
        <w:color w:val="0067AC"/>
      </w:rPr>
    </w:lvl>
    <w:lvl w:ilvl="6">
      <w:start w:val="1"/>
      <w:numFmt w:val="none"/>
      <w:suff w:val="nothing"/>
      <w:lvlText w:val=""/>
      <w:lvlJc w:val="left"/>
      <w:pPr>
        <w:ind w:left="1247" w:firstLine="0"/>
      </w:pPr>
      <w:rPr>
        <w:rFonts w:hint="default"/>
      </w:rPr>
    </w:lvl>
    <w:lvl w:ilvl="7">
      <w:start w:val="1"/>
      <w:numFmt w:val="none"/>
      <w:suff w:val="nothing"/>
      <w:lvlText w:val=""/>
      <w:lvlJc w:val="left"/>
      <w:pPr>
        <w:ind w:left="1247" w:firstLine="0"/>
      </w:pPr>
      <w:rPr>
        <w:rFonts w:hint="default"/>
      </w:rPr>
    </w:lvl>
    <w:lvl w:ilvl="8">
      <w:start w:val="1"/>
      <w:numFmt w:val="none"/>
      <w:suff w:val="nothing"/>
      <w:lvlText w:val=""/>
      <w:lvlJc w:val="right"/>
      <w:pPr>
        <w:ind w:left="1247" w:firstLine="0"/>
      </w:pPr>
      <w:rPr>
        <w:rFonts w:hint="default"/>
      </w:rPr>
    </w:lvl>
  </w:abstractNum>
  <w:abstractNum w:abstractNumId="22">
    <w:nsid w:val="36DA13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9801475"/>
    <w:multiLevelType w:val="multilevel"/>
    <w:tmpl w:val="9F9A5336"/>
    <w:styleLink w:val="NumbLstBTBullet"/>
    <w:lvl w:ilvl="0">
      <w:start w:val="1"/>
      <w:numFmt w:val="bullet"/>
      <w:pStyle w:val="BTBullet1"/>
      <w:lvlText w:val="■"/>
      <w:lvlJc w:val="left"/>
      <w:pPr>
        <w:tabs>
          <w:tab w:val="num" w:pos="1191"/>
        </w:tabs>
        <w:ind w:left="1191" w:hanging="340"/>
      </w:pPr>
      <w:rPr>
        <w:rFonts w:ascii="Arial" w:hAnsi="Arial" w:hint="default"/>
        <w:color w:val="0067AC"/>
      </w:rPr>
    </w:lvl>
    <w:lvl w:ilvl="1">
      <w:start w:val="1"/>
      <w:numFmt w:val="bullet"/>
      <w:pStyle w:val="BTBullet2"/>
      <w:lvlText w:val="–"/>
      <w:lvlJc w:val="left"/>
      <w:pPr>
        <w:tabs>
          <w:tab w:val="num" w:pos="1531"/>
        </w:tabs>
        <w:ind w:left="1531" w:hanging="340"/>
      </w:pPr>
      <w:rPr>
        <w:rFonts w:ascii="Arial" w:hAnsi="Arial" w:hint="default"/>
        <w:color w:val="0067AC"/>
      </w:rPr>
    </w:lvl>
    <w:lvl w:ilvl="2">
      <w:start w:val="1"/>
      <w:numFmt w:val="bullet"/>
      <w:pStyle w:val="BTBullet3"/>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24">
    <w:nsid w:val="3E144406"/>
    <w:multiLevelType w:val="multilevel"/>
    <w:tmpl w:val="85BCEBDA"/>
    <w:styleLink w:val="NumbLstBullet"/>
    <w:lvl w:ilvl="0">
      <w:start w:val="1"/>
      <w:numFmt w:val="bullet"/>
      <w:pStyle w:val="Bullet1"/>
      <w:lvlText w:val="■"/>
      <w:lvlJc w:val="left"/>
      <w:pPr>
        <w:tabs>
          <w:tab w:val="num" w:pos="340"/>
        </w:tabs>
        <w:ind w:left="340" w:hanging="340"/>
      </w:pPr>
      <w:rPr>
        <w:rFonts w:ascii="Arial" w:hAnsi="Arial" w:hint="default"/>
        <w:color w:val="0067AC"/>
        <w:sz w:val="18"/>
      </w:rPr>
    </w:lvl>
    <w:lvl w:ilvl="1">
      <w:start w:val="1"/>
      <w:numFmt w:val="bullet"/>
      <w:pStyle w:val="Bullet2"/>
      <w:lvlText w:val="–"/>
      <w:lvlJc w:val="left"/>
      <w:pPr>
        <w:tabs>
          <w:tab w:val="num" w:pos="680"/>
        </w:tabs>
        <w:ind w:left="680" w:hanging="340"/>
      </w:pPr>
      <w:rPr>
        <w:rFonts w:ascii="Arial" w:hAnsi="Arial" w:hint="default"/>
        <w:color w:val="0067AC"/>
      </w:rPr>
    </w:lvl>
    <w:lvl w:ilvl="2">
      <w:start w:val="1"/>
      <w:numFmt w:val="bullet"/>
      <w:pStyle w:val="Bullet3"/>
      <w:lvlText w:val="○"/>
      <w:lvlJc w:val="left"/>
      <w:pPr>
        <w:tabs>
          <w:tab w:val="num" w:pos="1021"/>
        </w:tabs>
        <w:ind w:left="1021" w:hanging="341"/>
      </w:pPr>
      <w:rPr>
        <w:rFonts w:ascii="Arial" w:hAnsi="Arial" w:hint="default"/>
        <w:color w:val="0067AC"/>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5">
    <w:nsid w:val="410F2B44"/>
    <w:multiLevelType w:val="multilevel"/>
    <w:tmpl w:val="DF5E9792"/>
    <w:lvl w:ilvl="0">
      <w:start w:val="1"/>
      <w:numFmt w:val="bullet"/>
      <w:lvlText w:val="■"/>
      <w:lvlJc w:val="left"/>
      <w:pPr>
        <w:tabs>
          <w:tab w:val="num" w:pos="1191"/>
        </w:tabs>
        <w:ind w:left="1191" w:hanging="340"/>
      </w:pPr>
      <w:rPr>
        <w:rFonts w:ascii="Arial" w:hAnsi="Arial" w:hint="default"/>
        <w:color w:val="0067AC"/>
        <w:sz w:val="18"/>
      </w:rPr>
    </w:lvl>
    <w:lvl w:ilvl="1">
      <w:start w:val="1"/>
      <w:numFmt w:val="bullet"/>
      <w:lvlText w:val="–"/>
      <w:lvlJc w:val="left"/>
      <w:pPr>
        <w:tabs>
          <w:tab w:val="num" w:pos="1531"/>
        </w:tabs>
        <w:ind w:left="1531" w:hanging="340"/>
      </w:pPr>
      <w:rPr>
        <w:rFonts w:ascii="Arial" w:hAnsi="Arial" w:hint="default"/>
        <w:color w:val="0067AC"/>
      </w:rPr>
    </w:lvl>
    <w:lvl w:ilvl="2">
      <w:start w:val="1"/>
      <w:numFmt w:val="bullet"/>
      <w:lvlText w:val="○"/>
      <w:lvlJc w:val="left"/>
      <w:pPr>
        <w:tabs>
          <w:tab w:val="num" w:pos="153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suff w:val="nothing"/>
      <w:lvlText w:val=""/>
      <w:lvlJc w:val="left"/>
      <w:pPr>
        <w:ind w:left="1871" w:firstLine="0"/>
      </w:pPr>
      <w:rPr>
        <w:rFonts w:hint="default"/>
      </w:rPr>
    </w:lvl>
  </w:abstractNum>
  <w:abstractNum w:abstractNumId="26">
    <w:nsid w:val="49271712"/>
    <w:multiLevelType w:val="multilevel"/>
    <w:tmpl w:val="1C228E2C"/>
    <w:name w:val="BTBulletList"/>
    <w:lvl w:ilvl="0">
      <w:start w:val="1"/>
      <w:numFmt w:val="bullet"/>
      <w:lvlText w:val="▪"/>
      <w:lvlJc w:val="left"/>
      <w:pPr>
        <w:ind w:left="1191" w:hanging="340"/>
      </w:pPr>
      <w:rPr>
        <w:rFonts w:ascii="Arial" w:hAnsi="Arial" w:hint="default"/>
        <w:color w:val="0067AC" w:themeColor="text2"/>
        <w:sz w:val="24"/>
      </w:rPr>
    </w:lvl>
    <w:lvl w:ilvl="1">
      <w:start w:val="1"/>
      <w:numFmt w:val="bullet"/>
      <w:lvlText w:val="–"/>
      <w:lvlJc w:val="left"/>
      <w:pPr>
        <w:tabs>
          <w:tab w:val="num" w:pos="1990"/>
        </w:tabs>
        <w:ind w:left="1531" w:hanging="340"/>
      </w:pPr>
      <w:rPr>
        <w:rFonts w:ascii="Arial" w:hAnsi="Arial" w:hint="default"/>
        <w:color w:val="0067AC" w:themeColor="text2"/>
      </w:rPr>
    </w:lvl>
    <w:lvl w:ilvl="2">
      <w:start w:val="1"/>
      <w:numFmt w:val="bullet"/>
      <w:lvlText w:val="◦"/>
      <w:lvlJc w:val="left"/>
      <w:pPr>
        <w:ind w:left="1871" w:hanging="340"/>
      </w:pPr>
      <w:rPr>
        <w:rFonts w:ascii="Arial" w:hAnsi="Arial" w:hint="default"/>
        <w:color w:val="0067AC" w:themeColor="text2"/>
      </w:rPr>
    </w:lvl>
    <w:lvl w:ilvl="3">
      <w:start w:val="1"/>
      <w:numFmt w:val="bullet"/>
      <w:lvlText w:val=""/>
      <w:lvlJc w:val="left"/>
      <w:pPr>
        <w:ind w:left="3788" w:hanging="360"/>
      </w:pPr>
      <w:rPr>
        <w:rFonts w:ascii="Symbol" w:hAnsi="Symbol" w:hint="default"/>
      </w:rPr>
    </w:lvl>
    <w:lvl w:ilvl="4">
      <w:start w:val="1"/>
      <w:numFmt w:val="bullet"/>
      <w:lvlText w:val="o"/>
      <w:lvlJc w:val="left"/>
      <w:pPr>
        <w:ind w:left="4508" w:hanging="360"/>
      </w:pPr>
      <w:rPr>
        <w:rFonts w:ascii="Courier New" w:hAnsi="Courier New" w:cs="Courier New" w:hint="default"/>
      </w:rPr>
    </w:lvl>
    <w:lvl w:ilvl="5">
      <w:start w:val="1"/>
      <w:numFmt w:val="bullet"/>
      <w:lvlText w:val=""/>
      <w:lvlJc w:val="left"/>
      <w:pPr>
        <w:ind w:left="5228" w:hanging="360"/>
      </w:pPr>
      <w:rPr>
        <w:rFonts w:ascii="Wingdings" w:hAnsi="Wingdings" w:hint="default"/>
      </w:rPr>
    </w:lvl>
    <w:lvl w:ilvl="6">
      <w:start w:val="1"/>
      <w:numFmt w:val="bullet"/>
      <w:lvlText w:val=""/>
      <w:lvlJc w:val="left"/>
      <w:pPr>
        <w:ind w:left="5948" w:hanging="360"/>
      </w:pPr>
      <w:rPr>
        <w:rFonts w:ascii="Symbol" w:hAnsi="Symbol" w:hint="default"/>
      </w:rPr>
    </w:lvl>
    <w:lvl w:ilvl="7">
      <w:start w:val="1"/>
      <w:numFmt w:val="bullet"/>
      <w:lvlText w:val="o"/>
      <w:lvlJc w:val="left"/>
      <w:pPr>
        <w:ind w:left="6668" w:hanging="360"/>
      </w:pPr>
      <w:rPr>
        <w:rFonts w:ascii="Courier New" w:hAnsi="Courier New" w:cs="Courier New" w:hint="default"/>
      </w:rPr>
    </w:lvl>
    <w:lvl w:ilvl="8">
      <w:start w:val="1"/>
      <w:numFmt w:val="bullet"/>
      <w:lvlText w:val=""/>
      <w:lvlJc w:val="left"/>
      <w:pPr>
        <w:ind w:left="7388" w:hanging="360"/>
      </w:pPr>
      <w:rPr>
        <w:rFonts w:ascii="Wingdings" w:hAnsi="Wingdings" w:hint="default"/>
      </w:rPr>
    </w:lvl>
  </w:abstractNum>
  <w:abstractNum w:abstractNumId="27">
    <w:nsid w:val="497C5E09"/>
    <w:multiLevelType w:val="multilevel"/>
    <w:tmpl w:val="4B68369A"/>
    <w:styleLink w:val="NumbLstTableBullet"/>
    <w:lvl w:ilvl="0">
      <w:start w:val="1"/>
      <w:numFmt w:val="bullet"/>
      <w:pStyle w:val="TableBullet"/>
      <w:lvlText w:val="■"/>
      <w:lvlJc w:val="left"/>
      <w:pPr>
        <w:tabs>
          <w:tab w:val="num" w:pos="340"/>
        </w:tabs>
        <w:ind w:left="340" w:hanging="340"/>
      </w:pPr>
      <w:rPr>
        <w:rFonts w:ascii="Arial" w:hAnsi="Arial" w:hint="default"/>
        <w:color w:val="0067AC"/>
      </w:rPr>
    </w:lvl>
    <w:lvl w:ilvl="1">
      <w:start w:val="1"/>
      <w:numFmt w:val="bullet"/>
      <w:lvlText w:val="–"/>
      <w:lvlJc w:val="left"/>
      <w:pPr>
        <w:tabs>
          <w:tab w:val="num" w:pos="680"/>
        </w:tabs>
        <w:ind w:left="680" w:hanging="340"/>
      </w:pPr>
      <w:rPr>
        <w:rFonts w:ascii="Arial" w:hAnsi="Arial" w:hint="default"/>
        <w:color w:val="0067AC" w:themeColor="text2"/>
      </w:rPr>
    </w:lvl>
    <w:lvl w:ilvl="2">
      <w:start w:val="1"/>
      <w:numFmt w:val="bullet"/>
      <w:lvlText w:val="○"/>
      <w:lvlJc w:val="left"/>
      <w:pPr>
        <w:tabs>
          <w:tab w:val="num" w:pos="1021"/>
        </w:tabs>
        <w:ind w:left="1021" w:hanging="341"/>
      </w:pPr>
      <w:rPr>
        <w:rFonts w:ascii="Arial" w:hAnsi="Arial" w:hint="default"/>
        <w:color w:val="0067AC" w:themeColor="text2"/>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8">
    <w:nsid w:val="49906228"/>
    <w:multiLevelType w:val="hybridMultilevel"/>
    <w:tmpl w:val="C1DEF764"/>
    <w:lvl w:ilvl="0" w:tplc="621E805C">
      <w:start w:val="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CB675D"/>
    <w:multiLevelType w:val="hybridMultilevel"/>
    <w:tmpl w:val="5A04C6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F257886"/>
    <w:multiLevelType w:val="multilevel"/>
    <w:tmpl w:val="4B68369A"/>
    <w:numStyleLink w:val="NumbLstTableBullet"/>
  </w:abstractNum>
  <w:abstractNum w:abstractNumId="31">
    <w:nsid w:val="504936E5"/>
    <w:multiLevelType w:val="multilevel"/>
    <w:tmpl w:val="9F9A5336"/>
    <w:numStyleLink w:val="NumbLstBTBullet"/>
  </w:abstractNum>
  <w:abstractNum w:abstractNumId="32">
    <w:nsid w:val="51EF7A48"/>
    <w:multiLevelType w:val="multilevel"/>
    <w:tmpl w:val="85BCEBDA"/>
    <w:numStyleLink w:val="NumbLstBullet"/>
  </w:abstractNum>
  <w:abstractNum w:abstractNumId="33">
    <w:nsid w:val="5A611787"/>
    <w:multiLevelType w:val="multilevel"/>
    <w:tmpl w:val="85BCEBDA"/>
    <w:numStyleLink w:val="NumbLstBullet"/>
  </w:abstractNum>
  <w:abstractNum w:abstractNumId="34">
    <w:nsid w:val="60BE17EF"/>
    <w:multiLevelType w:val="multilevel"/>
    <w:tmpl w:val="22266CAE"/>
    <w:numStyleLink w:val="NumbLstMain"/>
  </w:abstractNum>
  <w:abstractNum w:abstractNumId="35">
    <w:nsid w:val="620353C3"/>
    <w:multiLevelType w:val="multilevel"/>
    <w:tmpl w:val="841A508E"/>
    <w:lvl w:ilvl="0">
      <w:start w:val="1"/>
      <w:numFmt w:val="decimal"/>
      <w:lvlText w:val="Annex %1"/>
      <w:lvlJc w:val="left"/>
      <w:pPr>
        <w:ind w:left="1304" w:hanging="1304"/>
      </w:pPr>
      <w:rPr>
        <w:rFonts w:hint="default"/>
      </w:rPr>
    </w:lvl>
    <w:lvl w:ilvl="1">
      <w:start w:val="1"/>
      <w:numFmt w:val="decimal"/>
      <w:lvlText w:val="A%1.%2"/>
      <w:lvlJc w:val="left"/>
      <w:pPr>
        <w:ind w:left="851" w:hanging="851"/>
      </w:pPr>
      <w:rPr>
        <w:rFonts w:hint="default"/>
      </w:rPr>
    </w:lvl>
    <w:lvl w:ilvl="2">
      <w:start w:val="1"/>
      <w:numFmt w:val="decimal"/>
      <w:lvlText w:val="A%1.%2.%3"/>
      <w:lvlJc w:val="left"/>
      <w:pPr>
        <w:ind w:left="851" w:hanging="851"/>
      </w:pPr>
      <w:rPr>
        <w:rFonts w:hint="default"/>
      </w:rPr>
    </w:lvl>
    <w:lvl w:ilvl="3">
      <w:start w:val="1"/>
      <w:numFmt w:val="decimal"/>
      <w:lvlText w:val="A%1.%2.%3.%4"/>
      <w:lvlJc w:val="left"/>
      <w:pPr>
        <w:ind w:left="851" w:hanging="851"/>
      </w:pPr>
      <w:rPr>
        <w:rFonts w:hint="default"/>
      </w:rPr>
    </w:lvl>
    <w:lvl w:ilvl="4">
      <w:start w:val="1"/>
      <w:numFmt w:val="decimal"/>
      <w:lvlRestart w:val="1"/>
      <w:lvlText w:val="Table A%1.%5"/>
      <w:lvlJc w:val="left"/>
      <w:pPr>
        <w:ind w:left="1247" w:hanging="1247"/>
      </w:pPr>
      <w:rPr>
        <w:rFonts w:ascii="Calibri" w:hAnsi="Calibri" w:hint="default"/>
        <w:color w:val="0067AC"/>
      </w:rPr>
    </w:lvl>
    <w:lvl w:ilvl="5">
      <w:start w:val="1"/>
      <w:numFmt w:val="decimal"/>
      <w:lvlRestart w:val="1"/>
      <w:lvlText w:val="Figure A%1.%6"/>
      <w:lvlJc w:val="left"/>
      <w:pPr>
        <w:ind w:left="1247" w:hanging="1247"/>
      </w:pPr>
      <w:rPr>
        <w:rFonts w:ascii="Calibri" w:hAnsi="Calibri" w:hint="default"/>
        <w:color w:val="0067AC"/>
      </w:rPr>
    </w:lvl>
    <w:lvl w:ilvl="6">
      <w:start w:val="1"/>
      <w:numFmt w:val="none"/>
      <w:suff w:val="nothing"/>
      <w:lvlText w:val=""/>
      <w:lvlJc w:val="left"/>
      <w:pPr>
        <w:ind w:left="1247" w:firstLine="0"/>
      </w:pPr>
      <w:rPr>
        <w:rFonts w:hint="default"/>
      </w:rPr>
    </w:lvl>
    <w:lvl w:ilvl="7">
      <w:start w:val="1"/>
      <w:numFmt w:val="none"/>
      <w:suff w:val="nothing"/>
      <w:lvlText w:val=""/>
      <w:lvlJc w:val="left"/>
      <w:pPr>
        <w:ind w:left="1247" w:firstLine="0"/>
      </w:pPr>
      <w:rPr>
        <w:rFonts w:hint="default"/>
      </w:rPr>
    </w:lvl>
    <w:lvl w:ilvl="8">
      <w:start w:val="1"/>
      <w:numFmt w:val="none"/>
      <w:suff w:val="nothing"/>
      <w:lvlText w:val=""/>
      <w:lvlJc w:val="right"/>
      <w:pPr>
        <w:ind w:left="1247" w:firstLine="0"/>
      </w:pPr>
      <w:rPr>
        <w:rFonts w:hint="default"/>
      </w:rPr>
    </w:lvl>
  </w:abstractNum>
  <w:abstractNum w:abstractNumId="36">
    <w:nsid w:val="6324220D"/>
    <w:multiLevelType w:val="multilevel"/>
    <w:tmpl w:val="6412989C"/>
    <w:lvl w:ilvl="0">
      <w:start w:val="1"/>
      <w:numFmt w:val="decimal"/>
      <w:lvlText w:val="%1."/>
      <w:lvlJc w:val="left"/>
      <w:pPr>
        <w:tabs>
          <w:tab w:val="num" w:pos="1191"/>
        </w:tabs>
        <w:ind w:left="1191" w:hanging="340"/>
      </w:pPr>
      <w:rPr>
        <w:rFonts w:hint="default"/>
      </w:rPr>
    </w:lvl>
    <w:lvl w:ilvl="1">
      <w:start w:val="1"/>
      <w:numFmt w:val="lowerLetter"/>
      <w:lvlText w:val="%2."/>
      <w:lvlJc w:val="left"/>
      <w:pPr>
        <w:tabs>
          <w:tab w:val="num" w:pos="1531"/>
        </w:tabs>
        <w:ind w:left="1531" w:hanging="340"/>
      </w:pPr>
      <w:rPr>
        <w:rFonts w:hint="default"/>
      </w:rPr>
    </w:lvl>
    <w:lvl w:ilvl="2">
      <w:start w:val="1"/>
      <w:numFmt w:val="lowerRoman"/>
      <w:lvlRestart w:val="0"/>
      <w:lvlText w:val="%3."/>
      <w:lvlJc w:val="left"/>
      <w:pPr>
        <w:tabs>
          <w:tab w:val="num" w:pos="1871"/>
        </w:tabs>
        <w:ind w:left="1871" w:hanging="340"/>
      </w:pPr>
      <w:rPr>
        <w:rFonts w:hint="default"/>
      </w:rPr>
    </w:lvl>
    <w:lvl w:ilvl="3">
      <w:start w:val="1"/>
      <w:numFmt w:val="none"/>
      <w:suff w:val="nothing"/>
      <w:lvlText w:val=""/>
      <w:lvlJc w:val="left"/>
      <w:pPr>
        <w:ind w:left="1871" w:firstLine="0"/>
      </w:pPr>
      <w:rPr>
        <w:rFonts w:hint="default"/>
      </w:rPr>
    </w:lvl>
    <w:lvl w:ilvl="4">
      <w:start w:val="1"/>
      <w:numFmt w:val="none"/>
      <w:lvlRestart w:val="0"/>
      <w:suff w:val="nothing"/>
      <w:lvlText w:val=""/>
      <w:lvlJc w:val="left"/>
      <w:pPr>
        <w:ind w:left="1871" w:firstLine="0"/>
      </w:pPr>
      <w:rPr>
        <w:rFonts w:hint="default"/>
      </w:rPr>
    </w:lvl>
    <w:lvl w:ilvl="5">
      <w:start w:val="1"/>
      <w:numFmt w:val="none"/>
      <w:suff w:val="nothing"/>
      <w:lvlText w:val=""/>
      <w:lvlJc w:val="righ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suff w:val="nothing"/>
      <w:lvlText w:val=""/>
      <w:lvlJc w:val="right"/>
      <w:pPr>
        <w:ind w:left="1871" w:firstLine="0"/>
      </w:pPr>
      <w:rPr>
        <w:rFonts w:hint="default"/>
      </w:rPr>
    </w:lvl>
  </w:abstractNum>
  <w:abstractNum w:abstractNumId="37">
    <w:nsid w:val="64B96487"/>
    <w:multiLevelType w:val="multilevel"/>
    <w:tmpl w:val="9F9A5336"/>
    <w:numStyleLink w:val="NumbLstBTBullet"/>
  </w:abstractNum>
  <w:abstractNum w:abstractNumId="38">
    <w:nsid w:val="66F10AD0"/>
    <w:multiLevelType w:val="multilevel"/>
    <w:tmpl w:val="A8C2921C"/>
    <w:numStyleLink w:val="NumbLstAnnex"/>
  </w:abstractNum>
  <w:abstractNum w:abstractNumId="39">
    <w:nsid w:val="7526738B"/>
    <w:multiLevelType w:val="multilevel"/>
    <w:tmpl w:val="22266CAE"/>
    <w:numStyleLink w:val="NumbLstMain"/>
  </w:abstractNum>
  <w:abstractNum w:abstractNumId="40">
    <w:nsid w:val="78A34F9B"/>
    <w:multiLevelType w:val="multilevel"/>
    <w:tmpl w:val="6C0ECEFE"/>
    <w:lvl w:ilvl="0">
      <w:start w:val="1"/>
      <w:numFmt w:val="bullet"/>
      <w:lvlText w:val="■"/>
      <w:lvlJc w:val="left"/>
      <w:pPr>
        <w:tabs>
          <w:tab w:val="num" w:pos="1191"/>
        </w:tabs>
        <w:ind w:left="1191" w:hanging="340"/>
      </w:pPr>
      <w:rPr>
        <w:rFonts w:ascii="Arial" w:hAnsi="Arial" w:hint="default"/>
        <w:color w:val="0067AC"/>
        <w:sz w:val="18"/>
      </w:rPr>
    </w:lvl>
    <w:lvl w:ilvl="1">
      <w:start w:val="1"/>
      <w:numFmt w:val="bullet"/>
      <w:lvlText w:val="–"/>
      <w:lvlJc w:val="left"/>
      <w:pPr>
        <w:tabs>
          <w:tab w:val="num" w:pos="1531"/>
        </w:tabs>
        <w:ind w:left="1531" w:hanging="340"/>
      </w:pPr>
      <w:rPr>
        <w:rFonts w:ascii="Arial" w:hAnsi="Arial" w:hint="default"/>
        <w:color w:val="0067AC"/>
      </w:rPr>
    </w:lvl>
    <w:lvl w:ilvl="2">
      <w:start w:val="1"/>
      <w:numFmt w:val="bullet"/>
      <w:lvlText w:val="○"/>
      <w:lvlJc w:val="left"/>
      <w:pPr>
        <w:tabs>
          <w:tab w:val="num" w:pos="153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suff w:val="nothing"/>
      <w:lvlText w:val=""/>
      <w:lvlJc w:val="left"/>
      <w:pPr>
        <w:ind w:left="1871" w:firstLine="0"/>
      </w:pPr>
      <w:rPr>
        <w:rFonts w:hint="default"/>
      </w:rPr>
    </w:lvl>
  </w:abstractNum>
  <w:abstractNum w:abstractNumId="41">
    <w:nsid w:val="7B9D7E01"/>
    <w:multiLevelType w:val="multilevel"/>
    <w:tmpl w:val="22266CAE"/>
    <w:numStyleLink w:val="NumbLstMain"/>
  </w:abstractNum>
  <w:abstractNum w:abstractNumId="42">
    <w:nsid w:val="7CB03DC5"/>
    <w:multiLevelType w:val="multilevel"/>
    <w:tmpl w:val="4B68369A"/>
    <w:numStyleLink w:val="NumbLstTableBullet"/>
  </w:abstractNum>
  <w:num w:numId="1">
    <w:abstractNumId w:val="9"/>
  </w:num>
  <w:num w:numId="2">
    <w:abstractNumId w:val="7"/>
  </w:num>
  <w:num w:numId="3">
    <w:abstractNumId w:val="6"/>
  </w:num>
  <w:num w:numId="4">
    <w:abstractNumId w:val="5"/>
  </w:num>
  <w:num w:numId="5">
    <w:abstractNumId w:val="18"/>
  </w:num>
  <w:num w:numId="6">
    <w:abstractNumId w:val="20"/>
  </w:num>
  <w:num w:numId="7">
    <w:abstractNumId w:val="10"/>
  </w:num>
  <w:num w:numId="8">
    <w:abstractNumId w:val="21"/>
  </w:num>
  <w:num w:numId="9">
    <w:abstractNumId w:val="11"/>
  </w:num>
  <w:num w:numId="10">
    <w:abstractNumId w:val="17"/>
  </w:num>
  <w:num w:numId="11">
    <w:abstractNumId w:val="15"/>
  </w:num>
  <w:num w:numId="12">
    <w:abstractNumId w:val="24"/>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30"/>
  </w:num>
  <w:num w:numId="17">
    <w:abstractNumId w:val="36"/>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40"/>
  </w:num>
  <w:num w:numId="21">
    <w:abstractNumId w:val="32"/>
  </w:num>
  <w:num w:numId="22">
    <w:abstractNumId w:val="42"/>
  </w:num>
  <w:num w:numId="23">
    <w:abstractNumId w:val="39"/>
  </w:num>
  <w:num w:numId="24">
    <w:abstractNumId w:val="35"/>
  </w:num>
  <w:num w:numId="25">
    <w:abstractNumId w:val="14"/>
  </w:num>
  <w:num w:numId="26">
    <w:abstractNumId w:val="16"/>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3"/>
  </w:num>
  <w:num w:numId="34">
    <w:abstractNumId w:val="41"/>
  </w:num>
  <w:num w:numId="35">
    <w:abstractNumId w:val="19"/>
    <w:lvlOverride w:ilvl="0">
      <w:lvl w:ilvl="0">
        <w:start w:val="1"/>
        <w:numFmt w:val="decimal"/>
        <w:pStyle w:val="AnnexHeading"/>
        <w:lvlText w:val="Annex %1"/>
        <w:lvlJc w:val="left"/>
        <w:pPr>
          <w:tabs>
            <w:tab w:val="num" w:pos="1304"/>
          </w:tabs>
          <w:ind w:left="1304" w:hanging="1304"/>
        </w:pPr>
        <w:rPr>
          <w:rFonts w:hint="default"/>
        </w:rPr>
      </w:lvl>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8"/>
  </w:num>
  <w:num w:numId="39">
    <w:abstractNumId w:val="34"/>
  </w:num>
  <w:num w:numId="40">
    <w:abstractNumId w:val="22"/>
  </w:num>
  <w:num w:numId="41">
    <w:abstractNumId w:val="23"/>
  </w:num>
  <w:num w:numId="42">
    <w:abstractNumId w:val="37"/>
  </w:num>
  <w:num w:numId="43">
    <w:abstractNumId w:val="31"/>
  </w:num>
  <w:num w:numId="44">
    <w:abstractNumId w:val="42"/>
  </w:num>
  <w:num w:numId="45">
    <w:abstractNumId w:val="29"/>
  </w:num>
  <w:num w:numId="46">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7B04" w:allStyles="0" w:customStyles="0" w:latentStyles="1" w:stylesInUse="0" w:headingStyles="0" w:numberingStyles="0" w:tableStyles="0" w:directFormattingOnRuns="1" w:directFormattingOnParagraphs="1" w:directFormattingOnNumbering="0" w:directFormattingOnTables="1" w:clearFormatting="1" w:top3HeadingStyles="1" w:visibleStyles="1" w:alternateStyleNames="0"/>
  <w:defaultTabStop w:val="851"/>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docVars>
    <w:docVar w:name="CurrentTemplateVersion" w:val="6.5"/>
    <w:docVar w:name="FooterVersion" w:val=" "/>
    <w:docVar w:name="HeaderText" w:val=" "/>
    <w:docVar w:name="InitialTemplateVersion" w:val="6.5"/>
  </w:docVars>
  <w:rsids>
    <w:rsidRoot w:val="00957A12"/>
    <w:rsid w:val="00000C93"/>
    <w:rsid w:val="00005A26"/>
    <w:rsid w:val="0000759E"/>
    <w:rsid w:val="00011AAB"/>
    <w:rsid w:val="000142F4"/>
    <w:rsid w:val="000167D6"/>
    <w:rsid w:val="00024986"/>
    <w:rsid w:val="00026E16"/>
    <w:rsid w:val="00041616"/>
    <w:rsid w:val="000576DF"/>
    <w:rsid w:val="00070C78"/>
    <w:rsid w:val="000715F8"/>
    <w:rsid w:val="000761CE"/>
    <w:rsid w:val="000770C0"/>
    <w:rsid w:val="0008717B"/>
    <w:rsid w:val="00091F04"/>
    <w:rsid w:val="0009599B"/>
    <w:rsid w:val="00095BA6"/>
    <w:rsid w:val="0009675F"/>
    <w:rsid w:val="000A5F31"/>
    <w:rsid w:val="000B14B1"/>
    <w:rsid w:val="000B33DE"/>
    <w:rsid w:val="000B449E"/>
    <w:rsid w:val="000B7B34"/>
    <w:rsid w:val="000C4B0C"/>
    <w:rsid w:val="000D54FB"/>
    <w:rsid w:val="000E21CF"/>
    <w:rsid w:val="000E2B5C"/>
    <w:rsid w:val="000E5D1E"/>
    <w:rsid w:val="000F2DA6"/>
    <w:rsid w:val="000F7B8B"/>
    <w:rsid w:val="000F7EC6"/>
    <w:rsid w:val="00103E28"/>
    <w:rsid w:val="0011071D"/>
    <w:rsid w:val="00111107"/>
    <w:rsid w:val="001114E8"/>
    <w:rsid w:val="00123D34"/>
    <w:rsid w:val="00124455"/>
    <w:rsid w:val="00124BD0"/>
    <w:rsid w:val="00125400"/>
    <w:rsid w:val="00130939"/>
    <w:rsid w:val="00136425"/>
    <w:rsid w:val="001368FE"/>
    <w:rsid w:val="00141A81"/>
    <w:rsid w:val="00141AD4"/>
    <w:rsid w:val="00147D47"/>
    <w:rsid w:val="00151369"/>
    <w:rsid w:val="00151F29"/>
    <w:rsid w:val="00155AD0"/>
    <w:rsid w:val="001578B7"/>
    <w:rsid w:val="00165091"/>
    <w:rsid w:val="00165526"/>
    <w:rsid w:val="00165CAF"/>
    <w:rsid w:val="00170A28"/>
    <w:rsid w:val="00171F24"/>
    <w:rsid w:val="00172E89"/>
    <w:rsid w:val="001736E1"/>
    <w:rsid w:val="00173799"/>
    <w:rsid w:val="00174800"/>
    <w:rsid w:val="0017652E"/>
    <w:rsid w:val="001851C5"/>
    <w:rsid w:val="00185721"/>
    <w:rsid w:val="001858FD"/>
    <w:rsid w:val="001869F6"/>
    <w:rsid w:val="00187D69"/>
    <w:rsid w:val="00191D29"/>
    <w:rsid w:val="00192D1A"/>
    <w:rsid w:val="001943AC"/>
    <w:rsid w:val="001B1F0E"/>
    <w:rsid w:val="001B2443"/>
    <w:rsid w:val="001B2612"/>
    <w:rsid w:val="001B5108"/>
    <w:rsid w:val="001B6F36"/>
    <w:rsid w:val="001B7D1E"/>
    <w:rsid w:val="001C24D0"/>
    <w:rsid w:val="001C4E00"/>
    <w:rsid w:val="001C5F8E"/>
    <w:rsid w:val="001C7BA9"/>
    <w:rsid w:val="001D1272"/>
    <w:rsid w:val="001D7DF0"/>
    <w:rsid w:val="001E33FA"/>
    <w:rsid w:val="001E4ED8"/>
    <w:rsid w:val="001E51AE"/>
    <w:rsid w:val="001E6E8A"/>
    <w:rsid w:val="001F133B"/>
    <w:rsid w:val="001F211C"/>
    <w:rsid w:val="002009D1"/>
    <w:rsid w:val="002023E5"/>
    <w:rsid w:val="00203D5C"/>
    <w:rsid w:val="00204C13"/>
    <w:rsid w:val="00206851"/>
    <w:rsid w:val="00207D44"/>
    <w:rsid w:val="00211076"/>
    <w:rsid w:val="002119DF"/>
    <w:rsid w:val="00212301"/>
    <w:rsid w:val="00212962"/>
    <w:rsid w:val="00213D1A"/>
    <w:rsid w:val="00215DFA"/>
    <w:rsid w:val="00216E5C"/>
    <w:rsid w:val="002179F1"/>
    <w:rsid w:val="002218E7"/>
    <w:rsid w:val="002248F3"/>
    <w:rsid w:val="00227858"/>
    <w:rsid w:val="00230DE9"/>
    <w:rsid w:val="00234128"/>
    <w:rsid w:val="0023614D"/>
    <w:rsid w:val="0024644F"/>
    <w:rsid w:val="0024796D"/>
    <w:rsid w:val="00250907"/>
    <w:rsid w:val="00250F5E"/>
    <w:rsid w:val="00252198"/>
    <w:rsid w:val="00254E6C"/>
    <w:rsid w:val="00255570"/>
    <w:rsid w:val="00255F4C"/>
    <w:rsid w:val="00256B5A"/>
    <w:rsid w:val="00256BC8"/>
    <w:rsid w:val="00263351"/>
    <w:rsid w:val="00264A31"/>
    <w:rsid w:val="002675FB"/>
    <w:rsid w:val="00273225"/>
    <w:rsid w:val="00281FA6"/>
    <w:rsid w:val="00292A18"/>
    <w:rsid w:val="002A0034"/>
    <w:rsid w:val="002A476C"/>
    <w:rsid w:val="002A4F65"/>
    <w:rsid w:val="002B0C2C"/>
    <w:rsid w:val="002B29C2"/>
    <w:rsid w:val="002B3B7F"/>
    <w:rsid w:val="002B56FB"/>
    <w:rsid w:val="002C2405"/>
    <w:rsid w:val="002C44BC"/>
    <w:rsid w:val="002C4B6F"/>
    <w:rsid w:val="002D3B12"/>
    <w:rsid w:val="002E5F2F"/>
    <w:rsid w:val="0030062C"/>
    <w:rsid w:val="00303262"/>
    <w:rsid w:val="0030346B"/>
    <w:rsid w:val="00306292"/>
    <w:rsid w:val="0031065A"/>
    <w:rsid w:val="003114F4"/>
    <w:rsid w:val="00311E3A"/>
    <w:rsid w:val="003150A0"/>
    <w:rsid w:val="003159F4"/>
    <w:rsid w:val="00317135"/>
    <w:rsid w:val="0032006A"/>
    <w:rsid w:val="00323501"/>
    <w:rsid w:val="00323A33"/>
    <w:rsid w:val="00323E73"/>
    <w:rsid w:val="003313FD"/>
    <w:rsid w:val="0034310E"/>
    <w:rsid w:val="00343EA0"/>
    <w:rsid w:val="00346678"/>
    <w:rsid w:val="003477AD"/>
    <w:rsid w:val="003503D4"/>
    <w:rsid w:val="00350C79"/>
    <w:rsid w:val="00351252"/>
    <w:rsid w:val="00352838"/>
    <w:rsid w:val="00354098"/>
    <w:rsid w:val="003615B0"/>
    <w:rsid w:val="00364C19"/>
    <w:rsid w:val="003733D6"/>
    <w:rsid w:val="00374E53"/>
    <w:rsid w:val="003760DC"/>
    <w:rsid w:val="003777D6"/>
    <w:rsid w:val="00381826"/>
    <w:rsid w:val="003835CE"/>
    <w:rsid w:val="00383825"/>
    <w:rsid w:val="00384D14"/>
    <w:rsid w:val="003910A2"/>
    <w:rsid w:val="00391BEC"/>
    <w:rsid w:val="003935CF"/>
    <w:rsid w:val="003A00E0"/>
    <w:rsid w:val="003A262C"/>
    <w:rsid w:val="003A4FC4"/>
    <w:rsid w:val="003A73A2"/>
    <w:rsid w:val="003B4282"/>
    <w:rsid w:val="003C020A"/>
    <w:rsid w:val="003C04D7"/>
    <w:rsid w:val="003C1601"/>
    <w:rsid w:val="003C25EE"/>
    <w:rsid w:val="003C4074"/>
    <w:rsid w:val="003D0514"/>
    <w:rsid w:val="003D2272"/>
    <w:rsid w:val="003E0489"/>
    <w:rsid w:val="003E1E5C"/>
    <w:rsid w:val="003E2615"/>
    <w:rsid w:val="003E4AED"/>
    <w:rsid w:val="003E4B0D"/>
    <w:rsid w:val="003F2BEF"/>
    <w:rsid w:val="003F4EF8"/>
    <w:rsid w:val="00401698"/>
    <w:rsid w:val="00401E38"/>
    <w:rsid w:val="00404FE4"/>
    <w:rsid w:val="0040659B"/>
    <w:rsid w:val="00410549"/>
    <w:rsid w:val="00410F10"/>
    <w:rsid w:val="00411678"/>
    <w:rsid w:val="00411A6B"/>
    <w:rsid w:val="004148E4"/>
    <w:rsid w:val="00417E8C"/>
    <w:rsid w:val="00430C1F"/>
    <w:rsid w:val="00437E32"/>
    <w:rsid w:val="0044073E"/>
    <w:rsid w:val="00441196"/>
    <w:rsid w:val="004478B6"/>
    <w:rsid w:val="004479CE"/>
    <w:rsid w:val="004512B7"/>
    <w:rsid w:val="00452136"/>
    <w:rsid w:val="004544C4"/>
    <w:rsid w:val="00455B40"/>
    <w:rsid w:val="00455F70"/>
    <w:rsid w:val="00457F5F"/>
    <w:rsid w:val="0046050B"/>
    <w:rsid w:val="00464ED6"/>
    <w:rsid w:val="00471B02"/>
    <w:rsid w:val="0047207A"/>
    <w:rsid w:val="00474370"/>
    <w:rsid w:val="00482F4C"/>
    <w:rsid w:val="004911E8"/>
    <w:rsid w:val="00494045"/>
    <w:rsid w:val="00495771"/>
    <w:rsid w:val="00497505"/>
    <w:rsid w:val="00497E94"/>
    <w:rsid w:val="004B437B"/>
    <w:rsid w:val="004B7144"/>
    <w:rsid w:val="004B7371"/>
    <w:rsid w:val="004C1F41"/>
    <w:rsid w:val="004C4BFC"/>
    <w:rsid w:val="004C5D38"/>
    <w:rsid w:val="004E496C"/>
    <w:rsid w:val="004E7FCA"/>
    <w:rsid w:val="004F0BB3"/>
    <w:rsid w:val="004F4F43"/>
    <w:rsid w:val="004F5174"/>
    <w:rsid w:val="004F696D"/>
    <w:rsid w:val="004F6A81"/>
    <w:rsid w:val="0050054A"/>
    <w:rsid w:val="00500DCF"/>
    <w:rsid w:val="0050177B"/>
    <w:rsid w:val="0050437E"/>
    <w:rsid w:val="00512A89"/>
    <w:rsid w:val="0052127C"/>
    <w:rsid w:val="005256EB"/>
    <w:rsid w:val="0052581F"/>
    <w:rsid w:val="00526AAE"/>
    <w:rsid w:val="00532B21"/>
    <w:rsid w:val="005330DD"/>
    <w:rsid w:val="0054043A"/>
    <w:rsid w:val="005406E3"/>
    <w:rsid w:val="00541215"/>
    <w:rsid w:val="005423F1"/>
    <w:rsid w:val="00543932"/>
    <w:rsid w:val="005452A8"/>
    <w:rsid w:val="005462AE"/>
    <w:rsid w:val="00547C20"/>
    <w:rsid w:val="0055177B"/>
    <w:rsid w:val="00561B22"/>
    <w:rsid w:val="0057033C"/>
    <w:rsid w:val="00571D3A"/>
    <w:rsid w:val="00577C28"/>
    <w:rsid w:val="005803A0"/>
    <w:rsid w:val="005860AC"/>
    <w:rsid w:val="00593AAF"/>
    <w:rsid w:val="00593CD2"/>
    <w:rsid w:val="005A21E6"/>
    <w:rsid w:val="005A74CD"/>
    <w:rsid w:val="005B10E4"/>
    <w:rsid w:val="005B5B2C"/>
    <w:rsid w:val="005B63E3"/>
    <w:rsid w:val="005C09F2"/>
    <w:rsid w:val="005C13C9"/>
    <w:rsid w:val="005C219F"/>
    <w:rsid w:val="005C3B69"/>
    <w:rsid w:val="005D1643"/>
    <w:rsid w:val="005D3292"/>
    <w:rsid w:val="005E2D29"/>
    <w:rsid w:val="005E5044"/>
    <w:rsid w:val="005E516B"/>
    <w:rsid w:val="005F0456"/>
    <w:rsid w:val="005F74B7"/>
    <w:rsid w:val="00602884"/>
    <w:rsid w:val="00604B45"/>
    <w:rsid w:val="00606D1D"/>
    <w:rsid w:val="006231F6"/>
    <w:rsid w:val="0063501D"/>
    <w:rsid w:val="006378F1"/>
    <w:rsid w:val="00642591"/>
    <w:rsid w:val="00642993"/>
    <w:rsid w:val="00645801"/>
    <w:rsid w:val="006473DC"/>
    <w:rsid w:val="00650EC5"/>
    <w:rsid w:val="0065214F"/>
    <w:rsid w:val="00654DF3"/>
    <w:rsid w:val="00656054"/>
    <w:rsid w:val="00664F15"/>
    <w:rsid w:val="00666378"/>
    <w:rsid w:val="00667E05"/>
    <w:rsid w:val="006736FD"/>
    <w:rsid w:val="0067423C"/>
    <w:rsid w:val="006761D7"/>
    <w:rsid w:val="006813B2"/>
    <w:rsid w:val="00683F2D"/>
    <w:rsid w:val="00693BA0"/>
    <w:rsid w:val="00696F67"/>
    <w:rsid w:val="006A2179"/>
    <w:rsid w:val="006A3C94"/>
    <w:rsid w:val="006A577B"/>
    <w:rsid w:val="006A6862"/>
    <w:rsid w:val="006A7D56"/>
    <w:rsid w:val="006B0413"/>
    <w:rsid w:val="006B055A"/>
    <w:rsid w:val="006B50E5"/>
    <w:rsid w:val="006B7A1F"/>
    <w:rsid w:val="006C4861"/>
    <w:rsid w:val="006D239B"/>
    <w:rsid w:val="006D24E8"/>
    <w:rsid w:val="006D74C3"/>
    <w:rsid w:val="006D7D19"/>
    <w:rsid w:val="006E132C"/>
    <w:rsid w:val="006E1446"/>
    <w:rsid w:val="006E2356"/>
    <w:rsid w:val="006E2A43"/>
    <w:rsid w:val="006E3373"/>
    <w:rsid w:val="006E3AD0"/>
    <w:rsid w:val="006F11BC"/>
    <w:rsid w:val="006F3F1D"/>
    <w:rsid w:val="006F5998"/>
    <w:rsid w:val="006F7AA0"/>
    <w:rsid w:val="006F7CF1"/>
    <w:rsid w:val="007008D2"/>
    <w:rsid w:val="00700E15"/>
    <w:rsid w:val="007104C2"/>
    <w:rsid w:val="00710CD3"/>
    <w:rsid w:val="00712A91"/>
    <w:rsid w:val="00712B1D"/>
    <w:rsid w:val="00714797"/>
    <w:rsid w:val="007170C9"/>
    <w:rsid w:val="007227DD"/>
    <w:rsid w:val="007253EB"/>
    <w:rsid w:val="00726D9E"/>
    <w:rsid w:val="007301D5"/>
    <w:rsid w:val="007358C8"/>
    <w:rsid w:val="007364F4"/>
    <w:rsid w:val="00737959"/>
    <w:rsid w:val="00740B76"/>
    <w:rsid w:val="0074120F"/>
    <w:rsid w:val="0074425D"/>
    <w:rsid w:val="00757801"/>
    <w:rsid w:val="00760383"/>
    <w:rsid w:val="00763682"/>
    <w:rsid w:val="0076372F"/>
    <w:rsid w:val="007709DF"/>
    <w:rsid w:val="00771703"/>
    <w:rsid w:val="0077194F"/>
    <w:rsid w:val="007759BC"/>
    <w:rsid w:val="007811BF"/>
    <w:rsid w:val="00783050"/>
    <w:rsid w:val="00790FF3"/>
    <w:rsid w:val="00792D31"/>
    <w:rsid w:val="007940B1"/>
    <w:rsid w:val="007959A4"/>
    <w:rsid w:val="007A3C01"/>
    <w:rsid w:val="007A4F61"/>
    <w:rsid w:val="007A5E42"/>
    <w:rsid w:val="007A5FFA"/>
    <w:rsid w:val="007B160B"/>
    <w:rsid w:val="007B4457"/>
    <w:rsid w:val="007B47FB"/>
    <w:rsid w:val="007B633F"/>
    <w:rsid w:val="007C0B53"/>
    <w:rsid w:val="007C0D57"/>
    <w:rsid w:val="007C5C91"/>
    <w:rsid w:val="007E10DF"/>
    <w:rsid w:val="007E2584"/>
    <w:rsid w:val="007E2E3F"/>
    <w:rsid w:val="007F0676"/>
    <w:rsid w:val="007F2332"/>
    <w:rsid w:val="007F2EA6"/>
    <w:rsid w:val="007F571C"/>
    <w:rsid w:val="007F5CF6"/>
    <w:rsid w:val="007F5EEF"/>
    <w:rsid w:val="007F6F24"/>
    <w:rsid w:val="008016B1"/>
    <w:rsid w:val="0080285D"/>
    <w:rsid w:val="0080748C"/>
    <w:rsid w:val="008119D1"/>
    <w:rsid w:val="00814231"/>
    <w:rsid w:val="0081612E"/>
    <w:rsid w:val="00820F49"/>
    <w:rsid w:val="00826356"/>
    <w:rsid w:val="0083380D"/>
    <w:rsid w:val="0084051B"/>
    <w:rsid w:val="00840CEF"/>
    <w:rsid w:val="00841B83"/>
    <w:rsid w:val="00842AD4"/>
    <w:rsid w:val="00844A98"/>
    <w:rsid w:val="00844B2C"/>
    <w:rsid w:val="0084572E"/>
    <w:rsid w:val="00847FCF"/>
    <w:rsid w:val="008510B2"/>
    <w:rsid w:val="00852752"/>
    <w:rsid w:val="00854360"/>
    <w:rsid w:val="0085593C"/>
    <w:rsid w:val="00855AFA"/>
    <w:rsid w:val="008563EE"/>
    <w:rsid w:val="00862F66"/>
    <w:rsid w:val="008673EC"/>
    <w:rsid w:val="008707A4"/>
    <w:rsid w:val="00871FF1"/>
    <w:rsid w:val="00873695"/>
    <w:rsid w:val="008743B1"/>
    <w:rsid w:val="008826C2"/>
    <w:rsid w:val="008842E3"/>
    <w:rsid w:val="00885560"/>
    <w:rsid w:val="00885E67"/>
    <w:rsid w:val="00891503"/>
    <w:rsid w:val="008917B5"/>
    <w:rsid w:val="008A7BF2"/>
    <w:rsid w:val="008C2FC2"/>
    <w:rsid w:val="008C4AB2"/>
    <w:rsid w:val="008C5501"/>
    <w:rsid w:val="008C69F4"/>
    <w:rsid w:val="008D1672"/>
    <w:rsid w:val="008D2DA9"/>
    <w:rsid w:val="008D6B32"/>
    <w:rsid w:val="008D6CD8"/>
    <w:rsid w:val="008D7A2B"/>
    <w:rsid w:val="008E20F7"/>
    <w:rsid w:val="008E4380"/>
    <w:rsid w:val="00903013"/>
    <w:rsid w:val="0091174D"/>
    <w:rsid w:val="00913F0D"/>
    <w:rsid w:val="00915F44"/>
    <w:rsid w:val="009200DD"/>
    <w:rsid w:val="00920460"/>
    <w:rsid w:val="00922A7F"/>
    <w:rsid w:val="00923903"/>
    <w:rsid w:val="00925F37"/>
    <w:rsid w:val="00927D86"/>
    <w:rsid w:val="00935FBB"/>
    <w:rsid w:val="009370BE"/>
    <w:rsid w:val="0094009F"/>
    <w:rsid w:val="009414E1"/>
    <w:rsid w:val="00944FBE"/>
    <w:rsid w:val="009467F0"/>
    <w:rsid w:val="0095282A"/>
    <w:rsid w:val="00954E09"/>
    <w:rsid w:val="0095597A"/>
    <w:rsid w:val="00955F4F"/>
    <w:rsid w:val="00956B5F"/>
    <w:rsid w:val="00957824"/>
    <w:rsid w:val="00957A12"/>
    <w:rsid w:val="00963671"/>
    <w:rsid w:val="009644DD"/>
    <w:rsid w:val="009718E1"/>
    <w:rsid w:val="00972D9E"/>
    <w:rsid w:val="009744D3"/>
    <w:rsid w:val="00977782"/>
    <w:rsid w:val="00985BA6"/>
    <w:rsid w:val="00991455"/>
    <w:rsid w:val="00991E50"/>
    <w:rsid w:val="00991EA0"/>
    <w:rsid w:val="00993A29"/>
    <w:rsid w:val="00995E89"/>
    <w:rsid w:val="00996057"/>
    <w:rsid w:val="00996088"/>
    <w:rsid w:val="009A072C"/>
    <w:rsid w:val="009A1256"/>
    <w:rsid w:val="009A19FC"/>
    <w:rsid w:val="009A1AE0"/>
    <w:rsid w:val="009A5FAD"/>
    <w:rsid w:val="009A75D7"/>
    <w:rsid w:val="009B40A4"/>
    <w:rsid w:val="009B46A6"/>
    <w:rsid w:val="009B5027"/>
    <w:rsid w:val="009B57E5"/>
    <w:rsid w:val="009B660B"/>
    <w:rsid w:val="009C1DC5"/>
    <w:rsid w:val="009C24B4"/>
    <w:rsid w:val="009C3999"/>
    <w:rsid w:val="009C7C02"/>
    <w:rsid w:val="009D4BB0"/>
    <w:rsid w:val="009D706B"/>
    <w:rsid w:val="009D7497"/>
    <w:rsid w:val="009E57EF"/>
    <w:rsid w:val="009F0478"/>
    <w:rsid w:val="009F3599"/>
    <w:rsid w:val="009F55D7"/>
    <w:rsid w:val="009F5875"/>
    <w:rsid w:val="009F7003"/>
    <w:rsid w:val="009F75F8"/>
    <w:rsid w:val="00A0040C"/>
    <w:rsid w:val="00A009FA"/>
    <w:rsid w:val="00A03049"/>
    <w:rsid w:val="00A11851"/>
    <w:rsid w:val="00A133AB"/>
    <w:rsid w:val="00A17BF9"/>
    <w:rsid w:val="00A21150"/>
    <w:rsid w:val="00A212F2"/>
    <w:rsid w:val="00A2209A"/>
    <w:rsid w:val="00A2730E"/>
    <w:rsid w:val="00A32A06"/>
    <w:rsid w:val="00A33BEE"/>
    <w:rsid w:val="00A405B1"/>
    <w:rsid w:val="00A41C86"/>
    <w:rsid w:val="00A422B8"/>
    <w:rsid w:val="00A4330C"/>
    <w:rsid w:val="00A43447"/>
    <w:rsid w:val="00A43A70"/>
    <w:rsid w:val="00A46769"/>
    <w:rsid w:val="00A47A9F"/>
    <w:rsid w:val="00A50A41"/>
    <w:rsid w:val="00A50FF4"/>
    <w:rsid w:val="00A552C2"/>
    <w:rsid w:val="00A558FC"/>
    <w:rsid w:val="00A574EE"/>
    <w:rsid w:val="00A57BA4"/>
    <w:rsid w:val="00A60B9E"/>
    <w:rsid w:val="00A616B8"/>
    <w:rsid w:val="00A619B0"/>
    <w:rsid w:val="00A653C8"/>
    <w:rsid w:val="00A65659"/>
    <w:rsid w:val="00A71C20"/>
    <w:rsid w:val="00A72953"/>
    <w:rsid w:val="00A81548"/>
    <w:rsid w:val="00A8190C"/>
    <w:rsid w:val="00A83C81"/>
    <w:rsid w:val="00A83C8A"/>
    <w:rsid w:val="00A86B74"/>
    <w:rsid w:val="00A877B5"/>
    <w:rsid w:val="00A9495F"/>
    <w:rsid w:val="00A94F1B"/>
    <w:rsid w:val="00A970A6"/>
    <w:rsid w:val="00A977A5"/>
    <w:rsid w:val="00AA0296"/>
    <w:rsid w:val="00AA061F"/>
    <w:rsid w:val="00AA4089"/>
    <w:rsid w:val="00AA63C9"/>
    <w:rsid w:val="00AA7264"/>
    <w:rsid w:val="00AB02BF"/>
    <w:rsid w:val="00AB6BC1"/>
    <w:rsid w:val="00AB7D8A"/>
    <w:rsid w:val="00AC3906"/>
    <w:rsid w:val="00AC50A4"/>
    <w:rsid w:val="00AC7A98"/>
    <w:rsid w:val="00AD0752"/>
    <w:rsid w:val="00AD53A7"/>
    <w:rsid w:val="00AD5A0F"/>
    <w:rsid w:val="00AE0928"/>
    <w:rsid w:val="00AE0D7A"/>
    <w:rsid w:val="00AE177B"/>
    <w:rsid w:val="00AE74EA"/>
    <w:rsid w:val="00AF2FCB"/>
    <w:rsid w:val="00AF51C3"/>
    <w:rsid w:val="00B00985"/>
    <w:rsid w:val="00B0683A"/>
    <w:rsid w:val="00B13DF3"/>
    <w:rsid w:val="00B15322"/>
    <w:rsid w:val="00B2433E"/>
    <w:rsid w:val="00B253F8"/>
    <w:rsid w:val="00B3016F"/>
    <w:rsid w:val="00B32710"/>
    <w:rsid w:val="00B327E7"/>
    <w:rsid w:val="00B335BD"/>
    <w:rsid w:val="00B33D44"/>
    <w:rsid w:val="00B343CB"/>
    <w:rsid w:val="00B35B0A"/>
    <w:rsid w:val="00B3604F"/>
    <w:rsid w:val="00B3705C"/>
    <w:rsid w:val="00B406DC"/>
    <w:rsid w:val="00B511B8"/>
    <w:rsid w:val="00B53E0A"/>
    <w:rsid w:val="00B6090D"/>
    <w:rsid w:val="00B617DE"/>
    <w:rsid w:val="00B61E9C"/>
    <w:rsid w:val="00B6594E"/>
    <w:rsid w:val="00B67E25"/>
    <w:rsid w:val="00B703F5"/>
    <w:rsid w:val="00B92142"/>
    <w:rsid w:val="00B94CCE"/>
    <w:rsid w:val="00B96BB6"/>
    <w:rsid w:val="00BA0B53"/>
    <w:rsid w:val="00BA3657"/>
    <w:rsid w:val="00BB1610"/>
    <w:rsid w:val="00BB2E33"/>
    <w:rsid w:val="00BB76EA"/>
    <w:rsid w:val="00BC45DA"/>
    <w:rsid w:val="00BC5830"/>
    <w:rsid w:val="00BC79CC"/>
    <w:rsid w:val="00BC7F0C"/>
    <w:rsid w:val="00BD5FEA"/>
    <w:rsid w:val="00BD622D"/>
    <w:rsid w:val="00BD7CFE"/>
    <w:rsid w:val="00BE3023"/>
    <w:rsid w:val="00BE3FD4"/>
    <w:rsid w:val="00BE4B9C"/>
    <w:rsid w:val="00BE70C8"/>
    <w:rsid w:val="00BE7AC3"/>
    <w:rsid w:val="00BF1F16"/>
    <w:rsid w:val="00BF361E"/>
    <w:rsid w:val="00BF3CD2"/>
    <w:rsid w:val="00BF5027"/>
    <w:rsid w:val="00C018EC"/>
    <w:rsid w:val="00C0486A"/>
    <w:rsid w:val="00C0584E"/>
    <w:rsid w:val="00C06832"/>
    <w:rsid w:val="00C06A4D"/>
    <w:rsid w:val="00C1097E"/>
    <w:rsid w:val="00C143CC"/>
    <w:rsid w:val="00C1649C"/>
    <w:rsid w:val="00C20887"/>
    <w:rsid w:val="00C219D4"/>
    <w:rsid w:val="00C2290B"/>
    <w:rsid w:val="00C27DE7"/>
    <w:rsid w:val="00C35FCF"/>
    <w:rsid w:val="00C40299"/>
    <w:rsid w:val="00C41137"/>
    <w:rsid w:val="00C427BB"/>
    <w:rsid w:val="00C4551A"/>
    <w:rsid w:val="00C47CDB"/>
    <w:rsid w:val="00C510E9"/>
    <w:rsid w:val="00C618D1"/>
    <w:rsid w:val="00C64421"/>
    <w:rsid w:val="00C7550C"/>
    <w:rsid w:val="00C76230"/>
    <w:rsid w:val="00C852CB"/>
    <w:rsid w:val="00C87D7D"/>
    <w:rsid w:val="00C959F7"/>
    <w:rsid w:val="00C95BCB"/>
    <w:rsid w:val="00C95D16"/>
    <w:rsid w:val="00C96FBE"/>
    <w:rsid w:val="00C97199"/>
    <w:rsid w:val="00CA57BD"/>
    <w:rsid w:val="00CB1281"/>
    <w:rsid w:val="00CB1DF6"/>
    <w:rsid w:val="00CB3DCB"/>
    <w:rsid w:val="00CC002C"/>
    <w:rsid w:val="00CC2A89"/>
    <w:rsid w:val="00CC6760"/>
    <w:rsid w:val="00CD45A4"/>
    <w:rsid w:val="00CF24A1"/>
    <w:rsid w:val="00CF24CB"/>
    <w:rsid w:val="00CF6BC1"/>
    <w:rsid w:val="00D039DB"/>
    <w:rsid w:val="00D03EC0"/>
    <w:rsid w:val="00D05848"/>
    <w:rsid w:val="00D10A0B"/>
    <w:rsid w:val="00D10C1D"/>
    <w:rsid w:val="00D1188F"/>
    <w:rsid w:val="00D13046"/>
    <w:rsid w:val="00D134FA"/>
    <w:rsid w:val="00D16407"/>
    <w:rsid w:val="00D17D9A"/>
    <w:rsid w:val="00D17DB7"/>
    <w:rsid w:val="00D20A54"/>
    <w:rsid w:val="00D212F3"/>
    <w:rsid w:val="00D22D59"/>
    <w:rsid w:val="00D238C4"/>
    <w:rsid w:val="00D2492C"/>
    <w:rsid w:val="00D24E49"/>
    <w:rsid w:val="00D27A8F"/>
    <w:rsid w:val="00D303C2"/>
    <w:rsid w:val="00D35DB2"/>
    <w:rsid w:val="00D37780"/>
    <w:rsid w:val="00D40D91"/>
    <w:rsid w:val="00D410D6"/>
    <w:rsid w:val="00D41F7E"/>
    <w:rsid w:val="00D41FDF"/>
    <w:rsid w:val="00D44B04"/>
    <w:rsid w:val="00D45BFA"/>
    <w:rsid w:val="00D46741"/>
    <w:rsid w:val="00D46D41"/>
    <w:rsid w:val="00D51430"/>
    <w:rsid w:val="00D52D08"/>
    <w:rsid w:val="00D54094"/>
    <w:rsid w:val="00D5779A"/>
    <w:rsid w:val="00D626C2"/>
    <w:rsid w:val="00D63DA4"/>
    <w:rsid w:val="00D65937"/>
    <w:rsid w:val="00D72F57"/>
    <w:rsid w:val="00D76235"/>
    <w:rsid w:val="00D802C4"/>
    <w:rsid w:val="00D8062D"/>
    <w:rsid w:val="00D81F02"/>
    <w:rsid w:val="00D8209D"/>
    <w:rsid w:val="00D82A32"/>
    <w:rsid w:val="00D86C8A"/>
    <w:rsid w:val="00D91CE8"/>
    <w:rsid w:val="00D94659"/>
    <w:rsid w:val="00D9751B"/>
    <w:rsid w:val="00DA2657"/>
    <w:rsid w:val="00DB088A"/>
    <w:rsid w:val="00DB2DB7"/>
    <w:rsid w:val="00DC03DD"/>
    <w:rsid w:val="00DD05B7"/>
    <w:rsid w:val="00DD4557"/>
    <w:rsid w:val="00DD59C7"/>
    <w:rsid w:val="00DD78CE"/>
    <w:rsid w:val="00DE2645"/>
    <w:rsid w:val="00DE47A5"/>
    <w:rsid w:val="00DE6C27"/>
    <w:rsid w:val="00DF0317"/>
    <w:rsid w:val="00DF3759"/>
    <w:rsid w:val="00DF4124"/>
    <w:rsid w:val="00DF6955"/>
    <w:rsid w:val="00E0005C"/>
    <w:rsid w:val="00E05670"/>
    <w:rsid w:val="00E07DCC"/>
    <w:rsid w:val="00E203C2"/>
    <w:rsid w:val="00E20823"/>
    <w:rsid w:val="00E21C88"/>
    <w:rsid w:val="00E2523D"/>
    <w:rsid w:val="00E2784A"/>
    <w:rsid w:val="00E316D9"/>
    <w:rsid w:val="00E348DD"/>
    <w:rsid w:val="00E36758"/>
    <w:rsid w:val="00E3680F"/>
    <w:rsid w:val="00E45E79"/>
    <w:rsid w:val="00E47244"/>
    <w:rsid w:val="00E47752"/>
    <w:rsid w:val="00E541CB"/>
    <w:rsid w:val="00E54DBD"/>
    <w:rsid w:val="00E56AF1"/>
    <w:rsid w:val="00E57C7F"/>
    <w:rsid w:val="00E61B68"/>
    <w:rsid w:val="00E66282"/>
    <w:rsid w:val="00E66FC5"/>
    <w:rsid w:val="00E67EC9"/>
    <w:rsid w:val="00E7205A"/>
    <w:rsid w:val="00E741E6"/>
    <w:rsid w:val="00E823A8"/>
    <w:rsid w:val="00E83128"/>
    <w:rsid w:val="00E917AF"/>
    <w:rsid w:val="00E95895"/>
    <w:rsid w:val="00E95ECD"/>
    <w:rsid w:val="00E95FDB"/>
    <w:rsid w:val="00EA5625"/>
    <w:rsid w:val="00EB024A"/>
    <w:rsid w:val="00EB2E32"/>
    <w:rsid w:val="00EB37D7"/>
    <w:rsid w:val="00EC18C4"/>
    <w:rsid w:val="00EC5A6D"/>
    <w:rsid w:val="00ED0340"/>
    <w:rsid w:val="00ED352A"/>
    <w:rsid w:val="00EF551D"/>
    <w:rsid w:val="00EF601A"/>
    <w:rsid w:val="00EF7B4E"/>
    <w:rsid w:val="00EF7F50"/>
    <w:rsid w:val="00F02969"/>
    <w:rsid w:val="00F02B14"/>
    <w:rsid w:val="00F041CF"/>
    <w:rsid w:val="00F1014E"/>
    <w:rsid w:val="00F12D35"/>
    <w:rsid w:val="00F148E6"/>
    <w:rsid w:val="00F2167E"/>
    <w:rsid w:val="00F22871"/>
    <w:rsid w:val="00F23AA1"/>
    <w:rsid w:val="00F321B4"/>
    <w:rsid w:val="00F36D83"/>
    <w:rsid w:val="00F4553D"/>
    <w:rsid w:val="00F45C58"/>
    <w:rsid w:val="00F46954"/>
    <w:rsid w:val="00F5083A"/>
    <w:rsid w:val="00F511E5"/>
    <w:rsid w:val="00F53912"/>
    <w:rsid w:val="00F54CEA"/>
    <w:rsid w:val="00F57564"/>
    <w:rsid w:val="00F60499"/>
    <w:rsid w:val="00F621F8"/>
    <w:rsid w:val="00F675DE"/>
    <w:rsid w:val="00F70110"/>
    <w:rsid w:val="00F739E0"/>
    <w:rsid w:val="00F74ED8"/>
    <w:rsid w:val="00F75179"/>
    <w:rsid w:val="00F767E9"/>
    <w:rsid w:val="00F864C4"/>
    <w:rsid w:val="00F93B6A"/>
    <w:rsid w:val="00F93EBE"/>
    <w:rsid w:val="00F971ED"/>
    <w:rsid w:val="00FA0F4A"/>
    <w:rsid w:val="00FA1535"/>
    <w:rsid w:val="00FA1FFF"/>
    <w:rsid w:val="00FA6FA2"/>
    <w:rsid w:val="00FB1A1A"/>
    <w:rsid w:val="00FB4350"/>
    <w:rsid w:val="00FB7417"/>
    <w:rsid w:val="00FB74DE"/>
    <w:rsid w:val="00FC1E10"/>
    <w:rsid w:val="00FD1176"/>
    <w:rsid w:val="00FD3E10"/>
    <w:rsid w:val="00FD7C7E"/>
    <w:rsid w:val="00FE09F7"/>
    <w:rsid w:val="00FE348F"/>
    <w:rsid w:val="00FE34E9"/>
    <w:rsid w:val="00FE405C"/>
    <w:rsid w:val="00FE5667"/>
    <w:rsid w:val="00FE6BAF"/>
    <w:rsid w:val="00FF01EB"/>
    <w:rsid w:val="00FF06D9"/>
    <w:rsid w:val="00FF1211"/>
    <w:rsid w:val="00FF14B3"/>
    <w:rsid w:val="00FF3242"/>
    <w:rsid w:val="00FF3A1B"/>
    <w:rsid w:val="00FF4E3C"/>
    <w:rsid w:val="00FF6492"/>
    <w:rsid w:val="00FF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2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semiHidden="1" w:uiPriority="39"/>
    <w:lsdException w:name="footnote text" w:uiPriority="0"/>
    <w:lsdException w:name="annotation text" w:semiHidden="1"/>
    <w:lsdException w:name="header" w:uiPriority="0"/>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uiPriority="0"/>
    <w:lsdException w:name="Hyperlink"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6"/>
    <w:qFormat/>
    <w:rsid w:val="00095BA6"/>
    <w:pPr>
      <w:spacing w:before="120" w:after="120" w:line="240" w:lineRule="atLeast"/>
    </w:pPr>
    <w:rPr>
      <w:rFonts w:ascii="Arial" w:hAnsi="Arial"/>
      <w:szCs w:val="24"/>
    </w:rPr>
  </w:style>
  <w:style w:type="paragraph" w:styleId="Heading1">
    <w:name w:val="heading 1"/>
    <w:basedOn w:val="NormalLeftAligned"/>
    <w:next w:val="BodyText"/>
    <w:link w:val="Heading1Char"/>
    <w:qFormat/>
    <w:rsid w:val="00A43447"/>
    <w:pPr>
      <w:keepNext/>
      <w:keepLines/>
      <w:pageBreakBefore/>
      <w:numPr>
        <w:numId w:val="39"/>
      </w:numPr>
      <w:spacing w:before="0" w:after="240"/>
      <w:outlineLvl w:val="0"/>
    </w:pPr>
    <w:rPr>
      <w:rFonts w:ascii="Calibri" w:eastAsiaTheme="majorEastAsia" w:hAnsi="Calibri" w:cstheme="majorBidi"/>
      <w:b/>
      <w:bCs/>
      <w:color w:val="0067AC"/>
      <w:sz w:val="32"/>
      <w:szCs w:val="28"/>
    </w:rPr>
  </w:style>
  <w:style w:type="paragraph" w:styleId="Heading2">
    <w:name w:val="heading 2"/>
    <w:basedOn w:val="NormalLeftAligned"/>
    <w:next w:val="BodyText"/>
    <w:link w:val="Heading2Char"/>
    <w:qFormat/>
    <w:rsid w:val="00A43447"/>
    <w:pPr>
      <w:keepNext/>
      <w:keepLines/>
      <w:numPr>
        <w:ilvl w:val="1"/>
        <w:numId w:val="39"/>
      </w:numPr>
      <w:spacing w:before="240" w:line="260" w:lineRule="atLeast"/>
      <w:outlineLvl w:val="1"/>
    </w:pPr>
    <w:rPr>
      <w:rFonts w:ascii="Calibri" w:eastAsiaTheme="majorEastAsia" w:hAnsi="Calibri" w:cstheme="majorBidi"/>
      <w:b/>
      <w:bCs/>
      <w:color w:val="0067AC"/>
      <w:sz w:val="26"/>
      <w:szCs w:val="26"/>
    </w:rPr>
  </w:style>
  <w:style w:type="paragraph" w:styleId="Heading3">
    <w:name w:val="heading 3"/>
    <w:basedOn w:val="NormalLeftAligned"/>
    <w:next w:val="BodyText"/>
    <w:link w:val="Heading3Char"/>
    <w:qFormat/>
    <w:rsid w:val="00A43447"/>
    <w:pPr>
      <w:keepNext/>
      <w:keepLines/>
      <w:numPr>
        <w:ilvl w:val="2"/>
        <w:numId w:val="39"/>
      </w:numPr>
      <w:spacing w:before="200"/>
      <w:outlineLvl w:val="2"/>
    </w:pPr>
    <w:rPr>
      <w:rFonts w:ascii="Calibri" w:eastAsiaTheme="majorEastAsia" w:hAnsi="Calibri" w:cstheme="majorBidi"/>
      <w:b/>
      <w:bCs/>
      <w:color w:val="0067AC"/>
      <w:sz w:val="22"/>
    </w:rPr>
  </w:style>
  <w:style w:type="paragraph" w:styleId="Heading4">
    <w:name w:val="heading 4"/>
    <w:basedOn w:val="NormalLeftAligned"/>
    <w:next w:val="BodyText"/>
    <w:link w:val="Heading4Char"/>
    <w:qFormat/>
    <w:rsid w:val="00A43447"/>
    <w:pPr>
      <w:keepNext/>
      <w:keepLines/>
      <w:numPr>
        <w:ilvl w:val="3"/>
        <w:numId w:val="39"/>
      </w:numPr>
      <w:spacing w:after="0"/>
      <w:outlineLvl w:val="3"/>
    </w:pPr>
    <w:rPr>
      <w:rFonts w:ascii="Calibri" w:eastAsiaTheme="majorEastAsia" w:hAnsi="Calibri" w:cstheme="majorBidi"/>
      <w:b/>
      <w:bCs/>
      <w:i/>
      <w:iCs/>
      <w:color w:val="0067AC"/>
      <w:sz w:val="22"/>
    </w:rPr>
  </w:style>
  <w:style w:type="paragraph" w:styleId="Heading5">
    <w:name w:val="heading 5"/>
    <w:basedOn w:val="Normal"/>
    <w:next w:val="Normal"/>
    <w:link w:val="Heading5Char"/>
    <w:uiPriority w:val="29"/>
    <w:unhideWhenUsed/>
    <w:qFormat/>
    <w:rsid w:val="00A43447"/>
    <w:pPr>
      <w:keepNext/>
      <w:keepLines/>
      <w:numPr>
        <w:ilvl w:val="4"/>
        <w:numId w:val="39"/>
      </w:numPr>
      <w:spacing w:after="0"/>
      <w:outlineLvl w:val="4"/>
    </w:pPr>
    <w:rPr>
      <w:rFonts w:ascii="Calibri" w:eastAsiaTheme="majorEastAsia" w:hAnsi="Calibri" w:cstheme="majorBidi"/>
      <w:b/>
      <w:i/>
      <w:color w:val="0067AC"/>
      <w:sz w:val="22"/>
    </w:rPr>
  </w:style>
  <w:style w:type="paragraph" w:styleId="Heading6">
    <w:name w:val="heading 6"/>
    <w:basedOn w:val="Normal"/>
    <w:next w:val="Normal"/>
    <w:link w:val="Heading6Char"/>
    <w:uiPriority w:val="29"/>
    <w:semiHidden/>
    <w:unhideWhenUsed/>
    <w:qFormat/>
    <w:rsid w:val="002248F3"/>
    <w:pPr>
      <w:keepNext/>
      <w:keepLines/>
      <w:spacing w:before="200" w:after="0"/>
      <w:outlineLvl w:val="5"/>
    </w:pPr>
    <w:rPr>
      <w:rFonts w:ascii="Calibri" w:eastAsiaTheme="majorEastAsia" w:hAnsi="Calibri" w:cstheme="majorBidi"/>
      <w:b/>
      <w:i/>
      <w:iCs/>
      <w:color w:val="0067A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3447"/>
    <w:rPr>
      <w:rFonts w:ascii="Calibri" w:eastAsiaTheme="majorEastAsia" w:hAnsi="Calibri" w:cstheme="majorBidi"/>
      <w:b/>
      <w:bCs/>
      <w:color w:val="0067AC"/>
      <w:sz w:val="32"/>
      <w:szCs w:val="28"/>
    </w:rPr>
  </w:style>
  <w:style w:type="character" w:customStyle="1" w:styleId="Heading2Char">
    <w:name w:val="Heading 2 Char"/>
    <w:basedOn w:val="DefaultParagraphFont"/>
    <w:link w:val="Heading2"/>
    <w:rsid w:val="00A43447"/>
    <w:rPr>
      <w:rFonts w:ascii="Calibri" w:eastAsiaTheme="majorEastAsia" w:hAnsi="Calibri" w:cstheme="majorBidi"/>
      <w:b/>
      <w:bCs/>
      <w:color w:val="0067AC"/>
      <w:sz w:val="26"/>
      <w:szCs w:val="26"/>
    </w:rPr>
  </w:style>
  <w:style w:type="character" w:customStyle="1" w:styleId="Heading3Char">
    <w:name w:val="Heading 3 Char"/>
    <w:basedOn w:val="DefaultParagraphFont"/>
    <w:link w:val="Heading3"/>
    <w:rsid w:val="00A43447"/>
    <w:rPr>
      <w:rFonts w:ascii="Calibri" w:eastAsiaTheme="majorEastAsia" w:hAnsi="Calibri" w:cstheme="majorBidi"/>
      <w:b/>
      <w:bCs/>
      <w:color w:val="0067AC"/>
      <w:sz w:val="22"/>
      <w:szCs w:val="24"/>
    </w:rPr>
  </w:style>
  <w:style w:type="paragraph" w:styleId="BlockText">
    <w:name w:val="Block Text"/>
    <w:basedOn w:val="Normal"/>
    <w:uiPriority w:val="29"/>
    <w:semiHidden/>
    <w:rsid w:val="002B3B7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1"/>
    <w:qFormat/>
    <w:rsid w:val="00561B22"/>
    <w:pPr>
      <w:ind w:left="851"/>
    </w:pPr>
  </w:style>
  <w:style w:type="character" w:customStyle="1" w:styleId="BodyTextChar">
    <w:name w:val="Body Text Char"/>
    <w:basedOn w:val="DefaultParagraphFont"/>
    <w:link w:val="BodyText"/>
    <w:uiPriority w:val="1"/>
    <w:rsid w:val="009F0478"/>
    <w:rPr>
      <w:rFonts w:ascii="Arial" w:hAnsi="Arial"/>
      <w:szCs w:val="24"/>
    </w:rPr>
  </w:style>
  <w:style w:type="paragraph" w:customStyle="1" w:styleId="Heading1NoNumb">
    <w:name w:val="Heading 1NoNumb"/>
    <w:basedOn w:val="Heading1"/>
    <w:next w:val="Normal"/>
    <w:uiPriority w:val="5"/>
    <w:qFormat/>
    <w:rsid w:val="009D7497"/>
    <w:pPr>
      <w:numPr>
        <w:numId w:val="0"/>
      </w:numPr>
    </w:pPr>
  </w:style>
  <w:style w:type="paragraph" w:customStyle="1" w:styleId="Heading2NoNumb">
    <w:name w:val="Heading 2NoNumb"/>
    <w:basedOn w:val="Heading2"/>
    <w:next w:val="Normal"/>
    <w:uiPriority w:val="5"/>
    <w:qFormat/>
    <w:rsid w:val="005B10E4"/>
    <w:pPr>
      <w:numPr>
        <w:ilvl w:val="0"/>
        <w:numId w:val="0"/>
      </w:numPr>
    </w:pPr>
  </w:style>
  <w:style w:type="paragraph" w:customStyle="1" w:styleId="BTBullet1">
    <w:name w:val="BTBullet1"/>
    <w:basedOn w:val="Normal"/>
    <w:uiPriority w:val="6"/>
    <w:qFormat/>
    <w:rsid w:val="0094009F"/>
    <w:pPr>
      <w:numPr>
        <w:numId w:val="43"/>
      </w:numPr>
      <w:spacing w:before="0" w:after="0"/>
    </w:pPr>
  </w:style>
  <w:style w:type="paragraph" w:customStyle="1" w:styleId="Figure">
    <w:name w:val="Figure"/>
    <w:basedOn w:val="NormalLeftAligned"/>
    <w:next w:val="BodyText"/>
    <w:uiPriority w:val="11"/>
    <w:qFormat/>
    <w:rsid w:val="00A43447"/>
    <w:pPr>
      <w:keepNext/>
      <w:numPr>
        <w:ilvl w:val="5"/>
        <w:numId w:val="39"/>
      </w:numPr>
    </w:pPr>
    <w:rPr>
      <w:rFonts w:ascii="Calibri" w:hAnsi="Calibri"/>
      <w:b/>
      <w:color w:val="0067AC"/>
    </w:rPr>
  </w:style>
  <w:style w:type="paragraph" w:styleId="BalloonText">
    <w:name w:val="Balloon Text"/>
    <w:basedOn w:val="Normal"/>
    <w:link w:val="BalloonTextChar"/>
    <w:uiPriority w:val="29"/>
    <w:semiHidden/>
    <w:rsid w:val="006E2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29"/>
    <w:semiHidden/>
    <w:rsid w:val="00AA63C9"/>
    <w:rPr>
      <w:rFonts w:ascii="Tahoma" w:hAnsi="Tahoma" w:cs="Tahoma"/>
      <w:sz w:val="16"/>
      <w:szCs w:val="16"/>
    </w:rPr>
  </w:style>
  <w:style w:type="paragraph" w:styleId="Header">
    <w:name w:val="header"/>
    <w:basedOn w:val="NormalLeftAligned"/>
    <w:link w:val="HeaderChar"/>
    <w:uiPriority w:val="29"/>
    <w:semiHidden/>
    <w:rsid w:val="0074120F"/>
    <w:pPr>
      <w:tabs>
        <w:tab w:val="center" w:pos="4513"/>
        <w:tab w:val="right" w:pos="9026"/>
      </w:tabs>
      <w:spacing w:before="0" w:after="0" w:line="240" w:lineRule="auto"/>
    </w:pPr>
    <w:rPr>
      <w:rFonts w:ascii="Calibri" w:hAnsi="Calibri"/>
      <w:color w:val="0067AC"/>
    </w:rPr>
  </w:style>
  <w:style w:type="character" w:customStyle="1" w:styleId="HeaderChar">
    <w:name w:val="Header Char"/>
    <w:basedOn w:val="DefaultParagraphFont"/>
    <w:link w:val="Header"/>
    <w:uiPriority w:val="29"/>
    <w:semiHidden/>
    <w:rsid w:val="0074120F"/>
    <w:rPr>
      <w:rFonts w:ascii="Calibri" w:hAnsi="Calibri"/>
      <w:color w:val="0067AC"/>
      <w:szCs w:val="24"/>
    </w:rPr>
  </w:style>
  <w:style w:type="paragraph" w:styleId="Footer">
    <w:name w:val="footer"/>
    <w:basedOn w:val="NormalLeftAligned"/>
    <w:link w:val="FooterChar"/>
    <w:uiPriority w:val="29"/>
    <w:semiHidden/>
    <w:rsid w:val="00E917AF"/>
    <w:pPr>
      <w:tabs>
        <w:tab w:val="right" w:pos="9072"/>
      </w:tabs>
      <w:spacing w:before="0" w:after="0" w:line="240" w:lineRule="auto"/>
    </w:pPr>
  </w:style>
  <w:style w:type="character" w:customStyle="1" w:styleId="FooterChar">
    <w:name w:val="Footer Char"/>
    <w:basedOn w:val="DefaultParagraphFont"/>
    <w:link w:val="Footer"/>
    <w:uiPriority w:val="29"/>
    <w:semiHidden/>
    <w:rsid w:val="00FA1FFF"/>
    <w:rPr>
      <w:rFonts w:ascii="Arial" w:hAnsi="Arial"/>
      <w:szCs w:val="24"/>
    </w:rPr>
  </w:style>
  <w:style w:type="table" w:styleId="TableGrid">
    <w:name w:val="Table Grid"/>
    <w:basedOn w:val="TableNormal"/>
    <w:rsid w:val="001E33F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Quote">
    <w:name w:val="Quote"/>
    <w:basedOn w:val="Normal"/>
    <w:next w:val="Normal"/>
    <w:link w:val="QuoteChar"/>
    <w:uiPriority w:val="10"/>
    <w:qFormat/>
    <w:rsid w:val="00E741E6"/>
    <w:pPr>
      <w:ind w:left="851"/>
    </w:pPr>
    <w:rPr>
      <w:i/>
      <w:iCs/>
      <w:color w:val="000000" w:themeColor="text1"/>
    </w:rPr>
  </w:style>
  <w:style w:type="character" w:customStyle="1" w:styleId="QuoteChar">
    <w:name w:val="Quote Char"/>
    <w:basedOn w:val="DefaultParagraphFont"/>
    <w:link w:val="Quote"/>
    <w:uiPriority w:val="10"/>
    <w:rsid w:val="00E741E6"/>
    <w:rPr>
      <w:rFonts w:ascii="Arial" w:hAnsi="Arial"/>
      <w:i/>
      <w:iCs/>
      <w:color w:val="000000" w:themeColor="text1"/>
      <w:szCs w:val="24"/>
    </w:rPr>
  </w:style>
  <w:style w:type="paragraph" w:customStyle="1" w:styleId="Table">
    <w:name w:val="Table"/>
    <w:basedOn w:val="Normal"/>
    <w:next w:val="BodyText"/>
    <w:uiPriority w:val="11"/>
    <w:qFormat/>
    <w:rsid w:val="00A43447"/>
    <w:pPr>
      <w:keepNext/>
      <w:numPr>
        <w:ilvl w:val="6"/>
        <w:numId w:val="39"/>
      </w:numPr>
    </w:pPr>
    <w:rPr>
      <w:rFonts w:ascii="Calibri" w:hAnsi="Calibri"/>
      <w:b/>
      <w:color w:val="0067AC"/>
    </w:rPr>
  </w:style>
  <w:style w:type="paragraph" w:customStyle="1" w:styleId="TableText">
    <w:name w:val="TableText"/>
    <w:basedOn w:val="NormalLeftAligned"/>
    <w:uiPriority w:val="15"/>
    <w:qFormat/>
    <w:rsid w:val="00A86B74"/>
    <w:pPr>
      <w:spacing w:before="0" w:line="220" w:lineRule="atLeast"/>
    </w:pPr>
    <w:rPr>
      <w:sz w:val="18"/>
    </w:rPr>
  </w:style>
  <w:style w:type="paragraph" w:customStyle="1" w:styleId="TableTitle">
    <w:name w:val="TableTitle"/>
    <w:basedOn w:val="TableText"/>
    <w:uiPriority w:val="14"/>
    <w:qFormat/>
    <w:rsid w:val="00211076"/>
    <w:pPr>
      <w:spacing w:after="0"/>
    </w:pPr>
    <w:rPr>
      <w:rFonts w:ascii="Calibri" w:hAnsi="Calibri"/>
      <w:b/>
      <w:color w:val="0067AC"/>
    </w:rPr>
  </w:style>
  <w:style w:type="character" w:customStyle="1" w:styleId="Heading4Char">
    <w:name w:val="Heading 4 Char"/>
    <w:basedOn w:val="DefaultParagraphFont"/>
    <w:link w:val="Heading4"/>
    <w:rsid w:val="00A43447"/>
    <w:rPr>
      <w:rFonts w:ascii="Calibri" w:eastAsiaTheme="majorEastAsia" w:hAnsi="Calibri" w:cstheme="majorBidi"/>
      <w:b/>
      <w:bCs/>
      <w:i/>
      <w:iCs/>
      <w:color w:val="0067AC"/>
      <w:sz w:val="22"/>
      <w:szCs w:val="24"/>
    </w:rPr>
  </w:style>
  <w:style w:type="paragraph" w:customStyle="1" w:styleId="KeyMessage">
    <w:name w:val="KeyMessage"/>
    <w:basedOn w:val="BodyText"/>
    <w:uiPriority w:val="29"/>
    <w:semiHidden/>
    <w:qFormat/>
    <w:rsid w:val="00B94CCE"/>
    <w:pPr>
      <w:pBdr>
        <w:top w:val="single" w:sz="4" w:space="4" w:color="77C8FF" w:themeColor="text2" w:themeTint="66"/>
        <w:left w:val="single" w:sz="4" w:space="4" w:color="77C8FF" w:themeColor="text2" w:themeTint="66"/>
        <w:bottom w:val="single" w:sz="4" w:space="4" w:color="77C8FF" w:themeColor="text2" w:themeTint="66"/>
        <w:right w:val="single" w:sz="4" w:space="4" w:color="77C8FF" w:themeColor="text2" w:themeTint="66"/>
      </w:pBdr>
      <w:shd w:val="clear" w:color="auto" w:fill="77C8FF" w:themeFill="text2" w:themeFillTint="66"/>
      <w:ind w:left="964" w:right="113"/>
    </w:pPr>
  </w:style>
  <w:style w:type="paragraph" w:customStyle="1" w:styleId="TableNumbList">
    <w:name w:val="TableNumbList"/>
    <w:basedOn w:val="TableText"/>
    <w:uiPriority w:val="17"/>
    <w:qFormat/>
    <w:rsid w:val="00CF6BC1"/>
    <w:pPr>
      <w:numPr>
        <w:numId w:val="9"/>
      </w:numPr>
      <w:spacing w:after="0"/>
    </w:pPr>
  </w:style>
  <w:style w:type="paragraph" w:customStyle="1" w:styleId="TableTextNoSpace">
    <w:name w:val="TableTextNoSpace"/>
    <w:basedOn w:val="TableText"/>
    <w:uiPriority w:val="15"/>
    <w:qFormat/>
    <w:rsid w:val="00891503"/>
    <w:pPr>
      <w:spacing w:after="0"/>
    </w:pPr>
  </w:style>
  <w:style w:type="paragraph" w:customStyle="1" w:styleId="BTBullet2">
    <w:name w:val="BTBullet2"/>
    <w:basedOn w:val="Normal"/>
    <w:uiPriority w:val="6"/>
    <w:qFormat/>
    <w:rsid w:val="0094009F"/>
    <w:pPr>
      <w:numPr>
        <w:ilvl w:val="1"/>
        <w:numId w:val="43"/>
      </w:numPr>
      <w:spacing w:before="0" w:after="0"/>
    </w:pPr>
  </w:style>
  <w:style w:type="paragraph" w:customStyle="1" w:styleId="NumbList">
    <w:name w:val="NumbList"/>
    <w:basedOn w:val="Normal"/>
    <w:link w:val="NumbListChar"/>
    <w:uiPriority w:val="9"/>
    <w:qFormat/>
    <w:rsid w:val="00541215"/>
    <w:pPr>
      <w:numPr>
        <w:numId w:val="11"/>
      </w:numPr>
      <w:spacing w:before="0" w:after="0"/>
    </w:pPr>
  </w:style>
  <w:style w:type="paragraph" w:customStyle="1" w:styleId="FooterLand">
    <w:name w:val="FooterLand"/>
    <w:basedOn w:val="Footer"/>
    <w:uiPriority w:val="29"/>
    <w:semiHidden/>
    <w:qFormat/>
    <w:rsid w:val="007C5C91"/>
    <w:pPr>
      <w:tabs>
        <w:tab w:val="clear" w:pos="9072"/>
        <w:tab w:val="right" w:pos="14005"/>
      </w:tabs>
    </w:pPr>
  </w:style>
  <w:style w:type="paragraph" w:customStyle="1" w:styleId="TableHeading">
    <w:name w:val="TableHeading"/>
    <w:basedOn w:val="Normal"/>
    <w:next w:val="TableText"/>
    <w:uiPriority w:val="15"/>
    <w:qFormat/>
    <w:rsid w:val="003D2272"/>
    <w:rPr>
      <w:rFonts w:ascii="Calibri" w:hAnsi="Calibri"/>
      <w:color w:val="0067AC"/>
    </w:rPr>
  </w:style>
  <w:style w:type="paragraph" w:styleId="FootnoteText">
    <w:name w:val="footnote text"/>
    <w:basedOn w:val="Normal"/>
    <w:link w:val="FootnoteTextChar"/>
    <w:uiPriority w:val="19"/>
    <w:rsid w:val="00DD05B7"/>
    <w:pPr>
      <w:spacing w:before="0" w:after="60" w:line="240" w:lineRule="auto"/>
    </w:pPr>
    <w:rPr>
      <w:sz w:val="18"/>
      <w:szCs w:val="20"/>
    </w:rPr>
  </w:style>
  <w:style w:type="character" w:customStyle="1" w:styleId="FootnoteTextChar">
    <w:name w:val="Footnote Text Char"/>
    <w:basedOn w:val="DefaultParagraphFont"/>
    <w:link w:val="FootnoteText"/>
    <w:uiPriority w:val="19"/>
    <w:rsid w:val="00AA63C9"/>
    <w:rPr>
      <w:rFonts w:ascii="Arial" w:hAnsi="Arial"/>
      <w:sz w:val="18"/>
    </w:rPr>
  </w:style>
  <w:style w:type="character" w:styleId="FootnoteReference">
    <w:name w:val="footnote reference"/>
    <w:basedOn w:val="DefaultParagraphFont"/>
    <w:uiPriority w:val="19"/>
    <w:rsid w:val="00DD05B7"/>
    <w:rPr>
      <w:vertAlign w:val="superscript"/>
    </w:rPr>
  </w:style>
  <w:style w:type="paragraph" w:customStyle="1" w:styleId="CaseStudy">
    <w:name w:val="CaseStudy"/>
    <w:basedOn w:val="BodyText"/>
    <w:next w:val="TableText"/>
    <w:uiPriority w:val="12"/>
    <w:qFormat/>
    <w:rsid w:val="001C24D0"/>
    <w:pPr>
      <w:numPr>
        <w:numId w:val="26"/>
      </w:numPr>
      <w:tabs>
        <w:tab w:val="left" w:pos="1814"/>
      </w:tabs>
    </w:pPr>
    <w:rPr>
      <w:rFonts w:ascii="Calibri" w:hAnsi="Calibri"/>
      <w:b/>
      <w:color w:val="0067AC"/>
      <w:sz w:val="28"/>
    </w:rPr>
  </w:style>
  <w:style w:type="paragraph" w:customStyle="1" w:styleId="TableLeft">
    <w:name w:val="TableLeft"/>
    <w:basedOn w:val="Table"/>
    <w:uiPriority w:val="29"/>
    <w:semiHidden/>
    <w:qFormat/>
    <w:rsid w:val="002248F3"/>
    <w:pPr>
      <w:ind w:left="1077"/>
    </w:pPr>
  </w:style>
  <w:style w:type="paragraph" w:customStyle="1" w:styleId="Heading1NoTOC">
    <w:name w:val="Heading 1NoTOC"/>
    <w:basedOn w:val="Heading1"/>
    <w:next w:val="Normal"/>
    <w:uiPriority w:val="23"/>
    <w:qFormat/>
    <w:rsid w:val="004B7371"/>
    <w:pPr>
      <w:numPr>
        <w:numId w:val="0"/>
      </w:numPr>
    </w:pPr>
  </w:style>
  <w:style w:type="paragraph" w:styleId="TOC2">
    <w:name w:val="toc 2"/>
    <w:basedOn w:val="NormalLeftAligned"/>
    <w:next w:val="Normal"/>
    <w:autoRedefine/>
    <w:uiPriority w:val="39"/>
    <w:rsid w:val="00BE4B9C"/>
    <w:pPr>
      <w:tabs>
        <w:tab w:val="right" w:leader="dot" w:pos="9061"/>
      </w:tabs>
      <w:spacing w:after="0"/>
      <w:ind w:right="284"/>
    </w:pPr>
    <w:rPr>
      <w:rFonts w:ascii="Calibri" w:hAnsi="Calibri"/>
      <w:b/>
      <w:color w:val="0067AC"/>
      <w:sz w:val="24"/>
    </w:rPr>
  </w:style>
  <w:style w:type="paragraph" w:styleId="TOC1">
    <w:name w:val="toc 1"/>
    <w:basedOn w:val="NormalLeftAligned"/>
    <w:next w:val="Normal"/>
    <w:autoRedefine/>
    <w:uiPriority w:val="39"/>
    <w:rsid w:val="00BE4B9C"/>
    <w:pPr>
      <w:tabs>
        <w:tab w:val="left" w:pos="851"/>
        <w:tab w:val="right" w:leader="dot" w:pos="9072"/>
      </w:tabs>
      <w:spacing w:after="0"/>
      <w:ind w:left="851" w:right="284" w:hanging="851"/>
    </w:pPr>
    <w:rPr>
      <w:rFonts w:ascii="Calibri" w:hAnsi="Calibri"/>
      <w:b/>
      <w:color w:val="0067AC"/>
      <w:sz w:val="24"/>
    </w:rPr>
  </w:style>
  <w:style w:type="paragraph" w:styleId="TOC3">
    <w:name w:val="toc 3"/>
    <w:basedOn w:val="NormalLeftAligned"/>
    <w:next w:val="Normal"/>
    <w:autoRedefine/>
    <w:uiPriority w:val="39"/>
    <w:rsid w:val="0044073E"/>
    <w:pPr>
      <w:tabs>
        <w:tab w:val="left" w:pos="1100"/>
        <w:tab w:val="right" w:leader="dot" w:pos="9061"/>
      </w:tabs>
      <w:spacing w:before="0" w:after="0"/>
      <w:ind w:left="851" w:right="284" w:hanging="851"/>
    </w:pPr>
  </w:style>
  <w:style w:type="character" w:styleId="Hyperlink">
    <w:name w:val="Hyperlink"/>
    <w:basedOn w:val="DefaultParagraphFont"/>
    <w:uiPriority w:val="99"/>
    <w:unhideWhenUsed/>
    <w:rsid w:val="00ED0340"/>
    <w:rPr>
      <w:color w:val="0000FF" w:themeColor="hyperlink"/>
      <w:u w:val="single"/>
    </w:rPr>
  </w:style>
  <w:style w:type="paragraph" w:styleId="TOC4">
    <w:name w:val="toc 4"/>
    <w:basedOn w:val="NormalLeftAligned"/>
    <w:next w:val="Normal"/>
    <w:autoRedefine/>
    <w:uiPriority w:val="39"/>
    <w:rsid w:val="0044073E"/>
    <w:pPr>
      <w:tabs>
        <w:tab w:val="left" w:pos="1531"/>
        <w:tab w:val="right" w:leader="dot" w:pos="9061"/>
      </w:tabs>
      <w:spacing w:before="0" w:after="0"/>
      <w:ind w:left="1531" w:hanging="680"/>
    </w:pPr>
  </w:style>
  <w:style w:type="paragraph" w:customStyle="1" w:styleId="DocTitle">
    <w:name w:val="DocTitle"/>
    <w:basedOn w:val="NormalLeftAligned"/>
    <w:uiPriority w:val="21"/>
    <w:qFormat/>
    <w:rsid w:val="002248F3"/>
    <w:pPr>
      <w:spacing w:before="600"/>
    </w:pPr>
    <w:rPr>
      <w:rFonts w:ascii="Calibri" w:hAnsi="Calibri"/>
      <w:b/>
      <w:color w:val="0067AC"/>
      <w:sz w:val="48"/>
    </w:rPr>
  </w:style>
  <w:style w:type="paragraph" w:customStyle="1" w:styleId="DocSubTitle">
    <w:name w:val="DocSubTitle"/>
    <w:basedOn w:val="NormalLeftAligned"/>
    <w:uiPriority w:val="21"/>
    <w:qFormat/>
    <w:rsid w:val="002248F3"/>
    <w:rPr>
      <w:rFonts w:ascii="Calibri" w:hAnsi="Calibri"/>
      <w:b/>
      <w:color w:val="0067AC"/>
      <w:sz w:val="28"/>
    </w:rPr>
  </w:style>
  <w:style w:type="paragraph" w:customStyle="1" w:styleId="DocPartner">
    <w:name w:val="DocPartner"/>
    <w:basedOn w:val="NormalLeftAligned"/>
    <w:uiPriority w:val="21"/>
    <w:qFormat/>
    <w:rsid w:val="0074120F"/>
    <w:rPr>
      <w:rFonts w:ascii="Calibri" w:hAnsi="Calibri"/>
      <w:color w:val="0067AC"/>
      <w:sz w:val="24"/>
    </w:rPr>
  </w:style>
  <w:style w:type="paragraph" w:customStyle="1" w:styleId="NormalNoSpace">
    <w:name w:val="NormalNoSpace"/>
    <w:basedOn w:val="Normal"/>
    <w:uiPriority w:val="6"/>
    <w:qFormat/>
    <w:rsid w:val="00760383"/>
    <w:pPr>
      <w:spacing w:before="0" w:after="0"/>
    </w:pPr>
  </w:style>
  <w:style w:type="paragraph" w:customStyle="1" w:styleId="Divider">
    <w:name w:val="Divider"/>
    <w:basedOn w:val="NormalLeftAligned"/>
    <w:next w:val="Normal"/>
    <w:uiPriority w:val="29"/>
    <w:semiHidden/>
    <w:qFormat/>
    <w:rsid w:val="002248F3"/>
    <w:pPr>
      <w:pageBreakBefore/>
      <w:spacing w:line="240" w:lineRule="auto"/>
    </w:pPr>
    <w:rPr>
      <w:rFonts w:ascii="Calibri" w:hAnsi="Calibri"/>
      <w:b/>
      <w:color w:val="0067AC"/>
      <w:sz w:val="72"/>
    </w:rPr>
  </w:style>
  <w:style w:type="paragraph" w:customStyle="1" w:styleId="Evidence">
    <w:name w:val="Evidence"/>
    <w:basedOn w:val="TableText"/>
    <w:next w:val="Normal"/>
    <w:uiPriority w:val="12"/>
    <w:qFormat/>
    <w:rsid w:val="001C24D0"/>
    <w:pPr>
      <w:numPr>
        <w:ilvl w:val="1"/>
        <w:numId w:val="26"/>
      </w:numPr>
      <w:spacing w:before="120"/>
    </w:pPr>
    <w:rPr>
      <w:rFonts w:ascii="Calibri" w:hAnsi="Calibri"/>
      <w:b/>
      <w:color w:val="0067AC"/>
      <w:sz w:val="28"/>
    </w:rPr>
  </w:style>
  <w:style w:type="paragraph" w:customStyle="1" w:styleId="GHKContacts">
    <w:name w:val="GHKContacts"/>
    <w:basedOn w:val="NormalLeftAligned"/>
    <w:uiPriority w:val="29"/>
    <w:qFormat/>
    <w:rsid w:val="005E5044"/>
    <w:pPr>
      <w:spacing w:before="0" w:after="60" w:line="180" w:lineRule="atLeast"/>
    </w:pPr>
    <w:rPr>
      <w:sz w:val="16"/>
    </w:rPr>
  </w:style>
  <w:style w:type="paragraph" w:customStyle="1" w:styleId="GHKContactsHeading">
    <w:name w:val="GHKContactsHeading"/>
    <w:basedOn w:val="GHKContacts"/>
    <w:uiPriority w:val="29"/>
    <w:qFormat/>
    <w:rsid w:val="00211076"/>
    <w:pPr>
      <w:spacing w:before="60" w:after="0"/>
    </w:pPr>
    <w:rPr>
      <w:rFonts w:ascii="Calibri" w:hAnsi="Calibri"/>
      <w:color w:val="0067AC"/>
    </w:rPr>
  </w:style>
  <w:style w:type="paragraph" w:customStyle="1" w:styleId="HeaderTitle">
    <w:name w:val="HeaderTitle"/>
    <w:basedOn w:val="Header"/>
    <w:uiPriority w:val="29"/>
    <w:semiHidden/>
    <w:qFormat/>
    <w:rsid w:val="00B67E25"/>
    <w:pPr>
      <w:spacing w:before="80"/>
    </w:pPr>
  </w:style>
  <w:style w:type="paragraph" w:customStyle="1" w:styleId="DocDate">
    <w:name w:val="DocDate"/>
    <w:basedOn w:val="DocSubTitle"/>
    <w:uiPriority w:val="21"/>
    <w:qFormat/>
    <w:rsid w:val="00FF79A5"/>
    <w:rPr>
      <w:color w:val="000000" w:themeColor="text1"/>
    </w:rPr>
  </w:style>
  <w:style w:type="paragraph" w:customStyle="1" w:styleId="Heading3NoNumb">
    <w:name w:val="Heading 3NoNumb"/>
    <w:basedOn w:val="Heading3"/>
    <w:next w:val="Normal"/>
    <w:uiPriority w:val="5"/>
    <w:qFormat/>
    <w:rsid w:val="002248F3"/>
    <w:pPr>
      <w:numPr>
        <w:ilvl w:val="0"/>
        <w:numId w:val="0"/>
      </w:numPr>
    </w:pPr>
  </w:style>
  <w:style w:type="paragraph" w:customStyle="1" w:styleId="Heading4NoNumb">
    <w:name w:val="Heading 4NoNumb"/>
    <w:basedOn w:val="Heading4"/>
    <w:next w:val="Normal"/>
    <w:uiPriority w:val="5"/>
    <w:qFormat/>
    <w:rsid w:val="002248F3"/>
    <w:pPr>
      <w:numPr>
        <w:ilvl w:val="0"/>
        <w:numId w:val="0"/>
      </w:numPr>
    </w:pPr>
  </w:style>
  <w:style w:type="paragraph" w:styleId="TOC5">
    <w:name w:val="toc 5"/>
    <w:basedOn w:val="NormalLeftAligned"/>
    <w:next w:val="Normal"/>
    <w:autoRedefine/>
    <w:uiPriority w:val="39"/>
    <w:rsid w:val="00F12D35"/>
    <w:pPr>
      <w:spacing w:before="0" w:after="0"/>
    </w:pPr>
  </w:style>
  <w:style w:type="paragraph" w:styleId="TOC6">
    <w:name w:val="toc 6"/>
    <w:basedOn w:val="NormalLeftAligned"/>
    <w:next w:val="Normal"/>
    <w:autoRedefine/>
    <w:uiPriority w:val="39"/>
    <w:rsid w:val="00497505"/>
    <w:pPr>
      <w:spacing w:before="0" w:after="0"/>
      <w:ind w:left="680"/>
    </w:pPr>
  </w:style>
  <w:style w:type="numbering" w:customStyle="1" w:styleId="Style1">
    <w:name w:val="Style1"/>
    <w:uiPriority w:val="99"/>
    <w:rsid w:val="004B7371"/>
    <w:pPr>
      <w:numPr>
        <w:numId w:val="5"/>
      </w:numPr>
    </w:pPr>
  </w:style>
  <w:style w:type="paragraph" w:customStyle="1" w:styleId="BodyTextNoSpace">
    <w:name w:val="Body TextNoSpace"/>
    <w:basedOn w:val="BodyText"/>
    <w:uiPriority w:val="1"/>
    <w:qFormat/>
    <w:rsid w:val="009F75F8"/>
    <w:pPr>
      <w:spacing w:before="0" w:after="0"/>
    </w:pPr>
  </w:style>
  <w:style w:type="paragraph" w:customStyle="1" w:styleId="BTBullet3">
    <w:name w:val="BTBullet3"/>
    <w:basedOn w:val="Normal"/>
    <w:uiPriority w:val="6"/>
    <w:qFormat/>
    <w:rsid w:val="0094009F"/>
    <w:pPr>
      <w:numPr>
        <w:ilvl w:val="2"/>
        <w:numId w:val="43"/>
      </w:numPr>
      <w:spacing w:before="0" w:after="0"/>
    </w:pPr>
  </w:style>
  <w:style w:type="paragraph" w:customStyle="1" w:styleId="NumbListLast">
    <w:name w:val="NumbListLast"/>
    <w:basedOn w:val="NumbList"/>
    <w:uiPriority w:val="9"/>
    <w:qFormat/>
    <w:rsid w:val="00D238C4"/>
    <w:pPr>
      <w:spacing w:after="120"/>
    </w:pPr>
  </w:style>
  <w:style w:type="paragraph" w:customStyle="1" w:styleId="BoxText">
    <w:name w:val="BoxText"/>
    <w:basedOn w:val="NormalLeftAligned"/>
    <w:uiPriority w:val="29"/>
    <w:semiHidden/>
    <w:qFormat/>
    <w:rsid w:val="00381826"/>
    <w:pPr>
      <w:spacing w:before="60" w:after="60" w:line="220" w:lineRule="atLeast"/>
    </w:pPr>
    <w:rPr>
      <w:sz w:val="18"/>
    </w:rPr>
  </w:style>
  <w:style w:type="character" w:styleId="PlaceholderText">
    <w:name w:val="Placeholder Text"/>
    <w:basedOn w:val="DefaultParagraphFont"/>
    <w:uiPriority w:val="99"/>
    <w:semiHidden/>
    <w:rsid w:val="00381826"/>
    <w:rPr>
      <w:color w:val="808080"/>
    </w:rPr>
  </w:style>
  <w:style w:type="paragraph" w:customStyle="1" w:styleId="TableNumbListLast">
    <w:name w:val="TableNumbListLast"/>
    <w:basedOn w:val="TableNumbList"/>
    <w:uiPriority w:val="17"/>
    <w:qFormat/>
    <w:rsid w:val="00256BC8"/>
    <w:pPr>
      <w:spacing w:after="120"/>
    </w:pPr>
  </w:style>
  <w:style w:type="paragraph" w:customStyle="1" w:styleId="BoxTitle">
    <w:name w:val="BoxTitle"/>
    <w:basedOn w:val="NormalLeftAligned"/>
    <w:uiPriority w:val="13"/>
    <w:qFormat/>
    <w:rsid w:val="002248F3"/>
    <w:pPr>
      <w:spacing w:line="320" w:lineRule="atLeast"/>
    </w:pPr>
    <w:rPr>
      <w:rFonts w:ascii="Calibri" w:hAnsi="Calibri"/>
      <w:b/>
      <w:color w:val="0067AC"/>
      <w:sz w:val="28"/>
    </w:rPr>
  </w:style>
  <w:style w:type="paragraph" w:customStyle="1" w:styleId="BTNumbList">
    <w:name w:val="BTNumbList"/>
    <w:basedOn w:val="Normal"/>
    <w:link w:val="BTNumbListChar"/>
    <w:uiPriority w:val="4"/>
    <w:qFormat/>
    <w:rsid w:val="00192D1A"/>
    <w:pPr>
      <w:numPr>
        <w:numId w:val="19"/>
      </w:numPr>
      <w:spacing w:before="0" w:after="0"/>
    </w:pPr>
  </w:style>
  <w:style w:type="paragraph" w:customStyle="1" w:styleId="BTNumbListLast">
    <w:name w:val="BTNumbListLast"/>
    <w:basedOn w:val="BTNumbList"/>
    <w:uiPriority w:val="6"/>
    <w:qFormat/>
    <w:rsid w:val="00D46741"/>
    <w:pPr>
      <w:spacing w:after="120"/>
    </w:pPr>
  </w:style>
  <w:style w:type="character" w:customStyle="1" w:styleId="NumbListChar">
    <w:name w:val="NumbList Char"/>
    <w:basedOn w:val="DefaultParagraphFont"/>
    <w:link w:val="NumbList"/>
    <w:uiPriority w:val="9"/>
    <w:rsid w:val="00541215"/>
    <w:rPr>
      <w:rFonts w:ascii="Arial" w:hAnsi="Arial"/>
      <w:szCs w:val="24"/>
    </w:rPr>
  </w:style>
  <w:style w:type="character" w:customStyle="1" w:styleId="BTNumbListChar">
    <w:name w:val="BTNumbList Char"/>
    <w:basedOn w:val="NumbListChar"/>
    <w:link w:val="BTNumbList"/>
    <w:uiPriority w:val="4"/>
    <w:rsid w:val="00192D1A"/>
    <w:rPr>
      <w:rFonts w:ascii="Arial" w:hAnsi="Arial"/>
      <w:szCs w:val="24"/>
    </w:rPr>
  </w:style>
  <w:style w:type="paragraph" w:customStyle="1" w:styleId="BTNumbList2Last">
    <w:name w:val="BTNumbList2Last"/>
    <w:basedOn w:val="BTNumbList2"/>
    <w:uiPriority w:val="6"/>
    <w:qFormat/>
    <w:rsid w:val="00D46741"/>
    <w:pPr>
      <w:spacing w:after="120"/>
    </w:pPr>
  </w:style>
  <w:style w:type="paragraph" w:customStyle="1" w:styleId="NormalIndent">
    <w:name w:val="NormalIndent"/>
    <w:basedOn w:val="Normal"/>
    <w:uiPriority w:val="6"/>
    <w:qFormat/>
    <w:rsid w:val="00F23AA1"/>
    <w:pPr>
      <w:ind w:left="340"/>
    </w:pPr>
  </w:style>
  <w:style w:type="paragraph" w:customStyle="1" w:styleId="BodyTextIndent">
    <w:name w:val="Body TextIndent"/>
    <w:basedOn w:val="BodyText"/>
    <w:uiPriority w:val="6"/>
    <w:qFormat/>
    <w:rsid w:val="00F23AA1"/>
    <w:pPr>
      <w:ind w:left="1191"/>
    </w:pPr>
  </w:style>
  <w:style w:type="paragraph" w:styleId="ListBullet">
    <w:name w:val="List Bullet"/>
    <w:basedOn w:val="Normal"/>
    <w:uiPriority w:val="29"/>
    <w:semiHidden/>
    <w:rsid w:val="00EB37D7"/>
    <w:pPr>
      <w:numPr>
        <w:numId w:val="1"/>
      </w:numPr>
      <w:contextualSpacing/>
    </w:pPr>
  </w:style>
  <w:style w:type="paragraph" w:styleId="ListBullet2">
    <w:name w:val="List Bullet 2"/>
    <w:basedOn w:val="Normal"/>
    <w:uiPriority w:val="29"/>
    <w:semiHidden/>
    <w:rsid w:val="00EB37D7"/>
    <w:pPr>
      <w:numPr>
        <w:numId w:val="2"/>
      </w:numPr>
      <w:contextualSpacing/>
    </w:pPr>
  </w:style>
  <w:style w:type="paragraph" w:styleId="ListBullet3">
    <w:name w:val="List Bullet 3"/>
    <w:basedOn w:val="Normal"/>
    <w:uiPriority w:val="29"/>
    <w:semiHidden/>
    <w:rsid w:val="00EB37D7"/>
    <w:pPr>
      <w:numPr>
        <w:numId w:val="3"/>
      </w:numPr>
      <w:contextualSpacing/>
    </w:pPr>
  </w:style>
  <w:style w:type="paragraph" w:styleId="ListBullet4">
    <w:name w:val="List Bullet 4"/>
    <w:basedOn w:val="Normal"/>
    <w:uiPriority w:val="29"/>
    <w:semiHidden/>
    <w:rsid w:val="00EB37D7"/>
    <w:pPr>
      <w:numPr>
        <w:numId w:val="4"/>
      </w:numPr>
      <w:contextualSpacing/>
    </w:pPr>
  </w:style>
  <w:style w:type="paragraph" w:customStyle="1" w:styleId="BTBullet1Last">
    <w:name w:val="BTBullet1Last"/>
    <w:basedOn w:val="BTBullet1"/>
    <w:uiPriority w:val="6"/>
    <w:qFormat/>
    <w:rsid w:val="009A75D7"/>
    <w:pPr>
      <w:spacing w:after="120"/>
    </w:pPr>
  </w:style>
  <w:style w:type="paragraph" w:customStyle="1" w:styleId="BTBullet2Last">
    <w:name w:val="BTBullet2Last"/>
    <w:basedOn w:val="BTBullet2"/>
    <w:uiPriority w:val="6"/>
    <w:qFormat/>
    <w:rsid w:val="009A75D7"/>
    <w:pPr>
      <w:spacing w:after="120"/>
    </w:pPr>
  </w:style>
  <w:style w:type="paragraph" w:customStyle="1" w:styleId="Stage">
    <w:name w:val="Stage"/>
    <w:basedOn w:val="BodyText"/>
    <w:next w:val="BodyText"/>
    <w:uiPriority w:val="6"/>
    <w:qFormat/>
    <w:rsid w:val="00EF551D"/>
    <w:pPr>
      <w:numPr>
        <w:numId w:val="25"/>
      </w:numPr>
    </w:pPr>
    <w:rPr>
      <w:rFonts w:ascii="Calibri" w:hAnsi="Calibri"/>
      <w:color w:val="0067AC"/>
      <w:sz w:val="24"/>
    </w:rPr>
  </w:style>
  <w:style w:type="paragraph" w:customStyle="1" w:styleId="Task">
    <w:name w:val="Task"/>
    <w:basedOn w:val="BodyText"/>
    <w:next w:val="BodyText"/>
    <w:uiPriority w:val="6"/>
    <w:qFormat/>
    <w:rsid w:val="00EF551D"/>
    <w:pPr>
      <w:numPr>
        <w:ilvl w:val="1"/>
        <w:numId w:val="25"/>
      </w:numPr>
    </w:pPr>
    <w:rPr>
      <w:rFonts w:ascii="Calibri" w:hAnsi="Calibri"/>
      <w:color w:val="0067AC"/>
    </w:rPr>
  </w:style>
  <w:style w:type="paragraph" w:styleId="TOC7">
    <w:name w:val="toc 7"/>
    <w:basedOn w:val="NormalLeftAligned"/>
    <w:next w:val="Normal"/>
    <w:autoRedefine/>
    <w:uiPriority w:val="39"/>
    <w:rsid w:val="0044073E"/>
    <w:pPr>
      <w:tabs>
        <w:tab w:val="right" w:leader="dot" w:pos="9061"/>
      </w:tabs>
      <w:spacing w:before="0" w:after="0"/>
      <w:ind w:left="851" w:hanging="851"/>
    </w:pPr>
  </w:style>
  <w:style w:type="paragraph" w:customStyle="1" w:styleId="Recommendation">
    <w:name w:val="Recommendation"/>
    <w:basedOn w:val="BoxTitle"/>
    <w:next w:val="TableText"/>
    <w:uiPriority w:val="6"/>
    <w:qFormat/>
    <w:rsid w:val="001C24D0"/>
    <w:pPr>
      <w:numPr>
        <w:ilvl w:val="3"/>
        <w:numId w:val="26"/>
      </w:numPr>
    </w:pPr>
  </w:style>
  <w:style w:type="paragraph" w:customStyle="1" w:styleId="Conclusion">
    <w:name w:val="Conclusion"/>
    <w:basedOn w:val="BoxTitle"/>
    <w:next w:val="TableText"/>
    <w:uiPriority w:val="6"/>
    <w:qFormat/>
    <w:rsid w:val="001C24D0"/>
    <w:pPr>
      <w:numPr>
        <w:ilvl w:val="2"/>
        <w:numId w:val="26"/>
      </w:numPr>
    </w:pPr>
  </w:style>
  <w:style w:type="paragraph" w:customStyle="1" w:styleId="Heading1noPg">
    <w:name w:val="Heading 1noPg"/>
    <w:basedOn w:val="Heading1"/>
    <w:uiPriority w:val="6"/>
    <w:qFormat/>
    <w:rsid w:val="008016B1"/>
    <w:pPr>
      <w:pageBreakBefore w:val="0"/>
      <w:spacing w:before="360"/>
    </w:pPr>
  </w:style>
  <w:style w:type="paragraph" w:customStyle="1" w:styleId="NumbList2">
    <w:name w:val="NumbList2"/>
    <w:basedOn w:val="Normal"/>
    <w:uiPriority w:val="6"/>
    <w:qFormat/>
    <w:rsid w:val="00541215"/>
    <w:pPr>
      <w:numPr>
        <w:ilvl w:val="1"/>
        <w:numId w:val="11"/>
      </w:numPr>
      <w:spacing w:before="0" w:after="0"/>
    </w:pPr>
  </w:style>
  <w:style w:type="paragraph" w:customStyle="1" w:styleId="NumbList2Last">
    <w:name w:val="NumbList2Last"/>
    <w:basedOn w:val="NumbList2"/>
    <w:uiPriority w:val="6"/>
    <w:qFormat/>
    <w:rsid w:val="00F60499"/>
    <w:pPr>
      <w:spacing w:after="120"/>
    </w:pPr>
  </w:style>
  <w:style w:type="paragraph" w:customStyle="1" w:styleId="BTNumbList2">
    <w:name w:val="BTNumbList2"/>
    <w:basedOn w:val="Normal"/>
    <w:uiPriority w:val="6"/>
    <w:qFormat/>
    <w:rsid w:val="00192D1A"/>
    <w:pPr>
      <w:numPr>
        <w:ilvl w:val="1"/>
        <w:numId w:val="19"/>
      </w:numPr>
      <w:spacing w:before="0" w:after="0"/>
    </w:pPr>
  </w:style>
  <w:style w:type="paragraph" w:customStyle="1" w:styleId="NormalIndent2">
    <w:name w:val="NormalIndent2"/>
    <w:basedOn w:val="Normal"/>
    <w:uiPriority w:val="6"/>
    <w:qFormat/>
    <w:rsid w:val="00C97199"/>
    <w:pPr>
      <w:ind w:left="680"/>
    </w:pPr>
  </w:style>
  <w:style w:type="paragraph" w:customStyle="1" w:styleId="BodyTextIndent2">
    <w:name w:val="Body TextIndent2"/>
    <w:basedOn w:val="BodyTextIndent"/>
    <w:uiPriority w:val="6"/>
    <w:qFormat/>
    <w:rsid w:val="00656054"/>
    <w:pPr>
      <w:ind w:left="1531"/>
    </w:pPr>
  </w:style>
  <w:style w:type="paragraph" w:customStyle="1" w:styleId="TableSource">
    <w:name w:val="TableSource"/>
    <w:basedOn w:val="BodyText"/>
    <w:uiPriority w:val="6"/>
    <w:qFormat/>
    <w:rsid w:val="001E4ED8"/>
    <w:pPr>
      <w:spacing w:line="200" w:lineRule="atLeast"/>
    </w:pPr>
    <w:rPr>
      <w:i/>
      <w:sz w:val="18"/>
    </w:rPr>
  </w:style>
  <w:style w:type="paragraph" w:customStyle="1" w:styleId="NormalLeftAligned">
    <w:name w:val="NormalLeftAligned"/>
    <w:basedOn w:val="Normal"/>
    <w:uiPriority w:val="6"/>
    <w:qFormat/>
    <w:rsid w:val="00495771"/>
  </w:style>
  <w:style w:type="paragraph" w:styleId="TOC8">
    <w:name w:val="toc 8"/>
    <w:basedOn w:val="NormalLeftAligned"/>
    <w:next w:val="Normal"/>
    <w:autoRedefine/>
    <w:uiPriority w:val="39"/>
    <w:rsid w:val="00F148E6"/>
    <w:pPr>
      <w:spacing w:before="60" w:after="60"/>
      <w:ind w:left="1134" w:hanging="1134"/>
    </w:pPr>
    <w:rPr>
      <w:rFonts w:ascii="Georgia" w:hAnsi="Georgia"/>
    </w:rPr>
  </w:style>
  <w:style w:type="paragraph" w:styleId="TOC9">
    <w:name w:val="toc 9"/>
    <w:basedOn w:val="NormalLeftAligned"/>
    <w:next w:val="Normal"/>
    <w:autoRedefine/>
    <w:uiPriority w:val="29"/>
    <w:rsid w:val="00495771"/>
    <w:pPr>
      <w:spacing w:after="100"/>
      <w:ind w:left="1600"/>
    </w:pPr>
  </w:style>
  <w:style w:type="numbering" w:customStyle="1" w:styleId="NumbLstBoxes">
    <w:name w:val="NumbLstBoxes"/>
    <w:uiPriority w:val="99"/>
    <w:rsid w:val="001C24D0"/>
    <w:pPr>
      <w:numPr>
        <w:numId w:val="6"/>
      </w:numPr>
    </w:pPr>
  </w:style>
  <w:style w:type="paragraph" w:customStyle="1" w:styleId="Heading2NoNumbNoToc">
    <w:name w:val="Heading 2NoNumbNoToc"/>
    <w:basedOn w:val="Heading2NoNumb"/>
    <w:uiPriority w:val="6"/>
    <w:qFormat/>
    <w:rsid w:val="000142F4"/>
    <w:pPr>
      <w:spacing w:before="0"/>
    </w:pPr>
  </w:style>
  <w:style w:type="character" w:customStyle="1" w:styleId="Heading5Char">
    <w:name w:val="Heading 5 Char"/>
    <w:basedOn w:val="DefaultParagraphFont"/>
    <w:link w:val="Heading5"/>
    <w:uiPriority w:val="29"/>
    <w:rsid w:val="00A43447"/>
    <w:rPr>
      <w:rFonts w:ascii="Calibri" w:eastAsiaTheme="majorEastAsia" w:hAnsi="Calibri" w:cstheme="majorBidi"/>
      <w:b/>
      <w:i/>
      <w:color w:val="0067AC"/>
      <w:sz w:val="22"/>
      <w:szCs w:val="24"/>
    </w:rPr>
  </w:style>
  <w:style w:type="numbering" w:customStyle="1" w:styleId="NumbLstMain">
    <w:name w:val="NumbLstMain"/>
    <w:uiPriority w:val="99"/>
    <w:rsid w:val="00A43447"/>
    <w:pPr>
      <w:numPr>
        <w:numId w:val="7"/>
      </w:numPr>
    </w:pPr>
  </w:style>
  <w:style w:type="paragraph" w:customStyle="1" w:styleId="BoxNumb">
    <w:name w:val="BoxNumb"/>
    <w:basedOn w:val="BoxTitle"/>
    <w:next w:val="Normal"/>
    <w:uiPriority w:val="6"/>
    <w:qFormat/>
    <w:rsid w:val="001C24D0"/>
    <w:pPr>
      <w:numPr>
        <w:ilvl w:val="4"/>
        <w:numId w:val="26"/>
      </w:numPr>
    </w:pPr>
  </w:style>
  <w:style w:type="paragraph" w:customStyle="1" w:styleId="TaskManual">
    <w:name w:val="TaskManual"/>
    <w:basedOn w:val="Task"/>
    <w:uiPriority w:val="6"/>
    <w:qFormat/>
    <w:rsid w:val="00EF551D"/>
    <w:pPr>
      <w:numPr>
        <w:ilvl w:val="0"/>
        <w:numId w:val="0"/>
      </w:numPr>
      <w:ind w:left="1815" w:hanging="964"/>
    </w:pPr>
  </w:style>
  <w:style w:type="paragraph" w:customStyle="1" w:styleId="Box">
    <w:name w:val="Box"/>
    <w:basedOn w:val="Normal"/>
    <w:next w:val="BodyText"/>
    <w:uiPriority w:val="6"/>
    <w:qFormat/>
    <w:rsid w:val="00A43447"/>
    <w:pPr>
      <w:numPr>
        <w:ilvl w:val="7"/>
        <w:numId w:val="39"/>
      </w:numPr>
    </w:pPr>
    <w:rPr>
      <w:rFonts w:ascii="Calibri" w:hAnsi="Calibri"/>
      <w:b/>
      <w:color w:val="0067AC"/>
    </w:rPr>
  </w:style>
  <w:style w:type="character" w:customStyle="1" w:styleId="Heading6Char">
    <w:name w:val="Heading 6 Char"/>
    <w:basedOn w:val="DefaultParagraphFont"/>
    <w:link w:val="Heading6"/>
    <w:uiPriority w:val="29"/>
    <w:semiHidden/>
    <w:rsid w:val="002248F3"/>
    <w:rPr>
      <w:rFonts w:ascii="Calibri" w:eastAsiaTheme="majorEastAsia" w:hAnsi="Calibri" w:cstheme="majorBidi"/>
      <w:b/>
      <w:i/>
      <w:iCs/>
      <w:color w:val="0067AC"/>
      <w:szCs w:val="24"/>
    </w:rPr>
  </w:style>
  <w:style w:type="numbering" w:customStyle="1" w:styleId="NumbLstTableNumb">
    <w:name w:val="NumbLstTableNumb"/>
    <w:uiPriority w:val="99"/>
    <w:rsid w:val="00CF6BC1"/>
    <w:pPr>
      <w:numPr>
        <w:numId w:val="9"/>
      </w:numPr>
    </w:pPr>
  </w:style>
  <w:style w:type="numbering" w:customStyle="1" w:styleId="NumbLstNumb">
    <w:name w:val="NumbLstNumb"/>
    <w:uiPriority w:val="99"/>
    <w:rsid w:val="00541215"/>
    <w:pPr>
      <w:numPr>
        <w:numId w:val="10"/>
      </w:numPr>
    </w:pPr>
  </w:style>
  <w:style w:type="paragraph" w:customStyle="1" w:styleId="NumbList3">
    <w:name w:val="NumbList3"/>
    <w:basedOn w:val="Normal"/>
    <w:rsid w:val="00541215"/>
    <w:pPr>
      <w:numPr>
        <w:ilvl w:val="2"/>
        <w:numId w:val="11"/>
      </w:numPr>
      <w:spacing w:before="0" w:after="0"/>
    </w:pPr>
  </w:style>
  <w:style w:type="paragraph" w:customStyle="1" w:styleId="Bullet1">
    <w:name w:val="Bullet1"/>
    <w:basedOn w:val="Normal"/>
    <w:uiPriority w:val="6"/>
    <w:qFormat/>
    <w:rsid w:val="00666378"/>
    <w:pPr>
      <w:numPr>
        <w:numId w:val="33"/>
      </w:numPr>
      <w:spacing w:before="0" w:after="0"/>
    </w:pPr>
  </w:style>
  <w:style w:type="paragraph" w:customStyle="1" w:styleId="Bullet2">
    <w:name w:val="Bullet2"/>
    <w:basedOn w:val="Normal"/>
    <w:uiPriority w:val="6"/>
    <w:qFormat/>
    <w:rsid w:val="00666378"/>
    <w:pPr>
      <w:numPr>
        <w:ilvl w:val="1"/>
        <w:numId w:val="33"/>
      </w:numPr>
      <w:spacing w:before="0" w:after="0"/>
    </w:pPr>
  </w:style>
  <w:style w:type="paragraph" w:customStyle="1" w:styleId="Bullet3">
    <w:name w:val="Bullet3"/>
    <w:basedOn w:val="Normal"/>
    <w:uiPriority w:val="6"/>
    <w:qFormat/>
    <w:rsid w:val="00666378"/>
    <w:pPr>
      <w:numPr>
        <w:ilvl w:val="2"/>
        <w:numId w:val="33"/>
      </w:numPr>
      <w:spacing w:before="0" w:after="0"/>
    </w:pPr>
  </w:style>
  <w:style w:type="numbering" w:customStyle="1" w:styleId="NumbLstBullet">
    <w:name w:val="NumbLstBullet"/>
    <w:uiPriority w:val="99"/>
    <w:rsid w:val="00666378"/>
    <w:pPr>
      <w:numPr>
        <w:numId w:val="12"/>
      </w:numPr>
    </w:pPr>
  </w:style>
  <w:style w:type="paragraph" w:customStyle="1" w:styleId="Bullet1Last">
    <w:name w:val="Bullet1Last"/>
    <w:basedOn w:val="Bullet1"/>
    <w:uiPriority w:val="6"/>
    <w:qFormat/>
    <w:rsid w:val="00D41F7E"/>
    <w:pPr>
      <w:spacing w:after="120"/>
    </w:pPr>
  </w:style>
  <w:style w:type="paragraph" w:customStyle="1" w:styleId="Bullet2Last">
    <w:name w:val="Bullet2Last"/>
    <w:basedOn w:val="Bullet2"/>
    <w:uiPriority w:val="6"/>
    <w:qFormat/>
    <w:rsid w:val="00D41F7E"/>
    <w:pPr>
      <w:spacing w:after="120"/>
    </w:pPr>
  </w:style>
  <w:style w:type="paragraph" w:customStyle="1" w:styleId="Bullet3Last">
    <w:name w:val="Bullet3Last"/>
    <w:basedOn w:val="Bullet3"/>
    <w:uiPriority w:val="6"/>
    <w:qFormat/>
    <w:rsid w:val="00D41F7E"/>
    <w:pPr>
      <w:spacing w:after="120"/>
    </w:pPr>
  </w:style>
  <w:style w:type="paragraph" w:customStyle="1" w:styleId="BTBullet3Last">
    <w:name w:val="BTBullet3Last"/>
    <w:basedOn w:val="BTBullet3"/>
    <w:uiPriority w:val="6"/>
    <w:qFormat/>
    <w:rsid w:val="009A75D7"/>
    <w:pPr>
      <w:spacing w:after="120"/>
    </w:pPr>
  </w:style>
  <w:style w:type="paragraph" w:customStyle="1" w:styleId="TableBullet">
    <w:name w:val="TableBullet"/>
    <w:basedOn w:val="TableText"/>
    <w:uiPriority w:val="6"/>
    <w:qFormat/>
    <w:rsid w:val="00C06A4D"/>
    <w:pPr>
      <w:numPr>
        <w:numId w:val="22"/>
      </w:numPr>
      <w:spacing w:after="0"/>
    </w:pPr>
  </w:style>
  <w:style w:type="numbering" w:customStyle="1" w:styleId="NumbLstTableBullet">
    <w:name w:val="NumbLstTableBullet"/>
    <w:uiPriority w:val="99"/>
    <w:rsid w:val="004B7144"/>
    <w:pPr>
      <w:numPr>
        <w:numId w:val="15"/>
      </w:numPr>
    </w:pPr>
  </w:style>
  <w:style w:type="paragraph" w:customStyle="1" w:styleId="NumbList3Last">
    <w:name w:val="NumbList3Last"/>
    <w:basedOn w:val="NumbList3"/>
    <w:uiPriority w:val="6"/>
    <w:qFormat/>
    <w:rsid w:val="00192D1A"/>
    <w:pPr>
      <w:spacing w:after="120"/>
      <w:ind w:left="1020" w:hanging="340"/>
    </w:pPr>
  </w:style>
  <w:style w:type="paragraph" w:customStyle="1" w:styleId="BTNumbList3">
    <w:name w:val="BTNumbList3"/>
    <w:basedOn w:val="Normal"/>
    <w:uiPriority w:val="6"/>
    <w:qFormat/>
    <w:rsid w:val="003A4FC4"/>
    <w:pPr>
      <w:numPr>
        <w:ilvl w:val="2"/>
        <w:numId w:val="19"/>
      </w:numPr>
      <w:spacing w:before="0" w:after="0"/>
    </w:pPr>
  </w:style>
  <w:style w:type="paragraph" w:customStyle="1" w:styleId="BTNumbList3Last">
    <w:name w:val="BTNumbList3Last"/>
    <w:basedOn w:val="BTNumbList3"/>
    <w:uiPriority w:val="6"/>
    <w:qFormat/>
    <w:rsid w:val="003A4FC4"/>
    <w:pPr>
      <w:spacing w:after="120"/>
    </w:pPr>
  </w:style>
  <w:style w:type="numbering" w:customStyle="1" w:styleId="NumbLstStage">
    <w:name w:val="NumbLstStage"/>
    <w:uiPriority w:val="99"/>
    <w:rsid w:val="00C06A4D"/>
    <w:pPr>
      <w:numPr>
        <w:numId w:val="25"/>
      </w:numPr>
    </w:pPr>
  </w:style>
  <w:style w:type="paragraph" w:customStyle="1" w:styleId="TableBulletLast">
    <w:name w:val="TableBulletLast"/>
    <w:basedOn w:val="TableBullet"/>
    <w:uiPriority w:val="6"/>
    <w:qFormat/>
    <w:rsid w:val="00C06A4D"/>
    <w:pPr>
      <w:spacing w:after="120"/>
    </w:pPr>
  </w:style>
  <w:style w:type="paragraph" w:styleId="Title">
    <w:name w:val="Title"/>
    <w:basedOn w:val="Normal"/>
    <w:next w:val="Normal"/>
    <w:link w:val="TitleChar"/>
    <w:uiPriority w:val="29"/>
    <w:semiHidden/>
    <w:qFormat/>
    <w:rsid w:val="003150A0"/>
    <w:pPr>
      <w:pBdr>
        <w:bottom w:val="single" w:sz="8" w:space="4" w:color="4F81BD" w:themeColor="accent1"/>
      </w:pBdr>
      <w:spacing w:before="0" w:after="300" w:line="240" w:lineRule="auto"/>
      <w:contextualSpacing/>
    </w:pPr>
    <w:rPr>
      <w:rFonts w:asciiTheme="majorHAnsi" w:eastAsiaTheme="majorEastAsia" w:hAnsiTheme="majorHAnsi" w:cstheme="majorBidi"/>
      <w:color w:val="0067AC"/>
      <w:spacing w:val="5"/>
      <w:kern w:val="28"/>
      <w:sz w:val="52"/>
      <w:szCs w:val="52"/>
    </w:rPr>
  </w:style>
  <w:style w:type="character" w:customStyle="1" w:styleId="TitleChar">
    <w:name w:val="Title Char"/>
    <w:basedOn w:val="DefaultParagraphFont"/>
    <w:link w:val="Title"/>
    <w:uiPriority w:val="29"/>
    <w:semiHidden/>
    <w:rsid w:val="003150A0"/>
    <w:rPr>
      <w:rFonts w:asciiTheme="majorHAnsi" w:eastAsiaTheme="majorEastAsia" w:hAnsiTheme="majorHAnsi" w:cstheme="majorBidi"/>
      <w:color w:val="0067AC"/>
      <w:spacing w:val="5"/>
      <w:kern w:val="28"/>
      <w:sz w:val="52"/>
      <w:szCs w:val="52"/>
    </w:rPr>
  </w:style>
  <w:style w:type="paragraph" w:customStyle="1" w:styleId="AnnexHeading">
    <w:name w:val="AnnexHeading"/>
    <w:basedOn w:val="Normal"/>
    <w:next w:val="Normal"/>
    <w:uiPriority w:val="6"/>
    <w:qFormat/>
    <w:rsid w:val="00404FE4"/>
    <w:pPr>
      <w:keepNext/>
      <w:pageBreakBefore/>
      <w:numPr>
        <w:numId w:val="38"/>
      </w:numPr>
      <w:spacing w:before="0" w:after="240"/>
    </w:pPr>
    <w:rPr>
      <w:rFonts w:ascii="Calibri" w:hAnsi="Calibri"/>
      <w:b/>
      <w:color w:val="0067AC"/>
      <w:sz w:val="32"/>
    </w:rPr>
  </w:style>
  <w:style w:type="paragraph" w:customStyle="1" w:styleId="AnnexH2">
    <w:name w:val="AnnexH2"/>
    <w:basedOn w:val="Normal"/>
    <w:next w:val="BodyText"/>
    <w:uiPriority w:val="6"/>
    <w:qFormat/>
    <w:rsid w:val="00404FE4"/>
    <w:pPr>
      <w:keepNext/>
      <w:numPr>
        <w:ilvl w:val="1"/>
        <w:numId w:val="38"/>
      </w:numPr>
      <w:spacing w:before="200"/>
    </w:pPr>
    <w:rPr>
      <w:rFonts w:ascii="Calibri" w:hAnsi="Calibri"/>
      <w:b/>
      <w:color w:val="0067AC"/>
      <w:sz w:val="26"/>
    </w:rPr>
  </w:style>
  <w:style w:type="paragraph" w:customStyle="1" w:styleId="AnnexH3">
    <w:name w:val="AnnexH3"/>
    <w:basedOn w:val="Normal"/>
    <w:next w:val="BodyText"/>
    <w:uiPriority w:val="6"/>
    <w:qFormat/>
    <w:rsid w:val="00404FE4"/>
    <w:pPr>
      <w:keepNext/>
      <w:numPr>
        <w:ilvl w:val="2"/>
        <w:numId w:val="38"/>
      </w:numPr>
      <w:spacing w:before="200"/>
    </w:pPr>
    <w:rPr>
      <w:rFonts w:ascii="Calibri" w:hAnsi="Calibri"/>
      <w:b/>
      <w:color w:val="0067AC"/>
      <w:sz w:val="22"/>
    </w:rPr>
  </w:style>
  <w:style w:type="paragraph" w:customStyle="1" w:styleId="AnnexH4">
    <w:name w:val="AnnexH4"/>
    <w:basedOn w:val="Normal"/>
    <w:next w:val="BodyText"/>
    <w:uiPriority w:val="6"/>
    <w:qFormat/>
    <w:rsid w:val="00404FE4"/>
    <w:pPr>
      <w:keepNext/>
      <w:numPr>
        <w:ilvl w:val="3"/>
        <w:numId w:val="38"/>
      </w:numPr>
    </w:pPr>
    <w:rPr>
      <w:rFonts w:ascii="Calibri" w:hAnsi="Calibri"/>
      <w:b/>
      <w:i/>
      <w:color w:val="0067AC"/>
      <w:sz w:val="22"/>
    </w:rPr>
  </w:style>
  <w:style w:type="paragraph" w:customStyle="1" w:styleId="AnnexTable">
    <w:name w:val="AnnexTable"/>
    <w:basedOn w:val="Normal"/>
    <w:next w:val="BodyText"/>
    <w:uiPriority w:val="6"/>
    <w:qFormat/>
    <w:rsid w:val="00404FE4"/>
    <w:pPr>
      <w:keepNext/>
      <w:numPr>
        <w:ilvl w:val="4"/>
        <w:numId w:val="38"/>
      </w:numPr>
    </w:pPr>
    <w:rPr>
      <w:rFonts w:ascii="Calibri" w:hAnsi="Calibri"/>
      <w:b/>
      <w:color w:val="0067AC"/>
    </w:rPr>
  </w:style>
  <w:style w:type="paragraph" w:customStyle="1" w:styleId="AnnexFigure">
    <w:name w:val="AnnexFigure"/>
    <w:basedOn w:val="Normal"/>
    <w:next w:val="BodyText"/>
    <w:uiPriority w:val="6"/>
    <w:qFormat/>
    <w:rsid w:val="00404FE4"/>
    <w:pPr>
      <w:keepNext/>
      <w:numPr>
        <w:ilvl w:val="5"/>
        <w:numId w:val="38"/>
      </w:numPr>
    </w:pPr>
    <w:rPr>
      <w:rFonts w:ascii="Calibri" w:hAnsi="Calibri"/>
      <w:b/>
      <w:color w:val="0067AC"/>
    </w:rPr>
  </w:style>
  <w:style w:type="numbering" w:customStyle="1" w:styleId="NumbLstAnnex">
    <w:name w:val="NumbLstAnnex"/>
    <w:uiPriority w:val="99"/>
    <w:rsid w:val="00404FE4"/>
    <w:pPr>
      <w:numPr>
        <w:numId w:val="37"/>
      </w:numPr>
    </w:pPr>
  </w:style>
  <w:style w:type="paragraph" w:customStyle="1" w:styleId="AnnexHeadingNoPage">
    <w:name w:val="AnnexHeading NoPage"/>
    <w:basedOn w:val="AnnexHeading"/>
    <w:next w:val="Normal"/>
    <w:uiPriority w:val="6"/>
    <w:qFormat/>
    <w:rsid w:val="00844A98"/>
    <w:pPr>
      <w:pageBreakBefore w:val="0"/>
    </w:pPr>
  </w:style>
  <w:style w:type="paragraph" w:customStyle="1" w:styleId="StyleTableTextNoSpace8pt">
    <w:name w:val="Style TableTextNoSpace + 8 pt"/>
    <w:basedOn w:val="TableTextNoSpace"/>
    <w:rsid w:val="00095BA6"/>
    <w:rPr>
      <w:sz w:val="16"/>
    </w:rPr>
  </w:style>
  <w:style w:type="numbering" w:customStyle="1" w:styleId="NumbLstBTBullet">
    <w:name w:val="NumbLstBTBullet"/>
    <w:uiPriority w:val="99"/>
    <w:rsid w:val="0094009F"/>
    <w:pPr>
      <w:numPr>
        <w:numId w:val="41"/>
      </w:numPr>
    </w:pPr>
  </w:style>
  <w:style w:type="character" w:styleId="CommentReference">
    <w:name w:val="annotation reference"/>
    <w:basedOn w:val="DefaultParagraphFont"/>
    <w:uiPriority w:val="29"/>
    <w:semiHidden/>
    <w:rsid w:val="00F4553D"/>
    <w:rPr>
      <w:sz w:val="16"/>
      <w:szCs w:val="16"/>
    </w:rPr>
  </w:style>
  <w:style w:type="paragraph" w:styleId="CommentText">
    <w:name w:val="annotation text"/>
    <w:basedOn w:val="Normal"/>
    <w:link w:val="CommentTextChar"/>
    <w:uiPriority w:val="29"/>
    <w:semiHidden/>
    <w:rsid w:val="00F4553D"/>
    <w:pPr>
      <w:spacing w:line="240" w:lineRule="auto"/>
    </w:pPr>
    <w:rPr>
      <w:szCs w:val="20"/>
    </w:rPr>
  </w:style>
  <w:style w:type="character" w:customStyle="1" w:styleId="CommentTextChar">
    <w:name w:val="Comment Text Char"/>
    <w:basedOn w:val="DefaultParagraphFont"/>
    <w:link w:val="CommentText"/>
    <w:uiPriority w:val="29"/>
    <w:semiHidden/>
    <w:rsid w:val="00F4553D"/>
    <w:rPr>
      <w:rFonts w:ascii="Arial" w:hAnsi="Arial"/>
    </w:rPr>
  </w:style>
  <w:style w:type="paragraph" w:styleId="CommentSubject">
    <w:name w:val="annotation subject"/>
    <w:basedOn w:val="CommentText"/>
    <w:next w:val="CommentText"/>
    <w:link w:val="CommentSubjectChar"/>
    <w:uiPriority w:val="29"/>
    <w:semiHidden/>
    <w:rsid w:val="00F4553D"/>
    <w:rPr>
      <w:b/>
      <w:bCs/>
    </w:rPr>
  </w:style>
  <w:style w:type="character" w:customStyle="1" w:styleId="CommentSubjectChar">
    <w:name w:val="Comment Subject Char"/>
    <w:basedOn w:val="CommentTextChar"/>
    <w:link w:val="CommentSubject"/>
    <w:uiPriority w:val="29"/>
    <w:semiHidden/>
    <w:rsid w:val="00F4553D"/>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2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semiHidden="1" w:uiPriority="39"/>
    <w:lsdException w:name="footnote text" w:uiPriority="0"/>
    <w:lsdException w:name="annotation text" w:semiHidden="1"/>
    <w:lsdException w:name="header" w:uiPriority="0"/>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uiPriority="0"/>
    <w:lsdException w:name="Hyperlink"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6"/>
    <w:qFormat/>
    <w:rsid w:val="00095BA6"/>
    <w:pPr>
      <w:spacing w:before="120" w:after="120" w:line="240" w:lineRule="atLeast"/>
    </w:pPr>
    <w:rPr>
      <w:rFonts w:ascii="Arial" w:hAnsi="Arial"/>
      <w:szCs w:val="24"/>
    </w:rPr>
  </w:style>
  <w:style w:type="paragraph" w:styleId="Heading1">
    <w:name w:val="heading 1"/>
    <w:basedOn w:val="NormalLeftAligned"/>
    <w:next w:val="BodyText"/>
    <w:link w:val="Heading1Char"/>
    <w:qFormat/>
    <w:rsid w:val="00A43447"/>
    <w:pPr>
      <w:keepNext/>
      <w:keepLines/>
      <w:pageBreakBefore/>
      <w:numPr>
        <w:numId w:val="39"/>
      </w:numPr>
      <w:spacing w:before="0" w:after="240"/>
      <w:outlineLvl w:val="0"/>
    </w:pPr>
    <w:rPr>
      <w:rFonts w:ascii="Calibri" w:eastAsiaTheme="majorEastAsia" w:hAnsi="Calibri" w:cstheme="majorBidi"/>
      <w:b/>
      <w:bCs/>
      <w:color w:val="0067AC"/>
      <w:sz w:val="32"/>
      <w:szCs w:val="28"/>
    </w:rPr>
  </w:style>
  <w:style w:type="paragraph" w:styleId="Heading2">
    <w:name w:val="heading 2"/>
    <w:basedOn w:val="NormalLeftAligned"/>
    <w:next w:val="BodyText"/>
    <w:link w:val="Heading2Char"/>
    <w:qFormat/>
    <w:rsid w:val="00A43447"/>
    <w:pPr>
      <w:keepNext/>
      <w:keepLines/>
      <w:numPr>
        <w:ilvl w:val="1"/>
        <w:numId w:val="39"/>
      </w:numPr>
      <w:spacing w:before="240" w:line="260" w:lineRule="atLeast"/>
      <w:outlineLvl w:val="1"/>
    </w:pPr>
    <w:rPr>
      <w:rFonts w:ascii="Calibri" w:eastAsiaTheme="majorEastAsia" w:hAnsi="Calibri" w:cstheme="majorBidi"/>
      <w:b/>
      <w:bCs/>
      <w:color w:val="0067AC"/>
      <w:sz w:val="26"/>
      <w:szCs w:val="26"/>
    </w:rPr>
  </w:style>
  <w:style w:type="paragraph" w:styleId="Heading3">
    <w:name w:val="heading 3"/>
    <w:basedOn w:val="NormalLeftAligned"/>
    <w:next w:val="BodyText"/>
    <w:link w:val="Heading3Char"/>
    <w:qFormat/>
    <w:rsid w:val="00A43447"/>
    <w:pPr>
      <w:keepNext/>
      <w:keepLines/>
      <w:numPr>
        <w:ilvl w:val="2"/>
        <w:numId w:val="39"/>
      </w:numPr>
      <w:spacing w:before="200"/>
      <w:outlineLvl w:val="2"/>
    </w:pPr>
    <w:rPr>
      <w:rFonts w:ascii="Calibri" w:eastAsiaTheme="majorEastAsia" w:hAnsi="Calibri" w:cstheme="majorBidi"/>
      <w:b/>
      <w:bCs/>
      <w:color w:val="0067AC"/>
      <w:sz w:val="22"/>
    </w:rPr>
  </w:style>
  <w:style w:type="paragraph" w:styleId="Heading4">
    <w:name w:val="heading 4"/>
    <w:basedOn w:val="NormalLeftAligned"/>
    <w:next w:val="BodyText"/>
    <w:link w:val="Heading4Char"/>
    <w:qFormat/>
    <w:rsid w:val="00A43447"/>
    <w:pPr>
      <w:keepNext/>
      <w:keepLines/>
      <w:numPr>
        <w:ilvl w:val="3"/>
        <w:numId w:val="39"/>
      </w:numPr>
      <w:spacing w:after="0"/>
      <w:outlineLvl w:val="3"/>
    </w:pPr>
    <w:rPr>
      <w:rFonts w:ascii="Calibri" w:eastAsiaTheme="majorEastAsia" w:hAnsi="Calibri" w:cstheme="majorBidi"/>
      <w:b/>
      <w:bCs/>
      <w:i/>
      <w:iCs/>
      <w:color w:val="0067AC"/>
      <w:sz w:val="22"/>
    </w:rPr>
  </w:style>
  <w:style w:type="paragraph" w:styleId="Heading5">
    <w:name w:val="heading 5"/>
    <w:basedOn w:val="Normal"/>
    <w:next w:val="Normal"/>
    <w:link w:val="Heading5Char"/>
    <w:uiPriority w:val="29"/>
    <w:unhideWhenUsed/>
    <w:qFormat/>
    <w:rsid w:val="00A43447"/>
    <w:pPr>
      <w:keepNext/>
      <w:keepLines/>
      <w:numPr>
        <w:ilvl w:val="4"/>
        <w:numId w:val="39"/>
      </w:numPr>
      <w:spacing w:after="0"/>
      <w:outlineLvl w:val="4"/>
    </w:pPr>
    <w:rPr>
      <w:rFonts w:ascii="Calibri" w:eastAsiaTheme="majorEastAsia" w:hAnsi="Calibri" w:cstheme="majorBidi"/>
      <w:b/>
      <w:i/>
      <w:color w:val="0067AC"/>
      <w:sz w:val="22"/>
    </w:rPr>
  </w:style>
  <w:style w:type="paragraph" w:styleId="Heading6">
    <w:name w:val="heading 6"/>
    <w:basedOn w:val="Normal"/>
    <w:next w:val="Normal"/>
    <w:link w:val="Heading6Char"/>
    <w:uiPriority w:val="29"/>
    <w:semiHidden/>
    <w:unhideWhenUsed/>
    <w:qFormat/>
    <w:rsid w:val="002248F3"/>
    <w:pPr>
      <w:keepNext/>
      <w:keepLines/>
      <w:spacing w:before="200" w:after="0"/>
      <w:outlineLvl w:val="5"/>
    </w:pPr>
    <w:rPr>
      <w:rFonts w:ascii="Calibri" w:eastAsiaTheme="majorEastAsia" w:hAnsi="Calibri" w:cstheme="majorBidi"/>
      <w:b/>
      <w:i/>
      <w:iCs/>
      <w:color w:val="0067A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3447"/>
    <w:rPr>
      <w:rFonts w:ascii="Calibri" w:eastAsiaTheme="majorEastAsia" w:hAnsi="Calibri" w:cstheme="majorBidi"/>
      <w:b/>
      <w:bCs/>
      <w:color w:val="0067AC"/>
      <w:sz w:val="32"/>
      <w:szCs w:val="28"/>
    </w:rPr>
  </w:style>
  <w:style w:type="character" w:customStyle="1" w:styleId="Heading2Char">
    <w:name w:val="Heading 2 Char"/>
    <w:basedOn w:val="DefaultParagraphFont"/>
    <w:link w:val="Heading2"/>
    <w:rsid w:val="00A43447"/>
    <w:rPr>
      <w:rFonts w:ascii="Calibri" w:eastAsiaTheme="majorEastAsia" w:hAnsi="Calibri" w:cstheme="majorBidi"/>
      <w:b/>
      <w:bCs/>
      <w:color w:val="0067AC"/>
      <w:sz w:val="26"/>
      <w:szCs w:val="26"/>
    </w:rPr>
  </w:style>
  <w:style w:type="character" w:customStyle="1" w:styleId="Heading3Char">
    <w:name w:val="Heading 3 Char"/>
    <w:basedOn w:val="DefaultParagraphFont"/>
    <w:link w:val="Heading3"/>
    <w:rsid w:val="00A43447"/>
    <w:rPr>
      <w:rFonts w:ascii="Calibri" w:eastAsiaTheme="majorEastAsia" w:hAnsi="Calibri" w:cstheme="majorBidi"/>
      <w:b/>
      <w:bCs/>
      <w:color w:val="0067AC"/>
      <w:sz w:val="22"/>
      <w:szCs w:val="24"/>
    </w:rPr>
  </w:style>
  <w:style w:type="paragraph" w:styleId="BlockText">
    <w:name w:val="Block Text"/>
    <w:basedOn w:val="Normal"/>
    <w:uiPriority w:val="29"/>
    <w:semiHidden/>
    <w:rsid w:val="002B3B7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1"/>
    <w:qFormat/>
    <w:rsid w:val="00561B22"/>
    <w:pPr>
      <w:ind w:left="851"/>
    </w:pPr>
  </w:style>
  <w:style w:type="character" w:customStyle="1" w:styleId="BodyTextChar">
    <w:name w:val="Body Text Char"/>
    <w:basedOn w:val="DefaultParagraphFont"/>
    <w:link w:val="BodyText"/>
    <w:uiPriority w:val="1"/>
    <w:rsid w:val="009F0478"/>
    <w:rPr>
      <w:rFonts w:ascii="Arial" w:hAnsi="Arial"/>
      <w:szCs w:val="24"/>
    </w:rPr>
  </w:style>
  <w:style w:type="paragraph" w:customStyle="1" w:styleId="Heading1NoNumb">
    <w:name w:val="Heading 1NoNumb"/>
    <w:basedOn w:val="Heading1"/>
    <w:next w:val="Normal"/>
    <w:uiPriority w:val="5"/>
    <w:qFormat/>
    <w:rsid w:val="009D7497"/>
    <w:pPr>
      <w:numPr>
        <w:numId w:val="0"/>
      </w:numPr>
    </w:pPr>
  </w:style>
  <w:style w:type="paragraph" w:customStyle="1" w:styleId="Heading2NoNumb">
    <w:name w:val="Heading 2NoNumb"/>
    <w:basedOn w:val="Heading2"/>
    <w:next w:val="Normal"/>
    <w:uiPriority w:val="5"/>
    <w:qFormat/>
    <w:rsid w:val="005B10E4"/>
    <w:pPr>
      <w:numPr>
        <w:ilvl w:val="0"/>
        <w:numId w:val="0"/>
      </w:numPr>
    </w:pPr>
  </w:style>
  <w:style w:type="paragraph" w:customStyle="1" w:styleId="BTBullet1">
    <w:name w:val="BTBullet1"/>
    <w:basedOn w:val="Normal"/>
    <w:uiPriority w:val="6"/>
    <w:qFormat/>
    <w:rsid w:val="0094009F"/>
    <w:pPr>
      <w:numPr>
        <w:numId w:val="43"/>
      </w:numPr>
      <w:spacing w:before="0" w:after="0"/>
    </w:pPr>
  </w:style>
  <w:style w:type="paragraph" w:customStyle="1" w:styleId="Figure">
    <w:name w:val="Figure"/>
    <w:basedOn w:val="NormalLeftAligned"/>
    <w:next w:val="BodyText"/>
    <w:uiPriority w:val="11"/>
    <w:qFormat/>
    <w:rsid w:val="00A43447"/>
    <w:pPr>
      <w:keepNext/>
      <w:numPr>
        <w:ilvl w:val="5"/>
        <w:numId w:val="39"/>
      </w:numPr>
    </w:pPr>
    <w:rPr>
      <w:rFonts w:ascii="Calibri" w:hAnsi="Calibri"/>
      <w:b/>
      <w:color w:val="0067AC"/>
    </w:rPr>
  </w:style>
  <w:style w:type="paragraph" w:styleId="BalloonText">
    <w:name w:val="Balloon Text"/>
    <w:basedOn w:val="Normal"/>
    <w:link w:val="BalloonTextChar"/>
    <w:uiPriority w:val="29"/>
    <w:semiHidden/>
    <w:rsid w:val="006E2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29"/>
    <w:semiHidden/>
    <w:rsid w:val="00AA63C9"/>
    <w:rPr>
      <w:rFonts w:ascii="Tahoma" w:hAnsi="Tahoma" w:cs="Tahoma"/>
      <w:sz w:val="16"/>
      <w:szCs w:val="16"/>
    </w:rPr>
  </w:style>
  <w:style w:type="paragraph" w:styleId="Header">
    <w:name w:val="header"/>
    <w:basedOn w:val="NormalLeftAligned"/>
    <w:link w:val="HeaderChar"/>
    <w:uiPriority w:val="29"/>
    <w:semiHidden/>
    <w:rsid w:val="0074120F"/>
    <w:pPr>
      <w:tabs>
        <w:tab w:val="center" w:pos="4513"/>
        <w:tab w:val="right" w:pos="9026"/>
      </w:tabs>
      <w:spacing w:before="0" w:after="0" w:line="240" w:lineRule="auto"/>
    </w:pPr>
    <w:rPr>
      <w:rFonts w:ascii="Calibri" w:hAnsi="Calibri"/>
      <w:color w:val="0067AC"/>
    </w:rPr>
  </w:style>
  <w:style w:type="character" w:customStyle="1" w:styleId="HeaderChar">
    <w:name w:val="Header Char"/>
    <w:basedOn w:val="DefaultParagraphFont"/>
    <w:link w:val="Header"/>
    <w:uiPriority w:val="29"/>
    <w:semiHidden/>
    <w:rsid w:val="0074120F"/>
    <w:rPr>
      <w:rFonts w:ascii="Calibri" w:hAnsi="Calibri"/>
      <w:color w:val="0067AC"/>
      <w:szCs w:val="24"/>
    </w:rPr>
  </w:style>
  <w:style w:type="paragraph" w:styleId="Footer">
    <w:name w:val="footer"/>
    <w:basedOn w:val="NormalLeftAligned"/>
    <w:link w:val="FooterChar"/>
    <w:uiPriority w:val="29"/>
    <w:semiHidden/>
    <w:rsid w:val="00E917AF"/>
    <w:pPr>
      <w:tabs>
        <w:tab w:val="right" w:pos="9072"/>
      </w:tabs>
      <w:spacing w:before="0" w:after="0" w:line="240" w:lineRule="auto"/>
    </w:pPr>
  </w:style>
  <w:style w:type="character" w:customStyle="1" w:styleId="FooterChar">
    <w:name w:val="Footer Char"/>
    <w:basedOn w:val="DefaultParagraphFont"/>
    <w:link w:val="Footer"/>
    <w:uiPriority w:val="29"/>
    <w:semiHidden/>
    <w:rsid w:val="00FA1FFF"/>
    <w:rPr>
      <w:rFonts w:ascii="Arial" w:hAnsi="Arial"/>
      <w:szCs w:val="24"/>
    </w:rPr>
  </w:style>
  <w:style w:type="table" w:styleId="TableGrid">
    <w:name w:val="Table Grid"/>
    <w:basedOn w:val="TableNormal"/>
    <w:rsid w:val="001E33F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Quote">
    <w:name w:val="Quote"/>
    <w:basedOn w:val="Normal"/>
    <w:next w:val="Normal"/>
    <w:link w:val="QuoteChar"/>
    <w:uiPriority w:val="10"/>
    <w:qFormat/>
    <w:rsid w:val="00E741E6"/>
    <w:pPr>
      <w:ind w:left="851"/>
    </w:pPr>
    <w:rPr>
      <w:i/>
      <w:iCs/>
      <w:color w:val="000000" w:themeColor="text1"/>
    </w:rPr>
  </w:style>
  <w:style w:type="character" w:customStyle="1" w:styleId="QuoteChar">
    <w:name w:val="Quote Char"/>
    <w:basedOn w:val="DefaultParagraphFont"/>
    <w:link w:val="Quote"/>
    <w:uiPriority w:val="10"/>
    <w:rsid w:val="00E741E6"/>
    <w:rPr>
      <w:rFonts w:ascii="Arial" w:hAnsi="Arial"/>
      <w:i/>
      <w:iCs/>
      <w:color w:val="000000" w:themeColor="text1"/>
      <w:szCs w:val="24"/>
    </w:rPr>
  </w:style>
  <w:style w:type="paragraph" w:customStyle="1" w:styleId="Table">
    <w:name w:val="Table"/>
    <w:basedOn w:val="Normal"/>
    <w:next w:val="BodyText"/>
    <w:uiPriority w:val="11"/>
    <w:qFormat/>
    <w:rsid w:val="00A43447"/>
    <w:pPr>
      <w:keepNext/>
      <w:numPr>
        <w:ilvl w:val="6"/>
        <w:numId w:val="39"/>
      </w:numPr>
    </w:pPr>
    <w:rPr>
      <w:rFonts w:ascii="Calibri" w:hAnsi="Calibri"/>
      <w:b/>
      <w:color w:val="0067AC"/>
    </w:rPr>
  </w:style>
  <w:style w:type="paragraph" w:customStyle="1" w:styleId="TableText">
    <w:name w:val="TableText"/>
    <w:basedOn w:val="NormalLeftAligned"/>
    <w:uiPriority w:val="15"/>
    <w:qFormat/>
    <w:rsid w:val="00A86B74"/>
    <w:pPr>
      <w:spacing w:before="0" w:line="220" w:lineRule="atLeast"/>
    </w:pPr>
    <w:rPr>
      <w:sz w:val="18"/>
    </w:rPr>
  </w:style>
  <w:style w:type="paragraph" w:customStyle="1" w:styleId="TableTitle">
    <w:name w:val="TableTitle"/>
    <w:basedOn w:val="TableText"/>
    <w:uiPriority w:val="14"/>
    <w:qFormat/>
    <w:rsid w:val="00211076"/>
    <w:pPr>
      <w:spacing w:after="0"/>
    </w:pPr>
    <w:rPr>
      <w:rFonts w:ascii="Calibri" w:hAnsi="Calibri"/>
      <w:b/>
      <w:color w:val="0067AC"/>
    </w:rPr>
  </w:style>
  <w:style w:type="character" w:customStyle="1" w:styleId="Heading4Char">
    <w:name w:val="Heading 4 Char"/>
    <w:basedOn w:val="DefaultParagraphFont"/>
    <w:link w:val="Heading4"/>
    <w:rsid w:val="00A43447"/>
    <w:rPr>
      <w:rFonts w:ascii="Calibri" w:eastAsiaTheme="majorEastAsia" w:hAnsi="Calibri" w:cstheme="majorBidi"/>
      <w:b/>
      <w:bCs/>
      <w:i/>
      <w:iCs/>
      <w:color w:val="0067AC"/>
      <w:sz w:val="22"/>
      <w:szCs w:val="24"/>
    </w:rPr>
  </w:style>
  <w:style w:type="paragraph" w:customStyle="1" w:styleId="KeyMessage">
    <w:name w:val="KeyMessage"/>
    <w:basedOn w:val="BodyText"/>
    <w:uiPriority w:val="29"/>
    <w:semiHidden/>
    <w:qFormat/>
    <w:rsid w:val="00B94CCE"/>
    <w:pPr>
      <w:pBdr>
        <w:top w:val="single" w:sz="4" w:space="4" w:color="77C8FF" w:themeColor="text2" w:themeTint="66"/>
        <w:left w:val="single" w:sz="4" w:space="4" w:color="77C8FF" w:themeColor="text2" w:themeTint="66"/>
        <w:bottom w:val="single" w:sz="4" w:space="4" w:color="77C8FF" w:themeColor="text2" w:themeTint="66"/>
        <w:right w:val="single" w:sz="4" w:space="4" w:color="77C8FF" w:themeColor="text2" w:themeTint="66"/>
      </w:pBdr>
      <w:shd w:val="clear" w:color="auto" w:fill="77C8FF" w:themeFill="text2" w:themeFillTint="66"/>
      <w:ind w:left="964" w:right="113"/>
    </w:pPr>
  </w:style>
  <w:style w:type="paragraph" w:customStyle="1" w:styleId="TableNumbList">
    <w:name w:val="TableNumbList"/>
    <w:basedOn w:val="TableText"/>
    <w:uiPriority w:val="17"/>
    <w:qFormat/>
    <w:rsid w:val="00CF6BC1"/>
    <w:pPr>
      <w:numPr>
        <w:numId w:val="9"/>
      </w:numPr>
      <w:spacing w:after="0"/>
    </w:pPr>
  </w:style>
  <w:style w:type="paragraph" w:customStyle="1" w:styleId="TableTextNoSpace">
    <w:name w:val="TableTextNoSpace"/>
    <w:basedOn w:val="TableText"/>
    <w:uiPriority w:val="15"/>
    <w:qFormat/>
    <w:rsid w:val="00891503"/>
    <w:pPr>
      <w:spacing w:after="0"/>
    </w:pPr>
  </w:style>
  <w:style w:type="paragraph" w:customStyle="1" w:styleId="BTBullet2">
    <w:name w:val="BTBullet2"/>
    <w:basedOn w:val="Normal"/>
    <w:uiPriority w:val="6"/>
    <w:qFormat/>
    <w:rsid w:val="0094009F"/>
    <w:pPr>
      <w:numPr>
        <w:ilvl w:val="1"/>
        <w:numId w:val="43"/>
      </w:numPr>
      <w:spacing w:before="0" w:after="0"/>
    </w:pPr>
  </w:style>
  <w:style w:type="paragraph" w:customStyle="1" w:styleId="NumbList">
    <w:name w:val="NumbList"/>
    <w:basedOn w:val="Normal"/>
    <w:link w:val="NumbListChar"/>
    <w:uiPriority w:val="9"/>
    <w:qFormat/>
    <w:rsid w:val="00541215"/>
    <w:pPr>
      <w:numPr>
        <w:numId w:val="11"/>
      </w:numPr>
      <w:spacing w:before="0" w:after="0"/>
    </w:pPr>
  </w:style>
  <w:style w:type="paragraph" w:customStyle="1" w:styleId="FooterLand">
    <w:name w:val="FooterLand"/>
    <w:basedOn w:val="Footer"/>
    <w:uiPriority w:val="29"/>
    <w:semiHidden/>
    <w:qFormat/>
    <w:rsid w:val="007C5C91"/>
    <w:pPr>
      <w:tabs>
        <w:tab w:val="clear" w:pos="9072"/>
        <w:tab w:val="right" w:pos="14005"/>
      </w:tabs>
    </w:pPr>
  </w:style>
  <w:style w:type="paragraph" w:customStyle="1" w:styleId="TableHeading">
    <w:name w:val="TableHeading"/>
    <w:basedOn w:val="Normal"/>
    <w:next w:val="TableText"/>
    <w:uiPriority w:val="15"/>
    <w:qFormat/>
    <w:rsid w:val="003D2272"/>
    <w:rPr>
      <w:rFonts w:ascii="Calibri" w:hAnsi="Calibri"/>
      <w:color w:val="0067AC"/>
    </w:rPr>
  </w:style>
  <w:style w:type="paragraph" w:styleId="FootnoteText">
    <w:name w:val="footnote text"/>
    <w:basedOn w:val="Normal"/>
    <w:link w:val="FootnoteTextChar"/>
    <w:uiPriority w:val="19"/>
    <w:rsid w:val="00DD05B7"/>
    <w:pPr>
      <w:spacing w:before="0" w:after="60" w:line="240" w:lineRule="auto"/>
    </w:pPr>
    <w:rPr>
      <w:sz w:val="18"/>
      <w:szCs w:val="20"/>
    </w:rPr>
  </w:style>
  <w:style w:type="character" w:customStyle="1" w:styleId="FootnoteTextChar">
    <w:name w:val="Footnote Text Char"/>
    <w:basedOn w:val="DefaultParagraphFont"/>
    <w:link w:val="FootnoteText"/>
    <w:uiPriority w:val="19"/>
    <w:rsid w:val="00AA63C9"/>
    <w:rPr>
      <w:rFonts w:ascii="Arial" w:hAnsi="Arial"/>
      <w:sz w:val="18"/>
    </w:rPr>
  </w:style>
  <w:style w:type="character" w:styleId="FootnoteReference">
    <w:name w:val="footnote reference"/>
    <w:basedOn w:val="DefaultParagraphFont"/>
    <w:uiPriority w:val="19"/>
    <w:rsid w:val="00DD05B7"/>
    <w:rPr>
      <w:vertAlign w:val="superscript"/>
    </w:rPr>
  </w:style>
  <w:style w:type="paragraph" w:customStyle="1" w:styleId="CaseStudy">
    <w:name w:val="CaseStudy"/>
    <w:basedOn w:val="BodyText"/>
    <w:next w:val="TableText"/>
    <w:uiPriority w:val="12"/>
    <w:qFormat/>
    <w:rsid w:val="001C24D0"/>
    <w:pPr>
      <w:numPr>
        <w:numId w:val="26"/>
      </w:numPr>
      <w:tabs>
        <w:tab w:val="left" w:pos="1814"/>
      </w:tabs>
    </w:pPr>
    <w:rPr>
      <w:rFonts w:ascii="Calibri" w:hAnsi="Calibri"/>
      <w:b/>
      <w:color w:val="0067AC"/>
      <w:sz w:val="28"/>
    </w:rPr>
  </w:style>
  <w:style w:type="paragraph" w:customStyle="1" w:styleId="TableLeft">
    <w:name w:val="TableLeft"/>
    <w:basedOn w:val="Table"/>
    <w:uiPriority w:val="29"/>
    <w:semiHidden/>
    <w:qFormat/>
    <w:rsid w:val="002248F3"/>
    <w:pPr>
      <w:ind w:left="1077"/>
    </w:pPr>
  </w:style>
  <w:style w:type="paragraph" w:customStyle="1" w:styleId="Heading1NoTOC">
    <w:name w:val="Heading 1NoTOC"/>
    <w:basedOn w:val="Heading1"/>
    <w:next w:val="Normal"/>
    <w:uiPriority w:val="23"/>
    <w:qFormat/>
    <w:rsid w:val="004B7371"/>
    <w:pPr>
      <w:numPr>
        <w:numId w:val="0"/>
      </w:numPr>
    </w:pPr>
  </w:style>
  <w:style w:type="paragraph" w:styleId="TOC2">
    <w:name w:val="toc 2"/>
    <w:basedOn w:val="NormalLeftAligned"/>
    <w:next w:val="Normal"/>
    <w:autoRedefine/>
    <w:uiPriority w:val="39"/>
    <w:rsid w:val="00BE4B9C"/>
    <w:pPr>
      <w:tabs>
        <w:tab w:val="right" w:leader="dot" w:pos="9061"/>
      </w:tabs>
      <w:spacing w:after="0"/>
      <w:ind w:right="284"/>
    </w:pPr>
    <w:rPr>
      <w:rFonts w:ascii="Calibri" w:hAnsi="Calibri"/>
      <w:b/>
      <w:color w:val="0067AC"/>
      <w:sz w:val="24"/>
    </w:rPr>
  </w:style>
  <w:style w:type="paragraph" w:styleId="TOC1">
    <w:name w:val="toc 1"/>
    <w:basedOn w:val="NormalLeftAligned"/>
    <w:next w:val="Normal"/>
    <w:autoRedefine/>
    <w:uiPriority w:val="39"/>
    <w:rsid w:val="00BE4B9C"/>
    <w:pPr>
      <w:tabs>
        <w:tab w:val="left" w:pos="851"/>
        <w:tab w:val="right" w:leader="dot" w:pos="9072"/>
      </w:tabs>
      <w:spacing w:after="0"/>
      <w:ind w:left="851" w:right="284" w:hanging="851"/>
    </w:pPr>
    <w:rPr>
      <w:rFonts w:ascii="Calibri" w:hAnsi="Calibri"/>
      <w:b/>
      <w:color w:val="0067AC"/>
      <w:sz w:val="24"/>
    </w:rPr>
  </w:style>
  <w:style w:type="paragraph" w:styleId="TOC3">
    <w:name w:val="toc 3"/>
    <w:basedOn w:val="NormalLeftAligned"/>
    <w:next w:val="Normal"/>
    <w:autoRedefine/>
    <w:uiPriority w:val="39"/>
    <w:rsid w:val="0044073E"/>
    <w:pPr>
      <w:tabs>
        <w:tab w:val="left" w:pos="1100"/>
        <w:tab w:val="right" w:leader="dot" w:pos="9061"/>
      </w:tabs>
      <w:spacing w:before="0" w:after="0"/>
      <w:ind w:left="851" w:right="284" w:hanging="851"/>
    </w:pPr>
  </w:style>
  <w:style w:type="character" w:styleId="Hyperlink">
    <w:name w:val="Hyperlink"/>
    <w:basedOn w:val="DefaultParagraphFont"/>
    <w:uiPriority w:val="99"/>
    <w:unhideWhenUsed/>
    <w:rsid w:val="00ED0340"/>
    <w:rPr>
      <w:color w:val="0000FF" w:themeColor="hyperlink"/>
      <w:u w:val="single"/>
    </w:rPr>
  </w:style>
  <w:style w:type="paragraph" w:styleId="TOC4">
    <w:name w:val="toc 4"/>
    <w:basedOn w:val="NormalLeftAligned"/>
    <w:next w:val="Normal"/>
    <w:autoRedefine/>
    <w:uiPriority w:val="39"/>
    <w:rsid w:val="0044073E"/>
    <w:pPr>
      <w:tabs>
        <w:tab w:val="left" w:pos="1531"/>
        <w:tab w:val="right" w:leader="dot" w:pos="9061"/>
      </w:tabs>
      <w:spacing w:before="0" w:after="0"/>
      <w:ind w:left="1531" w:hanging="680"/>
    </w:pPr>
  </w:style>
  <w:style w:type="paragraph" w:customStyle="1" w:styleId="DocTitle">
    <w:name w:val="DocTitle"/>
    <w:basedOn w:val="NormalLeftAligned"/>
    <w:uiPriority w:val="21"/>
    <w:qFormat/>
    <w:rsid w:val="002248F3"/>
    <w:pPr>
      <w:spacing w:before="600"/>
    </w:pPr>
    <w:rPr>
      <w:rFonts w:ascii="Calibri" w:hAnsi="Calibri"/>
      <w:b/>
      <w:color w:val="0067AC"/>
      <w:sz w:val="48"/>
    </w:rPr>
  </w:style>
  <w:style w:type="paragraph" w:customStyle="1" w:styleId="DocSubTitle">
    <w:name w:val="DocSubTitle"/>
    <w:basedOn w:val="NormalLeftAligned"/>
    <w:uiPriority w:val="21"/>
    <w:qFormat/>
    <w:rsid w:val="002248F3"/>
    <w:rPr>
      <w:rFonts w:ascii="Calibri" w:hAnsi="Calibri"/>
      <w:b/>
      <w:color w:val="0067AC"/>
      <w:sz w:val="28"/>
    </w:rPr>
  </w:style>
  <w:style w:type="paragraph" w:customStyle="1" w:styleId="DocPartner">
    <w:name w:val="DocPartner"/>
    <w:basedOn w:val="NormalLeftAligned"/>
    <w:uiPriority w:val="21"/>
    <w:qFormat/>
    <w:rsid w:val="0074120F"/>
    <w:rPr>
      <w:rFonts w:ascii="Calibri" w:hAnsi="Calibri"/>
      <w:color w:val="0067AC"/>
      <w:sz w:val="24"/>
    </w:rPr>
  </w:style>
  <w:style w:type="paragraph" w:customStyle="1" w:styleId="NormalNoSpace">
    <w:name w:val="NormalNoSpace"/>
    <w:basedOn w:val="Normal"/>
    <w:uiPriority w:val="6"/>
    <w:qFormat/>
    <w:rsid w:val="00760383"/>
    <w:pPr>
      <w:spacing w:before="0" w:after="0"/>
    </w:pPr>
  </w:style>
  <w:style w:type="paragraph" w:customStyle="1" w:styleId="Divider">
    <w:name w:val="Divider"/>
    <w:basedOn w:val="NormalLeftAligned"/>
    <w:next w:val="Normal"/>
    <w:uiPriority w:val="29"/>
    <w:semiHidden/>
    <w:qFormat/>
    <w:rsid w:val="002248F3"/>
    <w:pPr>
      <w:pageBreakBefore/>
      <w:spacing w:line="240" w:lineRule="auto"/>
    </w:pPr>
    <w:rPr>
      <w:rFonts w:ascii="Calibri" w:hAnsi="Calibri"/>
      <w:b/>
      <w:color w:val="0067AC"/>
      <w:sz w:val="72"/>
    </w:rPr>
  </w:style>
  <w:style w:type="paragraph" w:customStyle="1" w:styleId="Evidence">
    <w:name w:val="Evidence"/>
    <w:basedOn w:val="TableText"/>
    <w:next w:val="Normal"/>
    <w:uiPriority w:val="12"/>
    <w:qFormat/>
    <w:rsid w:val="001C24D0"/>
    <w:pPr>
      <w:numPr>
        <w:ilvl w:val="1"/>
        <w:numId w:val="26"/>
      </w:numPr>
      <w:spacing w:before="120"/>
    </w:pPr>
    <w:rPr>
      <w:rFonts w:ascii="Calibri" w:hAnsi="Calibri"/>
      <w:b/>
      <w:color w:val="0067AC"/>
      <w:sz w:val="28"/>
    </w:rPr>
  </w:style>
  <w:style w:type="paragraph" w:customStyle="1" w:styleId="GHKContacts">
    <w:name w:val="GHKContacts"/>
    <w:basedOn w:val="NormalLeftAligned"/>
    <w:uiPriority w:val="29"/>
    <w:qFormat/>
    <w:rsid w:val="005E5044"/>
    <w:pPr>
      <w:spacing w:before="0" w:after="60" w:line="180" w:lineRule="atLeast"/>
    </w:pPr>
    <w:rPr>
      <w:sz w:val="16"/>
    </w:rPr>
  </w:style>
  <w:style w:type="paragraph" w:customStyle="1" w:styleId="GHKContactsHeading">
    <w:name w:val="GHKContactsHeading"/>
    <w:basedOn w:val="GHKContacts"/>
    <w:uiPriority w:val="29"/>
    <w:qFormat/>
    <w:rsid w:val="00211076"/>
    <w:pPr>
      <w:spacing w:before="60" w:after="0"/>
    </w:pPr>
    <w:rPr>
      <w:rFonts w:ascii="Calibri" w:hAnsi="Calibri"/>
      <w:color w:val="0067AC"/>
    </w:rPr>
  </w:style>
  <w:style w:type="paragraph" w:customStyle="1" w:styleId="HeaderTitle">
    <w:name w:val="HeaderTitle"/>
    <w:basedOn w:val="Header"/>
    <w:uiPriority w:val="29"/>
    <w:semiHidden/>
    <w:qFormat/>
    <w:rsid w:val="00B67E25"/>
    <w:pPr>
      <w:spacing w:before="80"/>
    </w:pPr>
  </w:style>
  <w:style w:type="paragraph" w:customStyle="1" w:styleId="DocDate">
    <w:name w:val="DocDate"/>
    <w:basedOn w:val="DocSubTitle"/>
    <w:uiPriority w:val="21"/>
    <w:qFormat/>
    <w:rsid w:val="00FF79A5"/>
    <w:rPr>
      <w:color w:val="000000" w:themeColor="text1"/>
    </w:rPr>
  </w:style>
  <w:style w:type="paragraph" w:customStyle="1" w:styleId="Heading3NoNumb">
    <w:name w:val="Heading 3NoNumb"/>
    <w:basedOn w:val="Heading3"/>
    <w:next w:val="Normal"/>
    <w:uiPriority w:val="5"/>
    <w:qFormat/>
    <w:rsid w:val="002248F3"/>
    <w:pPr>
      <w:numPr>
        <w:ilvl w:val="0"/>
        <w:numId w:val="0"/>
      </w:numPr>
    </w:pPr>
  </w:style>
  <w:style w:type="paragraph" w:customStyle="1" w:styleId="Heading4NoNumb">
    <w:name w:val="Heading 4NoNumb"/>
    <w:basedOn w:val="Heading4"/>
    <w:next w:val="Normal"/>
    <w:uiPriority w:val="5"/>
    <w:qFormat/>
    <w:rsid w:val="002248F3"/>
    <w:pPr>
      <w:numPr>
        <w:ilvl w:val="0"/>
        <w:numId w:val="0"/>
      </w:numPr>
    </w:pPr>
  </w:style>
  <w:style w:type="paragraph" w:styleId="TOC5">
    <w:name w:val="toc 5"/>
    <w:basedOn w:val="NormalLeftAligned"/>
    <w:next w:val="Normal"/>
    <w:autoRedefine/>
    <w:uiPriority w:val="39"/>
    <w:rsid w:val="00F12D35"/>
    <w:pPr>
      <w:spacing w:before="0" w:after="0"/>
    </w:pPr>
  </w:style>
  <w:style w:type="paragraph" w:styleId="TOC6">
    <w:name w:val="toc 6"/>
    <w:basedOn w:val="NormalLeftAligned"/>
    <w:next w:val="Normal"/>
    <w:autoRedefine/>
    <w:uiPriority w:val="39"/>
    <w:rsid w:val="00497505"/>
    <w:pPr>
      <w:spacing w:before="0" w:after="0"/>
      <w:ind w:left="680"/>
    </w:pPr>
  </w:style>
  <w:style w:type="numbering" w:customStyle="1" w:styleId="Style1">
    <w:name w:val="Style1"/>
    <w:uiPriority w:val="99"/>
    <w:rsid w:val="004B7371"/>
    <w:pPr>
      <w:numPr>
        <w:numId w:val="5"/>
      </w:numPr>
    </w:pPr>
  </w:style>
  <w:style w:type="paragraph" w:customStyle="1" w:styleId="BodyTextNoSpace">
    <w:name w:val="Body TextNoSpace"/>
    <w:basedOn w:val="BodyText"/>
    <w:uiPriority w:val="1"/>
    <w:qFormat/>
    <w:rsid w:val="009F75F8"/>
    <w:pPr>
      <w:spacing w:before="0" w:after="0"/>
    </w:pPr>
  </w:style>
  <w:style w:type="paragraph" w:customStyle="1" w:styleId="BTBullet3">
    <w:name w:val="BTBullet3"/>
    <w:basedOn w:val="Normal"/>
    <w:uiPriority w:val="6"/>
    <w:qFormat/>
    <w:rsid w:val="0094009F"/>
    <w:pPr>
      <w:numPr>
        <w:ilvl w:val="2"/>
        <w:numId w:val="43"/>
      </w:numPr>
      <w:spacing w:before="0" w:after="0"/>
    </w:pPr>
  </w:style>
  <w:style w:type="paragraph" w:customStyle="1" w:styleId="NumbListLast">
    <w:name w:val="NumbListLast"/>
    <w:basedOn w:val="NumbList"/>
    <w:uiPriority w:val="9"/>
    <w:qFormat/>
    <w:rsid w:val="00D238C4"/>
    <w:pPr>
      <w:spacing w:after="120"/>
    </w:pPr>
  </w:style>
  <w:style w:type="paragraph" w:customStyle="1" w:styleId="BoxText">
    <w:name w:val="BoxText"/>
    <w:basedOn w:val="NormalLeftAligned"/>
    <w:uiPriority w:val="29"/>
    <w:semiHidden/>
    <w:qFormat/>
    <w:rsid w:val="00381826"/>
    <w:pPr>
      <w:spacing w:before="60" w:after="60" w:line="220" w:lineRule="atLeast"/>
    </w:pPr>
    <w:rPr>
      <w:sz w:val="18"/>
    </w:rPr>
  </w:style>
  <w:style w:type="character" w:styleId="PlaceholderText">
    <w:name w:val="Placeholder Text"/>
    <w:basedOn w:val="DefaultParagraphFont"/>
    <w:uiPriority w:val="99"/>
    <w:semiHidden/>
    <w:rsid w:val="00381826"/>
    <w:rPr>
      <w:color w:val="808080"/>
    </w:rPr>
  </w:style>
  <w:style w:type="paragraph" w:customStyle="1" w:styleId="TableNumbListLast">
    <w:name w:val="TableNumbListLast"/>
    <w:basedOn w:val="TableNumbList"/>
    <w:uiPriority w:val="17"/>
    <w:qFormat/>
    <w:rsid w:val="00256BC8"/>
    <w:pPr>
      <w:spacing w:after="120"/>
    </w:pPr>
  </w:style>
  <w:style w:type="paragraph" w:customStyle="1" w:styleId="BoxTitle">
    <w:name w:val="BoxTitle"/>
    <w:basedOn w:val="NormalLeftAligned"/>
    <w:uiPriority w:val="13"/>
    <w:qFormat/>
    <w:rsid w:val="002248F3"/>
    <w:pPr>
      <w:spacing w:line="320" w:lineRule="atLeast"/>
    </w:pPr>
    <w:rPr>
      <w:rFonts w:ascii="Calibri" w:hAnsi="Calibri"/>
      <w:b/>
      <w:color w:val="0067AC"/>
      <w:sz w:val="28"/>
    </w:rPr>
  </w:style>
  <w:style w:type="paragraph" w:customStyle="1" w:styleId="BTNumbList">
    <w:name w:val="BTNumbList"/>
    <w:basedOn w:val="Normal"/>
    <w:link w:val="BTNumbListChar"/>
    <w:uiPriority w:val="4"/>
    <w:qFormat/>
    <w:rsid w:val="00192D1A"/>
    <w:pPr>
      <w:numPr>
        <w:numId w:val="19"/>
      </w:numPr>
      <w:spacing w:before="0" w:after="0"/>
    </w:pPr>
  </w:style>
  <w:style w:type="paragraph" w:customStyle="1" w:styleId="BTNumbListLast">
    <w:name w:val="BTNumbListLast"/>
    <w:basedOn w:val="BTNumbList"/>
    <w:uiPriority w:val="6"/>
    <w:qFormat/>
    <w:rsid w:val="00D46741"/>
    <w:pPr>
      <w:spacing w:after="120"/>
    </w:pPr>
  </w:style>
  <w:style w:type="character" w:customStyle="1" w:styleId="NumbListChar">
    <w:name w:val="NumbList Char"/>
    <w:basedOn w:val="DefaultParagraphFont"/>
    <w:link w:val="NumbList"/>
    <w:uiPriority w:val="9"/>
    <w:rsid w:val="00541215"/>
    <w:rPr>
      <w:rFonts w:ascii="Arial" w:hAnsi="Arial"/>
      <w:szCs w:val="24"/>
    </w:rPr>
  </w:style>
  <w:style w:type="character" w:customStyle="1" w:styleId="BTNumbListChar">
    <w:name w:val="BTNumbList Char"/>
    <w:basedOn w:val="NumbListChar"/>
    <w:link w:val="BTNumbList"/>
    <w:uiPriority w:val="4"/>
    <w:rsid w:val="00192D1A"/>
    <w:rPr>
      <w:rFonts w:ascii="Arial" w:hAnsi="Arial"/>
      <w:szCs w:val="24"/>
    </w:rPr>
  </w:style>
  <w:style w:type="paragraph" w:customStyle="1" w:styleId="BTNumbList2Last">
    <w:name w:val="BTNumbList2Last"/>
    <w:basedOn w:val="BTNumbList2"/>
    <w:uiPriority w:val="6"/>
    <w:qFormat/>
    <w:rsid w:val="00D46741"/>
    <w:pPr>
      <w:spacing w:after="120"/>
    </w:pPr>
  </w:style>
  <w:style w:type="paragraph" w:customStyle="1" w:styleId="NormalIndent">
    <w:name w:val="NormalIndent"/>
    <w:basedOn w:val="Normal"/>
    <w:uiPriority w:val="6"/>
    <w:qFormat/>
    <w:rsid w:val="00F23AA1"/>
    <w:pPr>
      <w:ind w:left="340"/>
    </w:pPr>
  </w:style>
  <w:style w:type="paragraph" w:customStyle="1" w:styleId="BodyTextIndent">
    <w:name w:val="Body TextIndent"/>
    <w:basedOn w:val="BodyText"/>
    <w:uiPriority w:val="6"/>
    <w:qFormat/>
    <w:rsid w:val="00F23AA1"/>
    <w:pPr>
      <w:ind w:left="1191"/>
    </w:pPr>
  </w:style>
  <w:style w:type="paragraph" w:styleId="ListBullet">
    <w:name w:val="List Bullet"/>
    <w:basedOn w:val="Normal"/>
    <w:uiPriority w:val="29"/>
    <w:semiHidden/>
    <w:rsid w:val="00EB37D7"/>
    <w:pPr>
      <w:numPr>
        <w:numId w:val="1"/>
      </w:numPr>
      <w:contextualSpacing/>
    </w:pPr>
  </w:style>
  <w:style w:type="paragraph" w:styleId="ListBullet2">
    <w:name w:val="List Bullet 2"/>
    <w:basedOn w:val="Normal"/>
    <w:uiPriority w:val="29"/>
    <w:semiHidden/>
    <w:rsid w:val="00EB37D7"/>
    <w:pPr>
      <w:numPr>
        <w:numId w:val="2"/>
      </w:numPr>
      <w:contextualSpacing/>
    </w:pPr>
  </w:style>
  <w:style w:type="paragraph" w:styleId="ListBullet3">
    <w:name w:val="List Bullet 3"/>
    <w:basedOn w:val="Normal"/>
    <w:uiPriority w:val="29"/>
    <w:semiHidden/>
    <w:rsid w:val="00EB37D7"/>
    <w:pPr>
      <w:numPr>
        <w:numId w:val="3"/>
      </w:numPr>
      <w:contextualSpacing/>
    </w:pPr>
  </w:style>
  <w:style w:type="paragraph" w:styleId="ListBullet4">
    <w:name w:val="List Bullet 4"/>
    <w:basedOn w:val="Normal"/>
    <w:uiPriority w:val="29"/>
    <w:semiHidden/>
    <w:rsid w:val="00EB37D7"/>
    <w:pPr>
      <w:numPr>
        <w:numId w:val="4"/>
      </w:numPr>
      <w:contextualSpacing/>
    </w:pPr>
  </w:style>
  <w:style w:type="paragraph" w:customStyle="1" w:styleId="BTBullet1Last">
    <w:name w:val="BTBullet1Last"/>
    <w:basedOn w:val="BTBullet1"/>
    <w:uiPriority w:val="6"/>
    <w:qFormat/>
    <w:rsid w:val="009A75D7"/>
    <w:pPr>
      <w:spacing w:after="120"/>
    </w:pPr>
  </w:style>
  <w:style w:type="paragraph" w:customStyle="1" w:styleId="BTBullet2Last">
    <w:name w:val="BTBullet2Last"/>
    <w:basedOn w:val="BTBullet2"/>
    <w:uiPriority w:val="6"/>
    <w:qFormat/>
    <w:rsid w:val="009A75D7"/>
    <w:pPr>
      <w:spacing w:after="120"/>
    </w:pPr>
  </w:style>
  <w:style w:type="paragraph" w:customStyle="1" w:styleId="Stage">
    <w:name w:val="Stage"/>
    <w:basedOn w:val="BodyText"/>
    <w:next w:val="BodyText"/>
    <w:uiPriority w:val="6"/>
    <w:qFormat/>
    <w:rsid w:val="00EF551D"/>
    <w:pPr>
      <w:numPr>
        <w:numId w:val="25"/>
      </w:numPr>
    </w:pPr>
    <w:rPr>
      <w:rFonts w:ascii="Calibri" w:hAnsi="Calibri"/>
      <w:color w:val="0067AC"/>
      <w:sz w:val="24"/>
    </w:rPr>
  </w:style>
  <w:style w:type="paragraph" w:customStyle="1" w:styleId="Task">
    <w:name w:val="Task"/>
    <w:basedOn w:val="BodyText"/>
    <w:next w:val="BodyText"/>
    <w:uiPriority w:val="6"/>
    <w:qFormat/>
    <w:rsid w:val="00EF551D"/>
    <w:pPr>
      <w:numPr>
        <w:ilvl w:val="1"/>
        <w:numId w:val="25"/>
      </w:numPr>
    </w:pPr>
    <w:rPr>
      <w:rFonts w:ascii="Calibri" w:hAnsi="Calibri"/>
      <w:color w:val="0067AC"/>
    </w:rPr>
  </w:style>
  <w:style w:type="paragraph" w:styleId="TOC7">
    <w:name w:val="toc 7"/>
    <w:basedOn w:val="NormalLeftAligned"/>
    <w:next w:val="Normal"/>
    <w:autoRedefine/>
    <w:uiPriority w:val="39"/>
    <w:rsid w:val="0044073E"/>
    <w:pPr>
      <w:tabs>
        <w:tab w:val="right" w:leader="dot" w:pos="9061"/>
      </w:tabs>
      <w:spacing w:before="0" w:after="0"/>
      <w:ind w:left="851" w:hanging="851"/>
    </w:pPr>
  </w:style>
  <w:style w:type="paragraph" w:customStyle="1" w:styleId="Recommendation">
    <w:name w:val="Recommendation"/>
    <w:basedOn w:val="BoxTitle"/>
    <w:next w:val="TableText"/>
    <w:uiPriority w:val="6"/>
    <w:qFormat/>
    <w:rsid w:val="001C24D0"/>
    <w:pPr>
      <w:numPr>
        <w:ilvl w:val="3"/>
        <w:numId w:val="26"/>
      </w:numPr>
    </w:pPr>
  </w:style>
  <w:style w:type="paragraph" w:customStyle="1" w:styleId="Conclusion">
    <w:name w:val="Conclusion"/>
    <w:basedOn w:val="BoxTitle"/>
    <w:next w:val="TableText"/>
    <w:uiPriority w:val="6"/>
    <w:qFormat/>
    <w:rsid w:val="001C24D0"/>
    <w:pPr>
      <w:numPr>
        <w:ilvl w:val="2"/>
        <w:numId w:val="26"/>
      </w:numPr>
    </w:pPr>
  </w:style>
  <w:style w:type="paragraph" w:customStyle="1" w:styleId="Heading1noPg">
    <w:name w:val="Heading 1noPg"/>
    <w:basedOn w:val="Heading1"/>
    <w:uiPriority w:val="6"/>
    <w:qFormat/>
    <w:rsid w:val="008016B1"/>
    <w:pPr>
      <w:pageBreakBefore w:val="0"/>
      <w:spacing w:before="360"/>
    </w:pPr>
  </w:style>
  <w:style w:type="paragraph" w:customStyle="1" w:styleId="NumbList2">
    <w:name w:val="NumbList2"/>
    <w:basedOn w:val="Normal"/>
    <w:uiPriority w:val="6"/>
    <w:qFormat/>
    <w:rsid w:val="00541215"/>
    <w:pPr>
      <w:numPr>
        <w:ilvl w:val="1"/>
        <w:numId w:val="11"/>
      </w:numPr>
      <w:spacing w:before="0" w:after="0"/>
    </w:pPr>
  </w:style>
  <w:style w:type="paragraph" w:customStyle="1" w:styleId="NumbList2Last">
    <w:name w:val="NumbList2Last"/>
    <w:basedOn w:val="NumbList2"/>
    <w:uiPriority w:val="6"/>
    <w:qFormat/>
    <w:rsid w:val="00F60499"/>
    <w:pPr>
      <w:spacing w:after="120"/>
    </w:pPr>
  </w:style>
  <w:style w:type="paragraph" w:customStyle="1" w:styleId="BTNumbList2">
    <w:name w:val="BTNumbList2"/>
    <w:basedOn w:val="Normal"/>
    <w:uiPriority w:val="6"/>
    <w:qFormat/>
    <w:rsid w:val="00192D1A"/>
    <w:pPr>
      <w:numPr>
        <w:ilvl w:val="1"/>
        <w:numId w:val="19"/>
      </w:numPr>
      <w:spacing w:before="0" w:after="0"/>
    </w:pPr>
  </w:style>
  <w:style w:type="paragraph" w:customStyle="1" w:styleId="NormalIndent2">
    <w:name w:val="NormalIndent2"/>
    <w:basedOn w:val="Normal"/>
    <w:uiPriority w:val="6"/>
    <w:qFormat/>
    <w:rsid w:val="00C97199"/>
    <w:pPr>
      <w:ind w:left="680"/>
    </w:pPr>
  </w:style>
  <w:style w:type="paragraph" w:customStyle="1" w:styleId="BodyTextIndent2">
    <w:name w:val="Body TextIndent2"/>
    <w:basedOn w:val="BodyTextIndent"/>
    <w:uiPriority w:val="6"/>
    <w:qFormat/>
    <w:rsid w:val="00656054"/>
    <w:pPr>
      <w:ind w:left="1531"/>
    </w:pPr>
  </w:style>
  <w:style w:type="paragraph" w:customStyle="1" w:styleId="TableSource">
    <w:name w:val="TableSource"/>
    <w:basedOn w:val="BodyText"/>
    <w:uiPriority w:val="6"/>
    <w:qFormat/>
    <w:rsid w:val="001E4ED8"/>
    <w:pPr>
      <w:spacing w:line="200" w:lineRule="atLeast"/>
    </w:pPr>
    <w:rPr>
      <w:i/>
      <w:sz w:val="18"/>
    </w:rPr>
  </w:style>
  <w:style w:type="paragraph" w:customStyle="1" w:styleId="NormalLeftAligned">
    <w:name w:val="NormalLeftAligned"/>
    <w:basedOn w:val="Normal"/>
    <w:uiPriority w:val="6"/>
    <w:qFormat/>
    <w:rsid w:val="00495771"/>
  </w:style>
  <w:style w:type="paragraph" w:styleId="TOC8">
    <w:name w:val="toc 8"/>
    <w:basedOn w:val="NormalLeftAligned"/>
    <w:next w:val="Normal"/>
    <w:autoRedefine/>
    <w:uiPriority w:val="39"/>
    <w:rsid w:val="00F148E6"/>
    <w:pPr>
      <w:spacing w:before="60" w:after="60"/>
      <w:ind w:left="1134" w:hanging="1134"/>
    </w:pPr>
    <w:rPr>
      <w:rFonts w:ascii="Georgia" w:hAnsi="Georgia"/>
    </w:rPr>
  </w:style>
  <w:style w:type="paragraph" w:styleId="TOC9">
    <w:name w:val="toc 9"/>
    <w:basedOn w:val="NormalLeftAligned"/>
    <w:next w:val="Normal"/>
    <w:autoRedefine/>
    <w:uiPriority w:val="29"/>
    <w:rsid w:val="00495771"/>
    <w:pPr>
      <w:spacing w:after="100"/>
      <w:ind w:left="1600"/>
    </w:pPr>
  </w:style>
  <w:style w:type="numbering" w:customStyle="1" w:styleId="NumbLstBoxes">
    <w:name w:val="NumbLstBoxes"/>
    <w:uiPriority w:val="99"/>
    <w:rsid w:val="001C24D0"/>
    <w:pPr>
      <w:numPr>
        <w:numId w:val="6"/>
      </w:numPr>
    </w:pPr>
  </w:style>
  <w:style w:type="paragraph" w:customStyle="1" w:styleId="Heading2NoNumbNoToc">
    <w:name w:val="Heading 2NoNumbNoToc"/>
    <w:basedOn w:val="Heading2NoNumb"/>
    <w:uiPriority w:val="6"/>
    <w:qFormat/>
    <w:rsid w:val="000142F4"/>
    <w:pPr>
      <w:spacing w:before="0"/>
    </w:pPr>
  </w:style>
  <w:style w:type="character" w:customStyle="1" w:styleId="Heading5Char">
    <w:name w:val="Heading 5 Char"/>
    <w:basedOn w:val="DefaultParagraphFont"/>
    <w:link w:val="Heading5"/>
    <w:uiPriority w:val="29"/>
    <w:rsid w:val="00A43447"/>
    <w:rPr>
      <w:rFonts w:ascii="Calibri" w:eastAsiaTheme="majorEastAsia" w:hAnsi="Calibri" w:cstheme="majorBidi"/>
      <w:b/>
      <w:i/>
      <w:color w:val="0067AC"/>
      <w:sz w:val="22"/>
      <w:szCs w:val="24"/>
    </w:rPr>
  </w:style>
  <w:style w:type="numbering" w:customStyle="1" w:styleId="NumbLstMain">
    <w:name w:val="NumbLstMain"/>
    <w:uiPriority w:val="99"/>
    <w:rsid w:val="00A43447"/>
    <w:pPr>
      <w:numPr>
        <w:numId w:val="7"/>
      </w:numPr>
    </w:pPr>
  </w:style>
  <w:style w:type="paragraph" w:customStyle="1" w:styleId="BoxNumb">
    <w:name w:val="BoxNumb"/>
    <w:basedOn w:val="BoxTitle"/>
    <w:next w:val="Normal"/>
    <w:uiPriority w:val="6"/>
    <w:qFormat/>
    <w:rsid w:val="001C24D0"/>
    <w:pPr>
      <w:numPr>
        <w:ilvl w:val="4"/>
        <w:numId w:val="26"/>
      </w:numPr>
    </w:pPr>
  </w:style>
  <w:style w:type="paragraph" w:customStyle="1" w:styleId="TaskManual">
    <w:name w:val="TaskManual"/>
    <w:basedOn w:val="Task"/>
    <w:uiPriority w:val="6"/>
    <w:qFormat/>
    <w:rsid w:val="00EF551D"/>
    <w:pPr>
      <w:numPr>
        <w:ilvl w:val="0"/>
        <w:numId w:val="0"/>
      </w:numPr>
      <w:ind w:left="1815" w:hanging="964"/>
    </w:pPr>
  </w:style>
  <w:style w:type="paragraph" w:customStyle="1" w:styleId="Box">
    <w:name w:val="Box"/>
    <w:basedOn w:val="Normal"/>
    <w:next w:val="BodyText"/>
    <w:uiPriority w:val="6"/>
    <w:qFormat/>
    <w:rsid w:val="00A43447"/>
    <w:pPr>
      <w:numPr>
        <w:ilvl w:val="7"/>
        <w:numId w:val="39"/>
      </w:numPr>
    </w:pPr>
    <w:rPr>
      <w:rFonts w:ascii="Calibri" w:hAnsi="Calibri"/>
      <w:b/>
      <w:color w:val="0067AC"/>
    </w:rPr>
  </w:style>
  <w:style w:type="character" w:customStyle="1" w:styleId="Heading6Char">
    <w:name w:val="Heading 6 Char"/>
    <w:basedOn w:val="DefaultParagraphFont"/>
    <w:link w:val="Heading6"/>
    <w:uiPriority w:val="29"/>
    <w:semiHidden/>
    <w:rsid w:val="002248F3"/>
    <w:rPr>
      <w:rFonts w:ascii="Calibri" w:eastAsiaTheme="majorEastAsia" w:hAnsi="Calibri" w:cstheme="majorBidi"/>
      <w:b/>
      <w:i/>
      <w:iCs/>
      <w:color w:val="0067AC"/>
      <w:szCs w:val="24"/>
    </w:rPr>
  </w:style>
  <w:style w:type="numbering" w:customStyle="1" w:styleId="NumbLstTableNumb">
    <w:name w:val="NumbLstTableNumb"/>
    <w:uiPriority w:val="99"/>
    <w:rsid w:val="00CF6BC1"/>
    <w:pPr>
      <w:numPr>
        <w:numId w:val="9"/>
      </w:numPr>
    </w:pPr>
  </w:style>
  <w:style w:type="numbering" w:customStyle="1" w:styleId="NumbLstNumb">
    <w:name w:val="NumbLstNumb"/>
    <w:uiPriority w:val="99"/>
    <w:rsid w:val="00541215"/>
    <w:pPr>
      <w:numPr>
        <w:numId w:val="10"/>
      </w:numPr>
    </w:pPr>
  </w:style>
  <w:style w:type="paragraph" w:customStyle="1" w:styleId="NumbList3">
    <w:name w:val="NumbList3"/>
    <w:basedOn w:val="Normal"/>
    <w:rsid w:val="00541215"/>
    <w:pPr>
      <w:numPr>
        <w:ilvl w:val="2"/>
        <w:numId w:val="11"/>
      </w:numPr>
      <w:spacing w:before="0" w:after="0"/>
    </w:pPr>
  </w:style>
  <w:style w:type="paragraph" w:customStyle="1" w:styleId="Bullet1">
    <w:name w:val="Bullet1"/>
    <w:basedOn w:val="Normal"/>
    <w:uiPriority w:val="6"/>
    <w:qFormat/>
    <w:rsid w:val="00666378"/>
    <w:pPr>
      <w:numPr>
        <w:numId w:val="33"/>
      </w:numPr>
      <w:spacing w:before="0" w:after="0"/>
    </w:pPr>
  </w:style>
  <w:style w:type="paragraph" w:customStyle="1" w:styleId="Bullet2">
    <w:name w:val="Bullet2"/>
    <w:basedOn w:val="Normal"/>
    <w:uiPriority w:val="6"/>
    <w:qFormat/>
    <w:rsid w:val="00666378"/>
    <w:pPr>
      <w:numPr>
        <w:ilvl w:val="1"/>
        <w:numId w:val="33"/>
      </w:numPr>
      <w:spacing w:before="0" w:after="0"/>
    </w:pPr>
  </w:style>
  <w:style w:type="paragraph" w:customStyle="1" w:styleId="Bullet3">
    <w:name w:val="Bullet3"/>
    <w:basedOn w:val="Normal"/>
    <w:uiPriority w:val="6"/>
    <w:qFormat/>
    <w:rsid w:val="00666378"/>
    <w:pPr>
      <w:numPr>
        <w:ilvl w:val="2"/>
        <w:numId w:val="33"/>
      </w:numPr>
      <w:spacing w:before="0" w:after="0"/>
    </w:pPr>
  </w:style>
  <w:style w:type="numbering" w:customStyle="1" w:styleId="NumbLstBullet">
    <w:name w:val="NumbLstBullet"/>
    <w:uiPriority w:val="99"/>
    <w:rsid w:val="00666378"/>
    <w:pPr>
      <w:numPr>
        <w:numId w:val="12"/>
      </w:numPr>
    </w:pPr>
  </w:style>
  <w:style w:type="paragraph" w:customStyle="1" w:styleId="Bullet1Last">
    <w:name w:val="Bullet1Last"/>
    <w:basedOn w:val="Bullet1"/>
    <w:uiPriority w:val="6"/>
    <w:qFormat/>
    <w:rsid w:val="00D41F7E"/>
    <w:pPr>
      <w:spacing w:after="120"/>
    </w:pPr>
  </w:style>
  <w:style w:type="paragraph" w:customStyle="1" w:styleId="Bullet2Last">
    <w:name w:val="Bullet2Last"/>
    <w:basedOn w:val="Bullet2"/>
    <w:uiPriority w:val="6"/>
    <w:qFormat/>
    <w:rsid w:val="00D41F7E"/>
    <w:pPr>
      <w:spacing w:after="120"/>
    </w:pPr>
  </w:style>
  <w:style w:type="paragraph" w:customStyle="1" w:styleId="Bullet3Last">
    <w:name w:val="Bullet3Last"/>
    <w:basedOn w:val="Bullet3"/>
    <w:uiPriority w:val="6"/>
    <w:qFormat/>
    <w:rsid w:val="00D41F7E"/>
    <w:pPr>
      <w:spacing w:after="120"/>
    </w:pPr>
  </w:style>
  <w:style w:type="paragraph" w:customStyle="1" w:styleId="BTBullet3Last">
    <w:name w:val="BTBullet3Last"/>
    <w:basedOn w:val="BTBullet3"/>
    <w:uiPriority w:val="6"/>
    <w:qFormat/>
    <w:rsid w:val="009A75D7"/>
    <w:pPr>
      <w:spacing w:after="120"/>
    </w:pPr>
  </w:style>
  <w:style w:type="paragraph" w:customStyle="1" w:styleId="TableBullet">
    <w:name w:val="TableBullet"/>
    <w:basedOn w:val="TableText"/>
    <w:uiPriority w:val="6"/>
    <w:qFormat/>
    <w:rsid w:val="00C06A4D"/>
    <w:pPr>
      <w:numPr>
        <w:numId w:val="22"/>
      </w:numPr>
      <w:spacing w:after="0"/>
    </w:pPr>
  </w:style>
  <w:style w:type="numbering" w:customStyle="1" w:styleId="NumbLstTableBullet">
    <w:name w:val="NumbLstTableBullet"/>
    <w:uiPriority w:val="99"/>
    <w:rsid w:val="004B7144"/>
    <w:pPr>
      <w:numPr>
        <w:numId w:val="15"/>
      </w:numPr>
    </w:pPr>
  </w:style>
  <w:style w:type="paragraph" w:customStyle="1" w:styleId="NumbList3Last">
    <w:name w:val="NumbList3Last"/>
    <w:basedOn w:val="NumbList3"/>
    <w:uiPriority w:val="6"/>
    <w:qFormat/>
    <w:rsid w:val="00192D1A"/>
    <w:pPr>
      <w:spacing w:after="120"/>
      <w:ind w:left="1020" w:hanging="340"/>
    </w:pPr>
  </w:style>
  <w:style w:type="paragraph" w:customStyle="1" w:styleId="BTNumbList3">
    <w:name w:val="BTNumbList3"/>
    <w:basedOn w:val="Normal"/>
    <w:uiPriority w:val="6"/>
    <w:qFormat/>
    <w:rsid w:val="003A4FC4"/>
    <w:pPr>
      <w:numPr>
        <w:ilvl w:val="2"/>
        <w:numId w:val="19"/>
      </w:numPr>
      <w:spacing w:before="0" w:after="0"/>
    </w:pPr>
  </w:style>
  <w:style w:type="paragraph" w:customStyle="1" w:styleId="BTNumbList3Last">
    <w:name w:val="BTNumbList3Last"/>
    <w:basedOn w:val="BTNumbList3"/>
    <w:uiPriority w:val="6"/>
    <w:qFormat/>
    <w:rsid w:val="003A4FC4"/>
    <w:pPr>
      <w:spacing w:after="120"/>
    </w:pPr>
  </w:style>
  <w:style w:type="numbering" w:customStyle="1" w:styleId="NumbLstStage">
    <w:name w:val="NumbLstStage"/>
    <w:uiPriority w:val="99"/>
    <w:rsid w:val="00C06A4D"/>
    <w:pPr>
      <w:numPr>
        <w:numId w:val="25"/>
      </w:numPr>
    </w:pPr>
  </w:style>
  <w:style w:type="paragraph" w:customStyle="1" w:styleId="TableBulletLast">
    <w:name w:val="TableBulletLast"/>
    <w:basedOn w:val="TableBullet"/>
    <w:uiPriority w:val="6"/>
    <w:qFormat/>
    <w:rsid w:val="00C06A4D"/>
    <w:pPr>
      <w:spacing w:after="120"/>
    </w:pPr>
  </w:style>
  <w:style w:type="paragraph" w:styleId="Title">
    <w:name w:val="Title"/>
    <w:basedOn w:val="Normal"/>
    <w:next w:val="Normal"/>
    <w:link w:val="TitleChar"/>
    <w:uiPriority w:val="29"/>
    <w:semiHidden/>
    <w:qFormat/>
    <w:rsid w:val="003150A0"/>
    <w:pPr>
      <w:pBdr>
        <w:bottom w:val="single" w:sz="8" w:space="4" w:color="4F81BD" w:themeColor="accent1"/>
      </w:pBdr>
      <w:spacing w:before="0" w:after="300" w:line="240" w:lineRule="auto"/>
      <w:contextualSpacing/>
    </w:pPr>
    <w:rPr>
      <w:rFonts w:asciiTheme="majorHAnsi" w:eastAsiaTheme="majorEastAsia" w:hAnsiTheme="majorHAnsi" w:cstheme="majorBidi"/>
      <w:color w:val="0067AC"/>
      <w:spacing w:val="5"/>
      <w:kern w:val="28"/>
      <w:sz w:val="52"/>
      <w:szCs w:val="52"/>
    </w:rPr>
  </w:style>
  <w:style w:type="character" w:customStyle="1" w:styleId="TitleChar">
    <w:name w:val="Title Char"/>
    <w:basedOn w:val="DefaultParagraphFont"/>
    <w:link w:val="Title"/>
    <w:uiPriority w:val="29"/>
    <w:semiHidden/>
    <w:rsid w:val="003150A0"/>
    <w:rPr>
      <w:rFonts w:asciiTheme="majorHAnsi" w:eastAsiaTheme="majorEastAsia" w:hAnsiTheme="majorHAnsi" w:cstheme="majorBidi"/>
      <w:color w:val="0067AC"/>
      <w:spacing w:val="5"/>
      <w:kern w:val="28"/>
      <w:sz w:val="52"/>
      <w:szCs w:val="52"/>
    </w:rPr>
  </w:style>
  <w:style w:type="paragraph" w:customStyle="1" w:styleId="AnnexHeading">
    <w:name w:val="AnnexHeading"/>
    <w:basedOn w:val="Normal"/>
    <w:next w:val="Normal"/>
    <w:uiPriority w:val="6"/>
    <w:qFormat/>
    <w:rsid w:val="00404FE4"/>
    <w:pPr>
      <w:keepNext/>
      <w:pageBreakBefore/>
      <w:numPr>
        <w:numId w:val="38"/>
      </w:numPr>
      <w:spacing w:before="0" w:after="240"/>
    </w:pPr>
    <w:rPr>
      <w:rFonts w:ascii="Calibri" w:hAnsi="Calibri"/>
      <w:b/>
      <w:color w:val="0067AC"/>
      <w:sz w:val="32"/>
    </w:rPr>
  </w:style>
  <w:style w:type="paragraph" w:customStyle="1" w:styleId="AnnexH2">
    <w:name w:val="AnnexH2"/>
    <w:basedOn w:val="Normal"/>
    <w:next w:val="BodyText"/>
    <w:uiPriority w:val="6"/>
    <w:qFormat/>
    <w:rsid w:val="00404FE4"/>
    <w:pPr>
      <w:keepNext/>
      <w:numPr>
        <w:ilvl w:val="1"/>
        <w:numId w:val="38"/>
      </w:numPr>
      <w:spacing w:before="200"/>
    </w:pPr>
    <w:rPr>
      <w:rFonts w:ascii="Calibri" w:hAnsi="Calibri"/>
      <w:b/>
      <w:color w:val="0067AC"/>
      <w:sz w:val="26"/>
    </w:rPr>
  </w:style>
  <w:style w:type="paragraph" w:customStyle="1" w:styleId="AnnexH3">
    <w:name w:val="AnnexH3"/>
    <w:basedOn w:val="Normal"/>
    <w:next w:val="BodyText"/>
    <w:uiPriority w:val="6"/>
    <w:qFormat/>
    <w:rsid w:val="00404FE4"/>
    <w:pPr>
      <w:keepNext/>
      <w:numPr>
        <w:ilvl w:val="2"/>
        <w:numId w:val="38"/>
      </w:numPr>
      <w:spacing w:before="200"/>
    </w:pPr>
    <w:rPr>
      <w:rFonts w:ascii="Calibri" w:hAnsi="Calibri"/>
      <w:b/>
      <w:color w:val="0067AC"/>
      <w:sz w:val="22"/>
    </w:rPr>
  </w:style>
  <w:style w:type="paragraph" w:customStyle="1" w:styleId="AnnexH4">
    <w:name w:val="AnnexH4"/>
    <w:basedOn w:val="Normal"/>
    <w:next w:val="BodyText"/>
    <w:uiPriority w:val="6"/>
    <w:qFormat/>
    <w:rsid w:val="00404FE4"/>
    <w:pPr>
      <w:keepNext/>
      <w:numPr>
        <w:ilvl w:val="3"/>
        <w:numId w:val="38"/>
      </w:numPr>
    </w:pPr>
    <w:rPr>
      <w:rFonts w:ascii="Calibri" w:hAnsi="Calibri"/>
      <w:b/>
      <w:i/>
      <w:color w:val="0067AC"/>
      <w:sz w:val="22"/>
    </w:rPr>
  </w:style>
  <w:style w:type="paragraph" w:customStyle="1" w:styleId="AnnexTable">
    <w:name w:val="AnnexTable"/>
    <w:basedOn w:val="Normal"/>
    <w:next w:val="BodyText"/>
    <w:uiPriority w:val="6"/>
    <w:qFormat/>
    <w:rsid w:val="00404FE4"/>
    <w:pPr>
      <w:keepNext/>
      <w:numPr>
        <w:ilvl w:val="4"/>
        <w:numId w:val="38"/>
      </w:numPr>
    </w:pPr>
    <w:rPr>
      <w:rFonts w:ascii="Calibri" w:hAnsi="Calibri"/>
      <w:b/>
      <w:color w:val="0067AC"/>
    </w:rPr>
  </w:style>
  <w:style w:type="paragraph" w:customStyle="1" w:styleId="AnnexFigure">
    <w:name w:val="AnnexFigure"/>
    <w:basedOn w:val="Normal"/>
    <w:next w:val="BodyText"/>
    <w:uiPriority w:val="6"/>
    <w:qFormat/>
    <w:rsid w:val="00404FE4"/>
    <w:pPr>
      <w:keepNext/>
      <w:numPr>
        <w:ilvl w:val="5"/>
        <w:numId w:val="38"/>
      </w:numPr>
    </w:pPr>
    <w:rPr>
      <w:rFonts w:ascii="Calibri" w:hAnsi="Calibri"/>
      <w:b/>
      <w:color w:val="0067AC"/>
    </w:rPr>
  </w:style>
  <w:style w:type="numbering" w:customStyle="1" w:styleId="NumbLstAnnex">
    <w:name w:val="NumbLstAnnex"/>
    <w:uiPriority w:val="99"/>
    <w:rsid w:val="00404FE4"/>
    <w:pPr>
      <w:numPr>
        <w:numId w:val="37"/>
      </w:numPr>
    </w:pPr>
  </w:style>
  <w:style w:type="paragraph" w:customStyle="1" w:styleId="AnnexHeadingNoPage">
    <w:name w:val="AnnexHeading NoPage"/>
    <w:basedOn w:val="AnnexHeading"/>
    <w:next w:val="Normal"/>
    <w:uiPriority w:val="6"/>
    <w:qFormat/>
    <w:rsid w:val="00844A98"/>
    <w:pPr>
      <w:pageBreakBefore w:val="0"/>
    </w:pPr>
  </w:style>
  <w:style w:type="paragraph" w:customStyle="1" w:styleId="StyleTableTextNoSpace8pt">
    <w:name w:val="Style TableTextNoSpace + 8 pt"/>
    <w:basedOn w:val="TableTextNoSpace"/>
    <w:rsid w:val="00095BA6"/>
    <w:rPr>
      <w:sz w:val="16"/>
    </w:rPr>
  </w:style>
  <w:style w:type="numbering" w:customStyle="1" w:styleId="NumbLstBTBullet">
    <w:name w:val="NumbLstBTBullet"/>
    <w:uiPriority w:val="99"/>
    <w:rsid w:val="0094009F"/>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7997">
      <w:bodyDiv w:val="1"/>
      <w:marLeft w:val="0"/>
      <w:marRight w:val="0"/>
      <w:marTop w:val="0"/>
      <w:marBottom w:val="0"/>
      <w:divBdr>
        <w:top w:val="none" w:sz="0" w:space="0" w:color="auto"/>
        <w:left w:val="none" w:sz="0" w:space="0" w:color="auto"/>
        <w:bottom w:val="none" w:sz="0" w:space="0" w:color="auto"/>
        <w:right w:val="none" w:sz="0" w:space="0" w:color="auto"/>
      </w:divBdr>
    </w:div>
    <w:div w:id="364061107">
      <w:bodyDiv w:val="1"/>
      <w:marLeft w:val="0"/>
      <w:marRight w:val="0"/>
      <w:marTop w:val="0"/>
      <w:marBottom w:val="0"/>
      <w:divBdr>
        <w:top w:val="none" w:sz="0" w:space="0" w:color="auto"/>
        <w:left w:val="none" w:sz="0" w:space="0" w:color="auto"/>
        <w:bottom w:val="none" w:sz="0" w:space="0" w:color="auto"/>
        <w:right w:val="none" w:sz="0" w:space="0" w:color="auto"/>
      </w:divBdr>
    </w:div>
    <w:div w:id="371199013">
      <w:bodyDiv w:val="1"/>
      <w:marLeft w:val="0"/>
      <w:marRight w:val="0"/>
      <w:marTop w:val="0"/>
      <w:marBottom w:val="0"/>
      <w:divBdr>
        <w:top w:val="none" w:sz="0" w:space="0" w:color="auto"/>
        <w:left w:val="none" w:sz="0" w:space="0" w:color="auto"/>
        <w:bottom w:val="none" w:sz="0" w:space="0" w:color="auto"/>
        <w:right w:val="none" w:sz="0" w:space="0" w:color="auto"/>
      </w:divBdr>
    </w:div>
    <w:div w:id="790251389">
      <w:bodyDiv w:val="1"/>
      <w:marLeft w:val="0"/>
      <w:marRight w:val="0"/>
      <w:marTop w:val="0"/>
      <w:marBottom w:val="0"/>
      <w:divBdr>
        <w:top w:val="none" w:sz="0" w:space="0" w:color="auto"/>
        <w:left w:val="none" w:sz="0" w:space="0" w:color="auto"/>
        <w:bottom w:val="none" w:sz="0" w:space="0" w:color="auto"/>
        <w:right w:val="none" w:sz="0" w:space="0" w:color="auto"/>
      </w:divBdr>
    </w:div>
    <w:div w:id="794179695">
      <w:bodyDiv w:val="1"/>
      <w:marLeft w:val="0"/>
      <w:marRight w:val="0"/>
      <w:marTop w:val="0"/>
      <w:marBottom w:val="0"/>
      <w:divBdr>
        <w:top w:val="none" w:sz="0" w:space="0" w:color="auto"/>
        <w:left w:val="none" w:sz="0" w:space="0" w:color="auto"/>
        <w:bottom w:val="none" w:sz="0" w:space="0" w:color="auto"/>
        <w:right w:val="none" w:sz="0" w:space="0" w:color="auto"/>
      </w:divBdr>
    </w:div>
    <w:div w:id="949976169">
      <w:bodyDiv w:val="1"/>
      <w:marLeft w:val="0"/>
      <w:marRight w:val="0"/>
      <w:marTop w:val="0"/>
      <w:marBottom w:val="0"/>
      <w:divBdr>
        <w:top w:val="none" w:sz="0" w:space="0" w:color="auto"/>
        <w:left w:val="none" w:sz="0" w:space="0" w:color="auto"/>
        <w:bottom w:val="none" w:sz="0" w:space="0" w:color="auto"/>
        <w:right w:val="none" w:sz="0" w:space="0" w:color="auto"/>
      </w:divBdr>
    </w:div>
    <w:div w:id="958100775">
      <w:bodyDiv w:val="1"/>
      <w:marLeft w:val="0"/>
      <w:marRight w:val="0"/>
      <w:marTop w:val="0"/>
      <w:marBottom w:val="0"/>
      <w:divBdr>
        <w:top w:val="none" w:sz="0" w:space="0" w:color="auto"/>
        <w:left w:val="none" w:sz="0" w:space="0" w:color="auto"/>
        <w:bottom w:val="none" w:sz="0" w:space="0" w:color="auto"/>
        <w:right w:val="none" w:sz="0" w:space="0" w:color="auto"/>
      </w:divBdr>
    </w:div>
    <w:div w:id="1076438440">
      <w:bodyDiv w:val="1"/>
      <w:marLeft w:val="0"/>
      <w:marRight w:val="0"/>
      <w:marTop w:val="0"/>
      <w:marBottom w:val="0"/>
      <w:divBdr>
        <w:top w:val="none" w:sz="0" w:space="0" w:color="auto"/>
        <w:left w:val="none" w:sz="0" w:space="0" w:color="auto"/>
        <w:bottom w:val="none" w:sz="0" w:space="0" w:color="auto"/>
        <w:right w:val="none" w:sz="0" w:space="0" w:color="auto"/>
      </w:divBdr>
    </w:div>
    <w:div w:id="1122264748">
      <w:bodyDiv w:val="1"/>
      <w:marLeft w:val="0"/>
      <w:marRight w:val="0"/>
      <w:marTop w:val="0"/>
      <w:marBottom w:val="0"/>
      <w:divBdr>
        <w:top w:val="none" w:sz="0" w:space="0" w:color="auto"/>
        <w:left w:val="none" w:sz="0" w:space="0" w:color="auto"/>
        <w:bottom w:val="none" w:sz="0" w:space="0" w:color="auto"/>
        <w:right w:val="none" w:sz="0" w:space="0" w:color="auto"/>
      </w:divBdr>
    </w:div>
    <w:div w:id="1436172050">
      <w:bodyDiv w:val="1"/>
      <w:marLeft w:val="0"/>
      <w:marRight w:val="0"/>
      <w:marTop w:val="0"/>
      <w:marBottom w:val="0"/>
      <w:divBdr>
        <w:top w:val="none" w:sz="0" w:space="0" w:color="auto"/>
        <w:left w:val="none" w:sz="0" w:space="0" w:color="auto"/>
        <w:bottom w:val="none" w:sz="0" w:space="0" w:color="auto"/>
        <w:right w:val="none" w:sz="0" w:space="0" w:color="auto"/>
      </w:divBdr>
    </w:div>
    <w:div w:id="1451245411">
      <w:bodyDiv w:val="1"/>
      <w:marLeft w:val="0"/>
      <w:marRight w:val="0"/>
      <w:marTop w:val="0"/>
      <w:marBottom w:val="0"/>
      <w:divBdr>
        <w:top w:val="none" w:sz="0" w:space="0" w:color="auto"/>
        <w:left w:val="none" w:sz="0" w:space="0" w:color="auto"/>
        <w:bottom w:val="none" w:sz="0" w:space="0" w:color="auto"/>
        <w:right w:val="none" w:sz="0" w:space="0" w:color="auto"/>
      </w:divBdr>
    </w:div>
    <w:div w:id="1539472707">
      <w:bodyDiv w:val="1"/>
      <w:marLeft w:val="0"/>
      <w:marRight w:val="0"/>
      <w:marTop w:val="0"/>
      <w:marBottom w:val="0"/>
      <w:divBdr>
        <w:top w:val="none" w:sz="0" w:space="0" w:color="auto"/>
        <w:left w:val="none" w:sz="0" w:space="0" w:color="auto"/>
        <w:bottom w:val="none" w:sz="0" w:space="0" w:color="auto"/>
        <w:right w:val="none" w:sz="0" w:space="0" w:color="auto"/>
      </w:divBdr>
    </w:div>
    <w:div w:id="1547907544">
      <w:bodyDiv w:val="1"/>
      <w:marLeft w:val="0"/>
      <w:marRight w:val="0"/>
      <w:marTop w:val="0"/>
      <w:marBottom w:val="0"/>
      <w:divBdr>
        <w:top w:val="none" w:sz="0" w:space="0" w:color="auto"/>
        <w:left w:val="none" w:sz="0" w:space="0" w:color="auto"/>
        <w:bottom w:val="none" w:sz="0" w:space="0" w:color="auto"/>
        <w:right w:val="none" w:sz="0" w:space="0" w:color="auto"/>
      </w:divBdr>
    </w:div>
    <w:div w:id="1593322223">
      <w:bodyDiv w:val="1"/>
      <w:marLeft w:val="0"/>
      <w:marRight w:val="0"/>
      <w:marTop w:val="0"/>
      <w:marBottom w:val="0"/>
      <w:divBdr>
        <w:top w:val="none" w:sz="0" w:space="0" w:color="auto"/>
        <w:left w:val="none" w:sz="0" w:space="0" w:color="auto"/>
        <w:bottom w:val="none" w:sz="0" w:space="0" w:color="auto"/>
        <w:right w:val="none" w:sz="0" w:space="0" w:color="auto"/>
      </w:divBdr>
    </w:div>
    <w:div w:id="1638951677">
      <w:bodyDiv w:val="1"/>
      <w:marLeft w:val="0"/>
      <w:marRight w:val="0"/>
      <w:marTop w:val="0"/>
      <w:marBottom w:val="0"/>
      <w:divBdr>
        <w:top w:val="none" w:sz="0" w:space="0" w:color="auto"/>
        <w:left w:val="none" w:sz="0" w:space="0" w:color="auto"/>
        <w:bottom w:val="none" w:sz="0" w:space="0" w:color="auto"/>
        <w:right w:val="none" w:sz="0" w:space="0" w:color="auto"/>
      </w:divBdr>
    </w:div>
    <w:div w:id="1695106054">
      <w:bodyDiv w:val="1"/>
      <w:marLeft w:val="0"/>
      <w:marRight w:val="0"/>
      <w:marTop w:val="0"/>
      <w:marBottom w:val="0"/>
      <w:divBdr>
        <w:top w:val="none" w:sz="0" w:space="0" w:color="auto"/>
        <w:left w:val="none" w:sz="0" w:space="0" w:color="auto"/>
        <w:bottom w:val="none" w:sz="0" w:space="0" w:color="auto"/>
        <w:right w:val="none" w:sz="0" w:space="0" w:color="auto"/>
      </w:divBdr>
    </w:div>
    <w:div w:id="1746145714">
      <w:bodyDiv w:val="1"/>
      <w:marLeft w:val="0"/>
      <w:marRight w:val="0"/>
      <w:marTop w:val="0"/>
      <w:marBottom w:val="0"/>
      <w:divBdr>
        <w:top w:val="none" w:sz="0" w:space="0" w:color="auto"/>
        <w:left w:val="none" w:sz="0" w:space="0" w:color="auto"/>
        <w:bottom w:val="none" w:sz="0" w:space="0" w:color="auto"/>
        <w:right w:val="none" w:sz="0" w:space="0" w:color="auto"/>
      </w:divBdr>
    </w:div>
    <w:div w:id="1783723992">
      <w:bodyDiv w:val="1"/>
      <w:marLeft w:val="0"/>
      <w:marRight w:val="0"/>
      <w:marTop w:val="0"/>
      <w:marBottom w:val="0"/>
      <w:divBdr>
        <w:top w:val="none" w:sz="0" w:space="0" w:color="auto"/>
        <w:left w:val="none" w:sz="0" w:space="0" w:color="auto"/>
        <w:bottom w:val="none" w:sz="0" w:space="0" w:color="auto"/>
        <w:right w:val="none" w:sz="0" w:space="0" w:color="auto"/>
      </w:divBdr>
    </w:div>
    <w:div w:id="194210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epp.eurostat.ec.europa.eu/portal/page/portal/education/data/database" TargetMode="External"/><Relationship Id="rId2" Type="http://schemas.openxmlformats.org/officeDocument/2006/relationships/hyperlink" Target="http://epp.eurostat.ec.europa.eu/portal/page/portal/education/data/database" TargetMode="External"/><Relationship Id="rId1" Type="http://schemas.openxmlformats.org/officeDocument/2006/relationships/hyperlink" Target="http://epp.eurostat.ec.europa.eu/portal/page/portal/education/data/database" TargetMode="External"/><Relationship Id="rId4" Type="http://schemas.openxmlformats.org/officeDocument/2006/relationships/hyperlink" Target="http://epp.eurostat.ec.europa.eu/portal/page/portal/education/data/datab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GHK%20Templates\2012%20ICF%20GHK%20template\ICF%20GHK%20Report.dotm" TargetMode="External"/></Relationships>
</file>

<file path=word/theme/theme1.xml><?xml version="1.0" encoding="utf-8"?>
<a:theme xmlns:a="http://schemas.openxmlformats.org/drawingml/2006/main" name="Office Theme">
  <a:themeElements>
    <a:clrScheme name="ICF GHK">
      <a:dk1>
        <a:sysClr val="windowText" lastClr="000000"/>
      </a:dk1>
      <a:lt1>
        <a:sysClr val="window" lastClr="FFFFFF"/>
      </a:lt1>
      <a:dk2>
        <a:srgbClr val="0067AC"/>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EBF6C1-13A4-49C7-AE62-03BA02C5D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ICF GHK Report.dotm</Template>
  <TotalTime>0</TotalTime>
  <Pages>8</Pages>
  <Words>2047</Words>
  <Characters>11084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Williamson</dc:creator>
  <cp:lastModifiedBy>GHK user</cp:lastModifiedBy>
  <cp:revision>2</cp:revision>
  <cp:lastPrinted>2013-06-07T15:49:00Z</cp:lastPrinted>
  <dcterms:created xsi:type="dcterms:W3CDTF">2013-07-12T16:19:00Z</dcterms:created>
  <dcterms:modified xsi:type="dcterms:W3CDTF">2013-07-12T16:19:00Z</dcterms:modified>
</cp:coreProperties>
</file>