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E7EA1" w:rsidRPr="00412E05" w:rsidRDefault="00EE7EA1" w:rsidP="00EE7EA1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EE7EA1" w:rsidRDefault="00EE7EA1" w:rsidP="00EE7EA1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4230CA" w:rsidRDefault="004230CA">
      <w:pPr>
        <w:pStyle w:val="Body"/>
      </w:pPr>
    </w:p>
    <w:p w:rsidR="004230CA" w:rsidRPr="00F33BA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 Fictions</w:t>
      </w:r>
    </w:p>
    <w:p w:rsidR="00331658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F33BAE">
        <w:rPr>
          <w:rFonts w:eastAsia="Arial Unicode MS" w:hAnsi="Arial Unicode MS" w:cs="Arial Unicode MS"/>
          <w:b/>
          <w:bCs/>
          <w:lang w:val="en-US"/>
        </w:rPr>
        <w:t xml:space="preserve">: </w:t>
      </w:r>
      <w:r>
        <w:rPr>
          <w:rFonts w:eastAsia="Arial Unicode MS" w:hAnsi="Arial Unicode MS" w:cs="Arial Unicode MS"/>
          <w:lang w:val="en-US"/>
        </w:rPr>
        <w:t>The body</w:t>
      </w:r>
    </w:p>
    <w:p w:rsidR="00331658" w:rsidRPr="002A4161" w:rsidRDefault="00331658" w:rsidP="00331658">
      <w:pPr>
        <w:pStyle w:val="Body"/>
        <w:rPr>
          <w:rFonts w:eastAsia="Arial Unicode MS" w:hAnsi="Arial Unicode MS" w:cs="Arial Unicode MS"/>
          <w:lang w:val="en-US"/>
        </w:rPr>
      </w:pPr>
      <w:r w:rsidRPr="00331658">
        <w:rPr>
          <w:rFonts w:eastAsia="Arial Unicode MS" w:hAnsi="Arial Unicode MS" w:cs="Arial Unicode MS"/>
        </w:rPr>
        <w:t>Χριστίνα</w:t>
      </w:r>
      <w:r w:rsidRPr="002A4161">
        <w:rPr>
          <w:rFonts w:eastAsia="Arial Unicode MS" w:hAnsi="Arial Unicode MS" w:cs="Arial Unicode MS"/>
          <w:lang w:val="en-US"/>
        </w:rPr>
        <w:t xml:space="preserve"> </w:t>
      </w:r>
      <w:proofErr w:type="spellStart"/>
      <w:r w:rsidRPr="00331658">
        <w:rPr>
          <w:rFonts w:eastAsia="Arial Unicode MS" w:hAnsi="Arial Unicode MS" w:cs="Arial Unicode MS"/>
        </w:rPr>
        <w:t>Ντόκου</w:t>
      </w:r>
      <w:proofErr w:type="spellEnd"/>
      <w:r w:rsidRPr="002A4161">
        <w:rPr>
          <w:rFonts w:eastAsia="Arial Unicode MS" w:hAnsi="Arial Unicode MS" w:cs="Arial Unicode MS"/>
          <w:lang w:val="en-US"/>
        </w:rPr>
        <w:t xml:space="preserve">, </w:t>
      </w:r>
      <w:r w:rsidRPr="00331658">
        <w:rPr>
          <w:rFonts w:eastAsia="Arial Unicode MS" w:hAnsi="Arial Unicode MS" w:cs="Arial Unicode MS"/>
          <w:lang w:val="en-US"/>
        </w:rPr>
        <w:t>Christina</w:t>
      </w:r>
      <w:r w:rsidRPr="002A4161">
        <w:rPr>
          <w:rFonts w:eastAsia="Arial Unicode MS" w:hAnsi="Arial Unicode MS" w:cs="Arial Unicode MS"/>
          <w:lang w:val="en-US"/>
        </w:rPr>
        <w:t xml:space="preserve"> </w:t>
      </w:r>
      <w:proofErr w:type="spellStart"/>
      <w:r w:rsidRPr="00331658">
        <w:rPr>
          <w:rFonts w:eastAsia="Arial Unicode MS" w:hAnsi="Arial Unicode MS" w:cs="Arial Unicode MS"/>
          <w:lang w:val="en-US"/>
        </w:rPr>
        <w:t>Dokou</w:t>
      </w:r>
      <w:proofErr w:type="spellEnd"/>
    </w:p>
    <w:p w:rsidR="00331658" w:rsidRPr="00331658" w:rsidRDefault="00331658" w:rsidP="00331658">
      <w:pPr>
        <w:pStyle w:val="Body"/>
        <w:rPr>
          <w:rFonts w:eastAsia="Arial Unicode MS" w:hAnsi="Arial Unicode MS" w:cs="Arial Unicode MS"/>
        </w:rPr>
      </w:pPr>
      <w:r w:rsidRPr="00331658">
        <w:rPr>
          <w:rFonts w:eastAsia="Arial Unicode MS" w:hAnsi="Arial Unicode MS" w:cs="Arial Unicode MS"/>
        </w:rPr>
        <w:t>Τμήμα</w:t>
      </w:r>
      <w:r w:rsidRPr="00331658">
        <w:rPr>
          <w:rFonts w:eastAsia="Arial Unicode MS" w:hAnsi="Arial Unicode MS" w:cs="Arial Unicode MS"/>
        </w:rPr>
        <w:t xml:space="preserve"> </w:t>
      </w:r>
      <w:r w:rsidRPr="00331658">
        <w:rPr>
          <w:rFonts w:eastAsia="Arial Unicode MS" w:hAnsi="Arial Unicode MS" w:cs="Arial Unicode MS"/>
        </w:rPr>
        <w:t>Αγγλικής</w:t>
      </w:r>
      <w:r w:rsidRPr="00331658">
        <w:rPr>
          <w:rFonts w:eastAsia="Arial Unicode MS" w:hAnsi="Arial Unicode MS" w:cs="Arial Unicode MS"/>
        </w:rPr>
        <w:t xml:space="preserve"> </w:t>
      </w:r>
      <w:r w:rsidRPr="00331658">
        <w:rPr>
          <w:rFonts w:eastAsia="Arial Unicode MS" w:hAnsi="Arial Unicode MS" w:cs="Arial Unicode MS"/>
        </w:rPr>
        <w:t>Γλώσσας</w:t>
      </w:r>
      <w:r w:rsidRPr="00331658">
        <w:rPr>
          <w:rFonts w:eastAsia="Arial Unicode MS" w:hAnsi="Arial Unicode MS" w:cs="Arial Unicode MS"/>
        </w:rPr>
        <w:t xml:space="preserve"> </w:t>
      </w:r>
      <w:r w:rsidRPr="00331658">
        <w:rPr>
          <w:rFonts w:eastAsia="Arial Unicode MS" w:hAnsi="Arial Unicode MS" w:cs="Arial Unicode MS"/>
        </w:rPr>
        <w:t>και</w:t>
      </w:r>
      <w:r w:rsidRPr="00331658">
        <w:rPr>
          <w:rFonts w:eastAsia="Arial Unicode MS" w:hAnsi="Arial Unicode MS" w:cs="Arial Unicode MS"/>
        </w:rPr>
        <w:t xml:space="preserve"> </w:t>
      </w:r>
      <w:r w:rsidRPr="00331658">
        <w:rPr>
          <w:rFonts w:eastAsia="Arial Unicode MS" w:hAnsi="Arial Unicode MS" w:cs="Arial Unicode MS"/>
        </w:rPr>
        <w:t>Φιλολογίας</w:t>
      </w:r>
      <w:r w:rsidRPr="00331658">
        <w:rPr>
          <w:rFonts w:eastAsia="Arial Unicode MS" w:hAnsi="Arial Unicode MS" w:cs="Arial Unicode MS"/>
        </w:rPr>
        <w:t xml:space="preserve">, </w:t>
      </w:r>
      <w:r w:rsidRPr="00331658">
        <w:rPr>
          <w:rFonts w:eastAsia="Arial Unicode MS" w:hAnsi="Arial Unicode MS" w:cs="Arial Unicode MS"/>
        </w:rPr>
        <w:t>Φιλοσοφική</w:t>
      </w:r>
      <w:r w:rsidRPr="00331658">
        <w:rPr>
          <w:rFonts w:eastAsia="Arial Unicode MS" w:hAnsi="Arial Unicode MS" w:cs="Arial Unicode MS"/>
        </w:rPr>
        <w:t xml:space="preserve"> </w:t>
      </w:r>
      <w:r w:rsidRPr="00331658">
        <w:rPr>
          <w:rFonts w:eastAsia="Arial Unicode MS" w:hAnsi="Arial Unicode MS" w:cs="Arial Unicode MS"/>
        </w:rPr>
        <w:t>Σχολή</w:t>
      </w:r>
    </w:p>
    <w:p w:rsidR="004230CA" w:rsidRPr="00F33BAE" w:rsidRDefault="00331658" w:rsidP="00331658">
      <w:pPr>
        <w:pStyle w:val="Body"/>
        <w:rPr>
          <w:lang w:val="en-US"/>
        </w:rPr>
      </w:pPr>
      <w:r w:rsidRPr="00331658">
        <w:rPr>
          <w:rFonts w:eastAsia="Arial Unicode MS" w:hAnsi="Arial Unicode MS" w:cs="Arial Unicode MS"/>
          <w:lang w:val="en-US"/>
        </w:rPr>
        <w:t>Faculty of English Language and Literature, School of Philosophy</w:t>
      </w:r>
    </w:p>
    <w:p w:rsidR="00EE7EA1" w:rsidRDefault="00EE7EA1" w:rsidP="00EE7EA1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4230CA" w:rsidRPr="00331658" w:rsidRDefault="004230CA">
      <w:pPr>
        <w:pStyle w:val="Body"/>
        <w:rPr>
          <w:lang w:val="en-US"/>
        </w:rPr>
      </w:pPr>
    </w:p>
    <w:p w:rsidR="004230CA" w:rsidRPr="00331658" w:rsidRDefault="004230CA">
      <w:pPr>
        <w:pStyle w:val="Body"/>
        <w:rPr>
          <w:lang w:val="en-US"/>
        </w:rPr>
      </w:pPr>
    </w:p>
    <w:p w:rsidR="004230CA" w:rsidRPr="00331658" w:rsidRDefault="00D74A87">
      <w:pPr>
        <w:pStyle w:val="Body"/>
        <w:rPr>
          <w:lang w:val="en-US"/>
        </w:rPr>
      </w:pPr>
      <w:r w:rsidRPr="00331658">
        <w:rPr>
          <w:lang w:val="en-US"/>
        </w:rPr>
        <w:br w:type="page"/>
      </w:r>
    </w:p>
    <w:p w:rsidR="006A311B" w:rsidRPr="00412E05" w:rsidRDefault="006A311B" w:rsidP="006A311B"/>
    <w:bookmarkStart w:id="0" w:name="_GoBack"/>
    <w:bookmarkEnd w:id="0"/>
    <w:p w:rsidR="002A4161" w:rsidRDefault="00D54685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r w:rsidRPr="00D54685">
        <w:rPr>
          <w:lang w:eastAsia="en-US" w:bidi="en-US"/>
        </w:rPr>
        <w:fldChar w:fldCharType="begin"/>
      </w:r>
      <w:r w:rsidR="006A311B">
        <w:instrText xml:space="preserve"> TOC \o "1-5" \h \z \u </w:instrText>
      </w:r>
      <w:r w:rsidRPr="00D54685">
        <w:rPr>
          <w:lang w:eastAsia="en-US" w:bidi="en-US"/>
        </w:rPr>
        <w:fldChar w:fldCharType="separate"/>
      </w:r>
      <w:hyperlink w:anchor="_Toc416640465" w:history="1">
        <w:r w:rsidR="002A4161" w:rsidRPr="00B74A62">
          <w:rPr>
            <w:rStyle w:val="-"/>
            <w:rFonts w:eastAsia="Arial Unicode MS" w:hAnsi="Arial Unicode MS" w:cs="Arial Unicode MS"/>
            <w:noProof/>
          </w:rPr>
          <w:t>1.</w:t>
        </w:r>
        <w:r w:rsidR="002A4161"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="002A4161" w:rsidRPr="00B74A62">
          <w:rPr>
            <w:rStyle w:val="-"/>
            <w:rFonts w:eastAsia="Arial Unicode MS" w:hAnsi="Arial Unicode MS" w:cs="Arial Unicode MS"/>
            <w:noProof/>
          </w:rPr>
          <w:t>Definition</w:t>
        </w:r>
        <w:r w:rsidR="002A4161">
          <w:rPr>
            <w:noProof/>
            <w:webHidden/>
          </w:rPr>
          <w:tab/>
        </w:r>
        <w:r w:rsidR="002A4161">
          <w:rPr>
            <w:noProof/>
            <w:webHidden/>
          </w:rPr>
          <w:fldChar w:fldCharType="begin"/>
        </w:r>
        <w:r w:rsidR="002A4161">
          <w:rPr>
            <w:noProof/>
            <w:webHidden/>
          </w:rPr>
          <w:instrText xml:space="preserve"> PAGEREF _Toc416640465 \h </w:instrText>
        </w:r>
        <w:r w:rsidR="002A4161">
          <w:rPr>
            <w:noProof/>
            <w:webHidden/>
          </w:rPr>
        </w:r>
        <w:r w:rsidR="002A4161">
          <w:rPr>
            <w:noProof/>
            <w:webHidden/>
          </w:rPr>
          <w:fldChar w:fldCharType="separate"/>
        </w:r>
        <w:r w:rsidR="002A4161">
          <w:rPr>
            <w:noProof/>
            <w:webHidden/>
          </w:rPr>
          <w:t>3</w:t>
        </w:r>
        <w:r w:rsidR="002A4161">
          <w:rPr>
            <w:noProof/>
            <w:webHidden/>
          </w:rPr>
          <w:fldChar w:fldCharType="end"/>
        </w:r>
      </w:hyperlink>
    </w:p>
    <w:p w:rsidR="002A4161" w:rsidRDefault="002A4161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466" w:history="1">
        <w:r w:rsidRPr="00B74A62">
          <w:rPr>
            <w:rStyle w:val="-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4A62">
          <w:rPr>
            <w:rStyle w:val="-"/>
            <w:noProof/>
          </w:rPr>
          <w:t>biology VS culture (constructivism): boundaries/connotations of “body”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4161" w:rsidRDefault="002A4161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467" w:history="1">
        <w:r w:rsidRPr="00B74A62">
          <w:rPr>
            <w:rStyle w:val="-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4A62">
          <w:rPr>
            <w:rStyle w:val="-"/>
            <w:rFonts w:eastAsia="Arial Unicode MS" w:hAnsi="Arial Unicode MS" w:cs="Arial Unicode MS"/>
            <w:noProof/>
          </w:rPr>
          <w:t>A brief history of the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4161" w:rsidRDefault="002A4161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0468" w:history="1">
        <w:r w:rsidRPr="00B74A62">
          <w:rPr>
            <w:rStyle w:val="-"/>
            <w:noProof/>
            <w:lang w:val="fr-FR"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B74A62">
          <w:rPr>
            <w:rStyle w:val="-"/>
            <w:rFonts w:eastAsia="Arial Unicode MS" w:hAnsi="Arial Unicode MS" w:cs="Arial Unicode MS"/>
            <w:noProof/>
          </w:rPr>
          <w:t>Some categories of examination: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311B" w:rsidRDefault="00D54685" w:rsidP="006A311B">
      <w:r>
        <w:fldChar w:fldCharType="end"/>
      </w:r>
    </w:p>
    <w:p w:rsidR="002A4161" w:rsidRDefault="002A4161" w:rsidP="002A4161"/>
    <w:p w:rsidR="002A4161" w:rsidRDefault="002A4161" w:rsidP="002A4161">
      <w:pPr>
        <w:sectPr w:rsidR="002A4161" w:rsidSect="00207A08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4230CA" w:rsidRPr="006A311B" w:rsidRDefault="00D74A87" w:rsidP="009B4BE6">
      <w:pPr>
        <w:pStyle w:val="Heading"/>
        <w:numPr>
          <w:ilvl w:val="0"/>
          <w:numId w:val="23"/>
        </w:numPr>
        <w:rPr>
          <w:rFonts w:eastAsia="Arial Unicode MS" w:hAnsi="Arial Unicode MS" w:cs="Arial Unicode MS"/>
          <w:lang w:val="en-US"/>
        </w:rPr>
      </w:pPr>
      <w:bookmarkStart w:id="1" w:name="_Toc"/>
      <w:bookmarkStart w:id="2" w:name="_Toc416640465"/>
      <w:r w:rsidRPr="006A311B">
        <w:rPr>
          <w:rFonts w:eastAsia="Arial Unicode MS" w:hAnsi="Arial Unicode MS" w:cs="Arial Unicode MS"/>
          <w:lang w:val="en-US"/>
        </w:rPr>
        <w:lastRenderedPageBreak/>
        <w:t>Definition</w:t>
      </w:r>
      <w:bookmarkEnd w:id="2"/>
      <w:r w:rsidRPr="006A311B">
        <w:rPr>
          <w:rFonts w:eastAsia="Arial Unicode MS" w:hAnsi="Arial Unicode MS" w:cs="Arial Unicode MS"/>
          <w:lang w:val="en-US"/>
        </w:rPr>
        <w:t xml:space="preserve"> </w:t>
      </w:r>
      <w:bookmarkEnd w:id="1"/>
    </w:p>
    <w:p w:rsidR="004230CA" w:rsidRDefault="00D74A87">
      <w:pPr>
        <w:pStyle w:val="Body"/>
        <w:spacing w:line="240" w:lineRule="auto"/>
        <w:rPr>
          <w:lang w:val="en-US"/>
        </w:rPr>
      </w:pPr>
      <w:r>
        <w:rPr>
          <w:lang w:val="en-US"/>
        </w:rPr>
        <w:t>Definition from A. S. Hornby, Oxford Advanced Learner’s Dictionary of Current English, 1975 ed.</w:t>
      </w:r>
      <w:r>
        <w:rPr>
          <w:lang w:val="en-US"/>
        </w:rPr>
        <w:br/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the whole physical structure of a man or animal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main portion of a man or animal w/o the head, limbs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main part of a structure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 xml:space="preserve">group of persons who do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together or who are united in some way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person, human being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mass, quantity, collection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>distinct piece of matter</w:t>
      </w:r>
    </w:p>
    <w:p w:rsidR="004230CA" w:rsidRDefault="00D74A87" w:rsidP="009B4BE6">
      <w:pPr>
        <w:pStyle w:val="Body"/>
        <w:numPr>
          <w:ilvl w:val="0"/>
          <w:numId w:val="24"/>
        </w:numPr>
        <w:spacing w:line="240" w:lineRule="auto"/>
        <w:rPr>
          <w:position w:val="-2"/>
          <w:lang w:val="fr-FR"/>
        </w:rPr>
      </w:pPr>
      <w:r>
        <w:rPr>
          <w:lang w:val="en-US"/>
        </w:rPr>
        <w:t>full, strong quality</w:t>
      </w:r>
    </w:p>
    <w:p w:rsidR="004230CA" w:rsidRPr="00F33BAE" w:rsidRDefault="00D74A87" w:rsidP="009B4BE6">
      <w:pPr>
        <w:pStyle w:val="Heading"/>
        <w:numPr>
          <w:ilvl w:val="0"/>
          <w:numId w:val="23"/>
        </w:numPr>
        <w:rPr>
          <w:lang w:val="en-US"/>
        </w:rPr>
      </w:pPr>
      <w:bookmarkStart w:id="3" w:name="_Toc1"/>
      <w:bookmarkStart w:id="4" w:name="_Toc416640466"/>
      <w:r>
        <w:rPr>
          <w:lang w:val="en-US"/>
        </w:rPr>
        <w:t xml:space="preserve">biology VS culture (constructivism): boundaries/connotations of </w:t>
      </w:r>
      <w:r w:rsidRPr="00F33BAE">
        <w:rPr>
          <w:lang w:val="en-US"/>
        </w:rPr>
        <w:t>“body”</w:t>
      </w:r>
      <w:bookmarkEnd w:id="3"/>
      <w:bookmarkEnd w:id="4"/>
    </w:p>
    <w:p w:rsidR="004230CA" w:rsidRDefault="00D74A87" w:rsidP="009B4BE6">
      <w:pPr>
        <w:pStyle w:val="Body"/>
        <w:numPr>
          <w:ilvl w:val="0"/>
          <w:numId w:val="25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 xml:space="preserve">essentialism VS imprinting (Hélène </w:t>
      </w:r>
      <w:proofErr w:type="spellStart"/>
      <w:r>
        <w:rPr>
          <w:lang w:val="en-US"/>
        </w:rPr>
        <w:t>Cixous’s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écriture</w:t>
      </w:r>
      <w:proofErr w:type="spellEnd"/>
      <w:r>
        <w:rPr>
          <w:lang w:val="en-US"/>
        </w:rPr>
        <w:t xml:space="preserve"> feminine VS Judith Butler’s performativity)</w:t>
      </w:r>
    </w:p>
    <w:p w:rsidR="004230CA" w:rsidRDefault="00D74A87" w:rsidP="009B4BE6">
      <w:pPr>
        <w:pStyle w:val="Body"/>
        <w:numPr>
          <w:ilvl w:val="0"/>
          <w:numId w:val="25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 xml:space="preserve">semiotic VS symbolic (Julia </w:t>
      </w:r>
      <w:proofErr w:type="spellStart"/>
      <w:r>
        <w:rPr>
          <w:lang w:val="en-US"/>
        </w:rPr>
        <w:t>Kristeva</w:t>
      </w:r>
      <w:proofErr w:type="spellEnd"/>
      <w:r>
        <w:rPr>
          <w:lang w:val="en-US"/>
        </w:rPr>
        <w:t xml:space="preserve">, Jacques </w:t>
      </w:r>
      <w:proofErr w:type="spellStart"/>
      <w:r>
        <w:rPr>
          <w:lang w:val="en-US"/>
        </w:rPr>
        <w:t>Lacan</w:t>
      </w:r>
      <w:proofErr w:type="spellEnd"/>
      <w:r>
        <w:rPr>
          <w:lang w:val="en-US"/>
        </w:rPr>
        <w:t>)</w:t>
      </w:r>
    </w:p>
    <w:p w:rsidR="004230CA" w:rsidRDefault="00D74A87" w:rsidP="009B4BE6">
      <w:pPr>
        <w:pStyle w:val="Body"/>
        <w:numPr>
          <w:ilvl w:val="0"/>
          <w:numId w:val="25"/>
        </w:numPr>
        <w:spacing w:line="240" w:lineRule="auto"/>
        <w:rPr>
          <w:position w:val="-2"/>
          <w:lang w:val="en-US"/>
        </w:rPr>
      </w:pPr>
      <w:r>
        <w:rPr>
          <w:lang w:val="en-US"/>
        </w:rPr>
        <w:t xml:space="preserve">Margaret </w:t>
      </w:r>
      <w:proofErr w:type="spellStart"/>
      <w:r>
        <w:rPr>
          <w:lang w:val="en-US"/>
        </w:rPr>
        <w:t>Alexiou</w:t>
      </w:r>
      <w:proofErr w:type="spellEnd"/>
      <w:r>
        <w:rPr>
          <w:lang w:val="en-US"/>
        </w:rPr>
        <w:t>: “Bodily needs are the basis of all rituals”; body as axis between all micro-macro activities; bodily deficiencies shape literature</w:t>
      </w:r>
    </w:p>
    <w:p w:rsidR="004230CA" w:rsidRPr="00F33BAE" w:rsidRDefault="00D74A87" w:rsidP="009B4BE6">
      <w:pPr>
        <w:pStyle w:val="Heading"/>
        <w:numPr>
          <w:ilvl w:val="0"/>
          <w:numId w:val="23"/>
        </w:numPr>
        <w:rPr>
          <w:lang w:val="en-US"/>
        </w:rPr>
      </w:pPr>
      <w:bookmarkStart w:id="5" w:name="_Toc2"/>
      <w:bookmarkStart w:id="6" w:name="_Toc416640467"/>
      <w:r>
        <w:rPr>
          <w:rFonts w:eastAsia="Arial Unicode MS" w:hAnsi="Arial Unicode MS" w:cs="Arial Unicode MS"/>
          <w:lang w:val="en-US"/>
        </w:rPr>
        <w:t>A brief history of the body</w:t>
      </w:r>
      <w:bookmarkEnd w:id="5"/>
      <w:bookmarkEnd w:id="6"/>
    </w:p>
    <w:p w:rsidR="004230CA" w:rsidRPr="006A311B" w:rsidRDefault="00D74A87" w:rsidP="009B4BE6">
      <w:pPr>
        <w:pStyle w:val="Body"/>
        <w:numPr>
          <w:ilvl w:val="0"/>
          <w:numId w:val="26"/>
        </w:numPr>
        <w:spacing w:line="240" w:lineRule="auto"/>
        <w:rPr>
          <w:lang w:val="en-US"/>
        </w:rPr>
      </w:pPr>
      <w:r>
        <w:rPr>
          <w:lang w:val="en-US"/>
        </w:rPr>
        <w:t>Myth and religion: body as animated inanimate</w:t>
      </w:r>
    </w:p>
    <w:p w:rsidR="004230CA" w:rsidRDefault="00D74A87" w:rsidP="009B4BE6">
      <w:pPr>
        <w:pStyle w:val="Body"/>
        <w:numPr>
          <w:ilvl w:val="1"/>
          <w:numId w:val="3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free will and mortality; “carnality” as sin</w:t>
      </w:r>
    </w:p>
    <w:p w:rsidR="004230CA" w:rsidRDefault="00D74A87" w:rsidP="009B4BE6">
      <w:pPr>
        <w:pStyle w:val="Body"/>
        <w:numPr>
          <w:ilvl w:val="1"/>
          <w:numId w:val="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“the prison of the soul”; afterlife</w:t>
      </w:r>
    </w:p>
    <w:p w:rsidR="004230CA" w:rsidRPr="006A311B" w:rsidRDefault="00D74A87" w:rsidP="009B4BE6">
      <w:pPr>
        <w:pStyle w:val="Body"/>
        <w:numPr>
          <w:ilvl w:val="0"/>
          <w:numId w:val="26"/>
        </w:numPr>
        <w:spacing w:line="240" w:lineRule="auto"/>
        <w:rPr>
          <w:lang w:val="en-US"/>
        </w:rPr>
      </w:pPr>
      <w:r>
        <w:rPr>
          <w:lang w:val="en-US"/>
        </w:rPr>
        <w:t>Aristotle and Galen: body as unruly animal, locus of male civic mastery</w:t>
      </w:r>
    </w:p>
    <w:p w:rsidR="004230CA" w:rsidRPr="006A311B" w:rsidRDefault="00D74A87" w:rsidP="009B4BE6">
      <w:pPr>
        <w:pStyle w:val="Body"/>
        <w:numPr>
          <w:ilvl w:val="0"/>
          <w:numId w:val="26"/>
        </w:numPr>
        <w:spacing w:line="240" w:lineRule="auto"/>
        <w:rPr>
          <w:lang w:val="en-US"/>
        </w:rPr>
      </w:pPr>
      <w:r>
        <w:rPr>
          <w:lang w:val="en-US"/>
        </w:rPr>
        <w:t xml:space="preserve">Plato’s Symposium: body a conduit to immortality (from </w:t>
      </w:r>
      <w:proofErr w:type="spellStart"/>
      <w:r>
        <w:rPr>
          <w:lang w:val="en-US"/>
        </w:rPr>
        <w:t>eros</w:t>
      </w:r>
      <w:proofErr w:type="spellEnd"/>
      <w:r>
        <w:rPr>
          <w:lang w:val="en-US"/>
        </w:rPr>
        <w:t xml:space="preserve"> to philosophy)</w:t>
      </w:r>
    </w:p>
    <w:p w:rsidR="004230CA" w:rsidRDefault="00D74A87" w:rsidP="009B4BE6">
      <w:pPr>
        <w:pStyle w:val="Body"/>
        <w:numPr>
          <w:ilvl w:val="1"/>
          <w:numId w:val="6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Aristophanes’ myth of androgyny</w:t>
      </w:r>
    </w:p>
    <w:p w:rsidR="004230CA" w:rsidRDefault="00D74A87" w:rsidP="009B4BE6">
      <w:pPr>
        <w:pStyle w:val="Body"/>
        <w:numPr>
          <w:ilvl w:val="1"/>
          <w:numId w:val="7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proofErr w:type="spellStart"/>
      <w:r>
        <w:rPr>
          <w:lang w:val="en-US"/>
        </w:rPr>
        <w:t>Phaedo</w:t>
      </w:r>
      <w:proofErr w:type="spellEnd"/>
      <w:r>
        <w:rPr>
          <w:lang w:val="en-US"/>
        </w:rPr>
        <w:t xml:space="preserve">: body as an obstacle to the Truth vs the  potentially perfect civic body of the </w:t>
      </w:r>
      <w:proofErr w:type="spellStart"/>
      <w:r>
        <w:rPr>
          <w:lang w:val="en-US"/>
        </w:rPr>
        <w:t>Politeia</w:t>
      </w:r>
      <w:proofErr w:type="spellEnd"/>
    </w:p>
    <w:p w:rsidR="004230CA" w:rsidRDefault="00D74A87" w:rsidP="009B4BE6">
      <w:pPr>
        <w:pStyle w:val="Body"/>
        <w:numPr>
          <w:ilvl w:val="0"/>
          <w:numId w:val="26"/>
        </w:numPr>
        <w:spacing w:line="240" w:lineRule="auto"/>
        <w:rPr>
          <w:lang w:val="en-US"/>
        </w:rPr>
      </w:pPr>
      <w:r>
        <w:rPr>
          <w:lang w:val="en-US"/>
        </w:rPr>
        <w:t>Middle Ages-Victorian Age: the body metonymic of (inter-) cultural control</w:t>
      </w:r>
    </w:p>
    <w:p w:rsidR="004230CA" w:rsidRDefault="00D74A87" w:rsidP="009B4BE6">
      <w:pPr>
        <w:pStyle w:val="Body"/>
        <w:numPr>
          <w:ilvl w:val="1"/>
          <w:numId w:val="8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shame VS bodily aesthetics</w:t>
      </w:r>
    </w:p>
    <w:p w:rsidR="004230CA" w:rsidRDefault="00D74A87" w:rsidP="009B4BE6">
      <w:pPr>
        <w:pStyle w:val="Body"/>
        <w:numPr>
          <w:ilvl w:val="1"/>
          <w:numId w:val="9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Renaissance: the body as machine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soul (Descartes); </w:t>
      </w:r>
      <w:proofErr w:type="spellStart"/>
      <w:r>
        <w:rPr>
          <w:lang w:val="en-US"/>
        </w:rPr>
        <w:t>Spinosa</w:t>
      </w:r>
      <w:proofErr w:type="spellEnd"/>
      <w:r>
        <w:rPr>
          <w:lang w:val="en-US"/>
        </w:rPr>
        <w:t>: everything comes from matter, body as social and complex</w:t>
      </w:r>
    </w:p>
    <w:p w:rsidR="004230CA" w:rsidRDefault="00D74A87" w:rsidP="009B4BE6">
      <w:pPr>
        <w:pStyle w:val="Body"/>
        <w:numPr>
          <w:ilvl w:val="1"/>
          <w:numId w:val="10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bodily mechanics (automata; Frankenstein) </w:t>
      </w:r>
    </w:p>
    <w:p w:rsidR="004230CA" w:rsidRDefault="00D74A87" w:rsidP="009B4BE6">
      <w:pPr>
        <w:pStyle w:val="Body"/>
        <w:numPr>
          <w:ilvl w:val="1"/>
          <w:numId w:val="11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lastRenderedPageBreak/>
        <w:t>Charles Darwin: the human animal; evolution</w:t>
      </w:r>
    </w:p>
    <w:p w:rsidR="004230CA" w:rsidRDefault="00D74A87" w:rsidP="009B4BE6">
      <w:pPr>
        <w:pStyle w:val="Body"/>
        <w:numPr>
          <w:ilvl w:val="1"/>
          <w:numId w:val="12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1900s: Freud (hysteria; the penis; Oedipus complex)</w:t>
      </w:r>
    </w:p>
    <w:p w:rsidR="004230CA" w:rsidRDefault="00D74A87" w:rsidP="009B4BE6">
      <w:pPr>
        <w:pStyle w:val="Body"/>
        <w:numPr>
          <w:ilvl w:val="1"/>
          <w:numId w:val="13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1950s: Julius Fast: based on Wilhelm Reich’s early-1900s research, establishes kinetics and proxemics</w:t>
      </w:r>
    </w:p>
    <w:p w:rsidR="004230CA" w:rsidRDefault="00D74A87" w:rsidP="009B4BE6">
      <w:pPr>
        <w:pStyle w:val="Body"/>
        <w:numPr>
          <w:ilvl w:val="1"/>
          <w:numId w:val="14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1960s: Sexual revolution; the pill; freedom; individualism</w:t>
      </w:r>
    </w:p>
    <w:p w:rsidR="004230CA" w:rsidRDefault="00D74A87" w:rsidP="009B4BE6">
      <w:pPr>
        <w:pStyle w:val="Body"/>
        <w:numPr>
          <w:ilvl w:val="1"/>
          <w:numId w:val="15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>1970s: the cult of the youthful body</w:t>
      </w:r>
    </w:p>
    <w:p w:rsidR="004230CA" w:rsidRDefault="00D74A87" w:rsidP="009B4BE6">
      <w:pPr>
        <w:pStyle w:val="Body"/>
        <w:numPr>
          <w:ilvl w:val="1"/>
          <w:numId w:val="16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1980s: cyberpunk, </w:t>
      </w:r>
      <w:proofErr w:type="spellStart"/>
      <w:r>
        <w:rPr>
          <w:lang w:val="en-US"/>
        </w:rPr>
        <w:t>metabody</w:t>
      </w:r>
      <w:proofErr w:type="spellEnd"/>
      <w:r>
        <w:rPr>
          <w:lang w:val="en-US"/>
        </w:rPr>
        <w:t xml:space="preserve">, the </w:t>
      </w:r>
      <w:proofErr w:type="spellStart"/>
      <w:r>
        <w:rPr>
          <w:lang w:val="en-US"/>
        </w:rPr>
        <w:t>cyborg</w:t>
      </w:r>
      <w:proofErr w:type="spellEnd"/>
      <w:r>
        <w:rPr>
          <w:lang w:val="en-US"/>
        </w:rPr>
        <w:t xml:space="preserve"> (Donna </w:t>
      </w:r>
      <w:proofErr w:type="spellStart"/>
      <w:r>
        <w:rPr>
          <w:lang w:val="en-US"/>
        </w:rPr>
        <w:t>Haraway</w:t>
      </w:r>
      <w:proofErr w:type="spellEnd"/>
      <w:r>
        <w:rPr>
          <w:lang w:val="en-US"/>
        </w:rPr>
        <w:t>)</w:t>
      </w:r>
    </w:p>
    <w:p w:rsidR="004230CA" w:rsidRDefault="00D74A87" w:rsidP="009B4BE6">
      <w:pPr>
        <w:pStyle w:val="Body"/>
        <w:numPr>
          <w:ilvl w:val="1"/>
          <w:numId w:val="17"/>
        </w:numPr>
        <w:tabs>
          <w:tab w:val="num" w:pos="1410"/>
        </w:tabs>
        <w:spacing w:line="240" w:lineRule="auto"/>
        <w:ind w:left="1410" w:hanging="330"/>
        <w:rPr>
          <w:lang w:val="en-US"/>
        </w:rPr>
      </w:pPr>
      <w:r>
        <w:rPr>
          <w:lang w:val="en-US"/>
        </w:rPr>
        <w:t xml:space="preserve">1990s: bioengineering, GMOs, clones, </w:t>
      </w:r>
      <w:proofErr w:type="spellStart"/>
      <w:r>
        <w:rPr>
          <w:lang w:val="en-US"/>
        </w:rPr>
        <w:t>ARTificial</w:t>
      </w:r>
      <w:proofErr w:type="spellEnd"/>
      <w:r>
        <w:rPr>
          <w:lang w:val="en-US"/>
        </w:rPr>
        <w:t xml:space="preserve"> body, devolution?</w:t>
      </w:r>
    </w:p>
    <w:p w:rsidR="004230CA" w:rsidRDefault="00D74A87" w:rsidP="009B4BE6">
      <w:pPr>
        <w:pStyle w:val="Heading"/>
        <w:numPr>
          <w:ilvl w:val="0"/>
          <w:numId w:val="23"/>
        </w:numPr>
        <w:rPr>
          <w:lang w:val="fr-FR"/>
        </w:rPr>
      </w:pPr>
      <w:bookmarkStart w:id="7" w:name="_Toc3"/>
      <w:bookmarkStart w:id="8" w:name="_Toc416640468"/>
      <w:r>
        <w:rPr>
          <w:rFonts w:eastAsia="Arial Unicode MS" w:hAnsi="Arial Unicode MS" w:cs="Arial Unicode MS"/>
          <w:lang w:val="en-US"/>
        </w:rPr>
        <w:t>Some categories of examination:</w:t>
      </w:r>
      <w:bookmarkEnd w:id="7"/>
      <w:bookmarkEnd w:id="8"/>
    </w:p>
    <w:p w:rsidR="004230CA" w:rsidRDefault="00D74A87">
      <w:pPr>
        <w:pStyle w:val="Body"/>
        <w:rPr>
          <w:lang w:val="fr-FR"/>
        </w:rPr>
      </w:pPr>
      <w:proofErr w:type="spellStart"/>
      <w:r>
        <w:rPr>
          <w:rFonts w:eastAsia="Arial Unicode MS" w:hAnsi="Arial Unicode MS" w:cs="Arial Unicode MS"/>
          <w:lang w:val="fr-FR"/>
        </w:rPr>
        <w:t>Gender</w:t>
      </w:r>
      <w:proofErr w:type="spellEnd"/>
      <w:r>
        <w:rPr>
          <w:rFonts w:eastAsia="Arial Unicode MS" w:hAnsi="Arial Unicode MS" w:cs="Arial Unicode MS"/>
          <w:lang w:val="fr-FR"/>
        </w:rPr>
        <w:t xml:space="preserve">, race, </w:t>
      </w:r>
      <w:proofErr w:type="spellStart"/>
      <w:r>
        <w:rPr>
          <w:rFonts w:eastAsia="Arial Unicode MS" w:hAnsi="Arial Unicode MS" w:cs="Arial Unicode MS"/>
          <w:lang w:val="fr-FR"/>
        </w:rPr>
        <w:t>age</w:t>
      </w:r>
      <w:proofErr w:type="spellEnd"/>
      <w:r>
        <w:rPr>
          <w:rFonts w:eastAsia="Arial Unicode MS" w:hAnsi="Arial Unicode MS" w:cs="Arial Unicode MS"/>
          <w:lang w:val="fr-FR"/>
        </w:rPr>
        <w:t xml:space="preserve">, class, </w:t>
      </w:r>
      <w:proofErr w:type="spellStart"/>
      <w:r>
        <w:rPr>
          <w:rFonts w:eastAsia="Arial Unicode MS" w:hAnsi="Arial Unicode MS" w:cs="Arial Unicode MS"/>
          <w:lang w:val="fr-FR"/>
        </w:rPr>
        <w:t>politic</w:t>
      </w:r>
      <w:proofErr w:type="spellEnd"/>
      <w:r>
        <w:rPr>
          <w:rFonts w:eastAsia="Arial Unicode MS" w:hAnsi="Arial Unicode MS" w:cs="Arial Unicode MS"/>
          <w:lang w:val="fr-FR"/>
        </w:rPr>
        <w:t xml:space="preserve">, condition, </w:t>
      </w:r>
      <w:proofErr w:type="spellStart"/>
      <w:r>
        <w:rPr>
          <w:rFonts w:eastAsia="Arial Unicode MS" w:hAnsi="Arial Unicode MS" w:cs="Arial Unicode MS"/>
          <w:lang w:val="fr-FR"/>
        </w:rPr>
        <w:t>sex</w:t>
      </w:r>
      <w:proofErr w:type="spellEnd"/>
      <w:r>
        <w:rPr>
          <w:rFonts w:eastAsia="Arial Unicode MS" w:hAnsi="Arial Unicode MS" w:cs="Arial Unicode MS"/>
          <w:lang w:val="fr-FR"/>
        </w:rPr>
        <w:t>/</w:t>
      </w:r>
      <w:proofErr w:type="spellStart"/>
      <w:r>
        <w:rPr>
          <w:rFonts w:eastAsia="Arial Unicode MS" w:hAnsi="Arial Unicode MS" w:cs="Arial Unicode MS"/>
          <w:lang w:val="fr-FR"/>
        </w:rPr>
        <w:t>uality</w:t>
      </w:r>
      <w:proofErr w:type="spellEnd"/>
      <w:r>
        <w:rPr>
          <w:rFonts w:eastAsia="Arial Unicode MS" w:hAnsi="Arial Unicode MS" w:cs="Arial Unicode MS"/>
          <w:lang w:val="fr-FR"/>
        </w:rPr>
        <w:t xml:space="preserve">, relation to </w:t>
      </w:r>
      <w:proofErr w:type="spellStart"/>
      <w:r>
        <w:rPr>
          <w:rFonts w:eastAsia="Arial Unicode MS" w:hAnsi="Arial Unicode MS" w:cs="Arial Unicode MS"/>
          <w:lang w:val="fr-FR"/>
        </w:rPr>
        <w:t>other</w:t>
      </w:r>
      <w:proofErr w:type="spellEnd"/>
      <w:r>
        <w:rPr>
          <w:rFonts w:eastAsia="Arial Unicode MS" w:hAnsi="Arial Unicode MS" w:cs="Arial Unicode MS"/>
          <w:lang w:val="fr-FR"/>
        </w:rPr>
        <w:t xml:space="preserve"> </w:t>
      </w:r>
      <w:proofErr w:type="spellStart"/>
      <w:r>
        <w:rPr>
          <w:rFonts w:eastAsia="Arial Unicode MS" w:hAnsi="Arial Unicode MS" w:cs="Arial Unicode MS"/>
          <w:lang w:val="fr-FR"/>
        </w:rPr>
        <w:t>human</w:t>
      </w:r>
      <w:proofErr w:type="spellEnd"/>
      <w:r>
        <w:rPr>
          <w:rFonts w:eastAsia="Arial Unicode MS" w:hAnsi="Arial Unicode MS" w:cs="Arial Unicode MS"/>
          <w:lang w:val="fr-FR"/>
        </w:rPr>
        <w:t>(</w:t>
      </w:r>
      <w:proofErr w:type="spellStart"/>
      <w:r>
        <w:rPr>
          <w:rFonts w:eastAsia="Arial Unicode MS" w:hAnsi="Arial Unicode MS" w:cs="Arial Unicode MS"/>
          <w:lang w:val="fr-FR"/>
        </w:rPr>
        <w:t>oid</w:t>
      </w:r>
      <w:proofErr w:type="spellEnd"/>
      <w:r>
        <w:rPr>
          <w:rFonts w:eastAsia="Arial Unicode MS" w:hAnsi="Arial Unicode MS" w:cs="Arial Unicode MS"/>
          <w:lang w:val="fr-FR"/>
        </w:rPr>
        <w:t xml:space="preserve">)s/ </w:t>
      </w:r>
      <w:proofErr w:type="spellStart"/>
      <w:r>
        <w:rPr>
          <w:rFonts w:eastAsia="Arial Unicode MS" w:hAnsi="Arial Unicode MS" w:cs="Arial Unicode MS"/>
          <w:lang w:val="fr-FR"/>
        </w:rPr>
        <w:t>animals</w:t>
      </w:r>
      <w:proofErr w:type="spellEnd"/>
      <w:r>
        <w:rPr>
          <w:rFonts w:eastAsia="Arial Unicode MS" w:hAnsi="Arial Unicode MS" w:cs="Arial Unicode MS"/>
          <w:lang w:val="fr-FR"/>
        </w:rPr>
        <w:t xml:space="preserve">/ </w:t>
      </w:r>
      <w:proofErr w:type="spellStart"/>
      <w:r>
        <w:rPr>
          <w:rFonts w:eastAsia="Arial Unicode MS" w:hAnsi="Arial Unicode MS" w:cs="Arial Unicode MS"/>
          <w:lang w:val="fr-FR"/>
        </w:rPr>
        <w:t>inanimates</w:t>
      </w:r>
      <w:proofErr w:type="spellEnd"/>
      <w:r>
        <w:rPr>
          <w:rFonts w:eastAsia="Arial Unicode MS" w:hAnsi="Arial Unicode MS" w:cs="Arial Unicode MS"/>
          <w:lang w:val="fr-FR"/>
        </w:rPr>
        <w:t xml:space="preserve">/ </w:t>
      </w:r>
      <w:proofErr w:type="spellStart"/>
      <w:r>
        <w:rPr>
          <w:rFonts w:eastAsia="Arial Unicode MS" w:hAnsi="Arial Unicode MS" w:cs="Arial Unicode MS"/>
          <w:lang w:val="fr-FR"/>
        </w:rPr>
        <w:t>mind</w:t>
      </w:r>
      <w:proofErr w:type="spellEnd"/>
      <w:r>
        <w:rPr>
          <w:rFonts w:eastAsia="Arial Unicode MS" w:hAnsi="Arial Unicode MS" w:cs="Arial Unicode MS"/>
          <w:lang w:val="fr-FR"/>
        </w:rPr>
        <w:t xml:space="preserve"> and soul/micro- and macro-verse (pro-)</w:t>
      </w:r>
      <w:proofErr w:type="spellStart"/>
      <w:r>
        <w:rPr>
          <w:rFonts w:eastAsia="Arial Unicode MS" w:hAnsi="Arial Unicode MS" w:cs="Arial Unicode MS"/>
          <w:lang w:val="fr-FR"/>
        </w:rPr>
        <w:t>creation</w:t>
      </w:r>
      <w:proofErr w:type="spellEnd"/>
      <w:r>
        <w:rPr>
          <w:rFonts w:eastAsia="Arial Unicode MS" w:hAnsi="Arial Unicode MS" w:cs="Arial Unicode MS"/>
          <w:lang w:val="fr-FR"/>
        </w:rPr>
        <w:t xml:space="preserve">, </w:t>
      </w:r>
      <w:proofErr w:type="spellStart"/>
      <w:r>
        <w:rPr>
          <w:rFonts w:eastAsia="Arial Unicode MS" w:hAnsi="Arial Unicode MS" w:cs="Arial Unicode MS"/>
          <w:lang w:val="fr-FR"/>
        </w:rPr>
        <w:t>disease</w:t>
      </w:r>
      <w:proofErr w:type="spellEnd"/>
      <w:r>
        <w:rPr>
          <w:rFonts w:eastAsia="Arial Unicode MS" w:hAnsi="Arial Unicode MS" w:cs="Arial Unicode MS"/>
          <w:lang w:val="fr-FR"/>
        </w:rPr>
        <w:t xml:space="preserve">, </w:t>
      </w:r>
      <w:proofErr w:type="spellStart"/>
      <w:r>
        <w:rPr>
          <w:rFonts w:eastAsia="Arial Unicode MS" w:hAnsi="Arial Unicode MS" w:cs="Arial Unicode MS"/>
          <w:lang w:val="fr-FR"/>
        </w:rPr>
        <w:t>disability</w:t>
      </w:r>
      <w:proofErr w:type="spellEnd"/>
      <w:r>
        <w:rPr>
          <w:rFonts w:eastAsia="Arial Unicode MS" w:hAnsi="Arial Unicode MS" w:cs="Arial Unicode MS"/>
          <w:lang w:val="fr-FR"/>
        </w:rPr>
        <w:t xml:space="preserve">, </w:t>
      </w:r>
      <w:proofErr w:type="spellStart"/>
      <w:r>
        <w:rPr>
          <w:rFonts w:eastAsia="Arial Unicode MS" w:hAnsi="Arial Unicode MS" w:cs="Arial Unicode MS"/>
          <w:lang w:val="fr-FR"/>
        </w:rPr>
        <w:t>mortality</w:t>
      </w:r>
      <w:proofErr w:type="spellEnd"/>
      <w:r>
        <w:rPr>
          <w:rFonts w:eastAsia="Arial Unicode MS" w:hAnsi="Arial Unicode MS" w:cs="Arial Unicode MS"/>
          <w:lang w:val="fr-FR"/>
        </w:rPr>
        <w:t>, (</w:t>
      </w:r>
      <w:proofErr w:type="spellStart"/>
      <w:r>
        <w:rPr>
          <w:rFonts w:eastAsia="Arial Unicode MS" w:hAnsi="Arial Unicode MS" w:cs="Arial Unicode MS"/>
          <w:lang w:val="fr-FR"/>
        </w:rPr>
        <w:t>meta</w:t>
      </w:r>
      <w:proofErr w:type="spellEnd"/>
      <w:r>
        <w:rPr>
          <w:rFonts w:eastAsia="Arial Unicode MS" w:hAnsi="Arial Unicode MS" w:cs="Arial Unicode MS"/>
          <w:lang w:val="fr-FR"/>
        </w:rPr>
        <w:t xml:space="preserve">-) </w:t>
      </w:r>
      <w:proofErr w:type="spellStart"/>
      <w:r>
        <w:rPr>
          <w:rFonts w:eastAsia="Arial Unicode MS" w:hAnsi="Arial Unicode MS" w:cs="Arial Unicode MS"/>
          <w:lang w:val="fr-FR"/>
        </w:rPr>
        <w:t>physicality</w:t>
      </w:r>
      <w:proofErr w:type="spellEnd"/>
      <w:r>
        <w:rPr>
          <w:rFonts w:eastAsia="Arial Unicode MS" w:hAnsi="Arial Unicode MS" w:cs="Arial Unicode MS"/>
          <w:lang w:val="fr-FR"/>
        </w:rPr>
        <w:t xml:space="preserve">, </w:t>
      </w:r>
      <w:r>
        <w:rPr>
          <w:rFonts w:ascii="Arial Unicode MS" w:eastAsia="Arial Unicode MS" w:cs="Arial Unicode MS"/>
          <w:lang w:val="fr-FR"/>
        </w:rPr>
        <w:t>“</w:t>
      </w:r>
      <w:proofErr w:type="spellStart"/>
      <w:r>
        <w:rPr>
          <w:rFonts w:eastAsia="Arial Unicode MS" w:hAnsi="Arial Unicode MS" w:cs="Arial Unicode MS"/>
          <w:lang w:val="fr-FR"/>
        </w:rPr>
        <w:t>Otherness</w:t>
      </w:r>
      <w:proofErr w:type="spellEnd"/>
      <w:r>
        <w:rPr>
          <w:rFonts w:eastAsia="Arial Unicode MS" w:hAnsi="Arial Unicode MS" w:cs="Arial Unicode MS"/>
          <w:lang w:val="fr-FR"/>
        </w:rPr>
        <w:t>,</w:t>
      </w:r>
      <w:r>
        <w:rPr>
          <w:rFonts w:ascii="Arial Unicode MS" w:eastAsia="Arial Unicode MS" w:cs="Arial Unicode MS"/>
          <w:lang w:val="fr-FR"/>
        </w:rPr>
        <w:t>”</w:t>
      </w:r>
      <w:r>
        <w:rPr>
          <w:rFonts w:ascii="Arial Unicode MS" w:eastAsia="Arial Unicode MS" w:cs="Arial Unicode MS"/>
          <w:lang w:val="fr-FR"/>
        </w:rPr>
        <w:t xml:space="preserve"> </w:t>
      </w:r>
      <w:r>
        <w:rPr>
          <w:rFonts w:eastAsia="Arial Unicode MS" w:hAnsi="Arial Unicode MS" w:cs="Arial Unicode MS"/>
          <w:lang w:val="fr-FR"/>
        </w:rPr>
        <w:t>mutation, post-</w:t>
      </w:r>
      <w:proofErr w:type="spellStart"/>
      <w:r>
        <w:rPr>
          <w:rFonts w:eastAsia="Arial Unicode MS" w:hAnsi="Arial Unicode MS" w:cs="Arial Unicode MS"/>
          <w:lang w:val="fr-FR"/>
        </w:rPr>
        <w:t>bodily</w:t>
      </w:r>
      <w:proofErr w:type="spellEnd"/>
      <w:r>
        <w:rPr>
          <w:rFonts w:eastAsia="Arial Unicode MS" w:hAnsi="Arial Unicode MS" w:cs="Arial Unicode MS"/>
          <w:lang w:val="fr-FR"/>
        </w:rPr>
        <w:t xml:space="preserve"> states, </w:t>
      </w:r>
      <w:proofErr w:type="spellStart"/>
      <w:r>
        <w:rPr>
          <w:rFonts w:eastAsia="Arial Unicode MS" w:hAnsi="Arial Unicode MS" w:cs="Arial Unicode MS"/>
          <w:lang w:val="fr-FR"/>
        </w:rPr>
        <w:t>textualization</w:t>
      </w:r>
      <w:proofErr w:type="spellEnd"/>
    </w:p>
    <w:p w:rsidR="004230CA" w:rsidRDefault="004230CA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331658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EE7EA1">
        <w:rPr>
          <w:rFonts w:eastAsia="Arial Unicode MS" w:hAnsi="Arial Unicode MS" w:cs="Arial Unicode MS"/>
        </w:rPr>
        <w:t>.0</w:t>
      </w:r>
      <w:r w:rsidRPr="00450D0F">
        <w:rPr>
          <w:rFonts w:eastAsia="Arial Unicode MS" w:hAnsi="Arial Unicode MS" w:cs="Arial Unicode MS"/>
          <w:color w:val="auto"/>
          <w:u w:color="FF0000"/>
        </w:rPr>
        <w:t xml:space="preserve">  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 w:rsidRPr="00EE7EA1">
        <w:rPr>
          <w:rFonts w:eastAsia="Arial Unicode MS" w:hAnsi="Arial Unicode MS" w:cs="Arial Unicode MS"/>
          <w:lang w:val="en-US"/>
        </w:rPr>
        <w:t>Copyright</w:t>
      </w:r>
      <w:r w:rsidRPr="00EE7EA1">
        <w:rPr>
          <w:rFonts w:eastAsia="Arial Unicode MS" w:hAnsi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Εθνικόν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και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Καποδιστριακόν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Πανεπιστήμιον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Αθηνών</w:t>
      </w:r>
      <w:r w:rsidRPr="00EE7EA1">
        <w:rPr>
          <w:rFonts w:eastAsia="Arial Unicode MS" w:hAnsi="Arial Unicode MS" w:cs="Arial Unicode MS"/>
        </w:rPr>
        <w:t xml:space="preserve">, </w:t>
      </w:r>
      <w:r w:rsidRPr="00EE7EA1">
        <w:rPr>
          <w:rFonts w:ascii="Arial Unicode MS" w:eastAsia="Arial Unicode MS" w:cs="Arial Unicode MS"/>
          <w:u w:color="FF0000"/>
        </w:rPr>
        <w:t>Χριστίνα</w:t>
      </w:r>
      <w:r w:rsidRPr="00EE7EA1">
        <w:rPr>
          <w:rFonts w:ascii="Arial Unicode MS" w:eastAsia="Arial Unicode MS" w:cs="Arial Unicode MS"/>
          <w:u w:color="FF0000"/>
        </w:rPr>
        <w:t xml:space="preserve"> </w:t>
      </w:r>
      <w:r w:rsidRPr="00EE7EA1">
        <w:rPr>
          <w:rFonts w:ascii="Arial Unicode MS" w:eastAsia="Arial Unicode MS" w:cs="Arial Unicode MS"/>
          <w:u w:color="FF0000"/>
        </w:rPr>
        <w:t>Ντόκου</w:t>
      </w:r>
      <w:r w:rsidRPr="00EE7EA1">
        <w:rPr>
          <w:rFonts w:eastAsia="Arial Unicode MS" w:hAnsi="Arial Unicode MS" w:cs="Arial Unicode MS"/>
          <w:u w:color="FF0000"/>
        </w:rPr>
        <w:t>,</w:t>
      </w:r>
      <w:r w:rsidRPr="00EE7EA1">
        <w:rPr>
          <w:rFonts w:eastAsia="Arial Unicode MS" w:hAnsi="Arial Unicode MS" w:cs="Arial Unicode MS"/>
        </w:rPr>
        <w:t xml:space="preserve"> </w:t>
      </w:r>
      <w:r w:rsidRPr="00EE7EA1">
        <w:rPr>
          <w:rFonts w:eastAsia="Arial Unicode MS" w:hAnsi="Arial Unicode MS" w:cs="Arial Unicode MS"/>
          <w:u w:color="FF0000"/>
        </w:rPr>
        <w:t>2014.</w:t>
      </w:r>
      <w:r w:rsidRPr="00EE7EA1">
        <w:rPr>
          <w:rFonts w:eastAsia="Arial Unicode MS" w:hAnsi="Arial Unicode MS" w:cs="Arial Unicode MS"/>
        </w:rPr>
        <w:t xml:space="preserve"> </w:t>
      </w:r>
      <w:r w:rsidRPr="00EE7EA1">
        <w:rPr>
          <w:rFonts w:ascii="Arial Unicode MS" w:eastAsia="Arial Unicode MS" w:cs="Arial Unicode MS"/>
          <w:u w:color="FF0000"/>
        </w:rPr>
        <w:t>Χριστίνα</w:t>
      </w:r>
      <w:r w:rsidRPr="00EE7EA1">
        <w:rPr>
          <w:rFonts w:ascii="Arial Unicode MS" w:eastAsia="Arial Unicode MS" w:cs="Arial Unicode MS"/>
          <w:u w:color="FF0000"/>
        </w:rPr>
        <w:t xml:space="preserve"> </w:t>
      </w:r>
      <w:proofErr w:type="spellStart"/>
      <w:r w:rsidRPr="00EE7EA1">
        <w:rPr>
          <w:rFonts w:ascii="Arial Unicode MS" w:eastAsia="Arial Unicode MS" w:cs="Arial Unicode MS"/>
          <w:u w:color="FF0000"/>
        </w:rPr>
        <w:t>Ντόκου</w:t>
      </w:r>
      <w:proofErr w:type="spellEnd"/>
      <w:r w:rsidRPr="00EE7EA1">
        <w:rPr>
          <w:rFonts w:eastAsia="Arial Unicode MS" w:hAnsi="Arial Unicode MS" w:cs="Arial Unicode MS"/>
          <w:u w:color="FF0000"/>
        </w:rPr>
        <w:t xml:space="preserve"> </w:t>
      </w:r>
      <w:r w:rsidRPr="00EE7EA1">
        <w:rPr>
          <w:rFonts w:ascii="Arial Unicode MS" w:eastAsia="Arial Unicode MS" w:cs="Arial Unicode MS"/>
          <w:lang w:val="fr-FR"/>
        </w:rPr>
        <w:t>«</w:t>
      </w:r>
      <w:r w:rsidRPr="00EE7EA1">
        <w:rPr>
          <w:rFonts w:eastAsia="Arial Unicode MS" w:hAnsi="Arial Unicode MS" w:cs="Arial Unicode MS"/>
          <w:u w:color="FF0000"/>
          <w:lang w:val="en-US"/>
        </w:rPr>
        <w:t>Bodily</w:t>
      </w:r>
      <w:r w:rsidRPr="00EE7EA1">
        <w:rPr>
          <w:rFonts w:eastAsia="Arial Unicode MS" w:hAnsi="Arial Unicode MS" w:cs="Arial Unicode MS"/>
          <w:u w:color="FF0000"/>
        </w:rPr>
        <w:t xml:space="preserve"> </w:t>
      </w:r>
      <w:r w:rsidRPr="00EE7EA1">
        <w:rPr>
          <w:rFonts w:eastAsia="Arial Unicode MS" w:hAnsi="Arial Unicode MS" w:cs="Arial Unicode MS"/>
          <w:u w:color="FF0000"/>
          <w:lang w:val="en-US"/>
        </w:rPr>
        <w:t>Fictions</w:t>
      </w:r>
      <w:r w:rsidR="00EE7EA1" w:rsidRPr="00331658">
        <w:rPr>
          <w:rFonts w:eastAsia="Arial Unicode MS" w:hAnsi="Arial Unicode MS" w:cs="Arial Unicode MS"/>
          <w:u w:color="FF0000"/>
        </w:rPr>
        <w:t xml:space="preserve">, </w:t>
      </w:r>
      <w:r w:rsidR="00EE7EA1">
        <w:rPr>
          <w:rFonts w:eastAsia="Arial Unicode MS" w:hAnsi="Arial Unicode MS" w:cs="Arial Unicode MS"/>
          <w:u w:color="FF0000"/>
          <w:lang w:val="en-US"/>
        </w:rPr>
        <w:t>The</w:t>
      </w:r>
      <w:r w:rsidR="00EE7EA1" w:rsidRPr="00331658">
        <w:rPr>
          <w:rFonts w:eastAsia="Arial Unicode MS" w:hAnsi="Arial Unicode MS" w:cs="Arial Unicode MS"/>
          <w:u w:color="FF0000"/>
        </w:rPr>
        <w:t xml:space="preserve"> </w:t>
      </w:r>
      <w:r w:rsidR="00EE7EA1">
        <w:rPr>
          <w:rFonts w:eastAsia="Arial Unicode MS" w:hAnsi="Arial Unicode MS" w:cs="Arial Unicode MS"/>
          <w:u w:color="FF0000"/>
          <w:lang w:val="en-US"/>
        </w:rPr>
        <w:t>body</w:t>
      </w:r>
      <w:r w:rsidRPr="00EE7EA1">
        <w:rPr>
          <w:rFonts w:ascii="Arial Unicode MS" w:eastAsia="Arial Unicode MS" w:cs="Arial Unicode MS"/>
          <w:lang w:val="fr-FR"/>
        </w:rPr>
        <w:t>»</w:t>
      </w:r>
      <w:r w:rsidRPr="00EE7EA1">
        <w:rPr>
          <w:rFonts w:eastAsia="Arial Unicode MS" w:hAnsi="Arial Unicode MS" w:cs="Arial Unicode MS"/>
        </w:rPr>
        <w:t xml:space="preserve">. </w:t>
      </w:r>
      <w:r w:rsidRPr="00EE7EA1">
        <w:rPr>
          <w:rFonts w:ascii="Arial Unicode MS" w:eastAsia="Arial Unicode MS" w:cs="Arial Unicode MS"/>
        </w:rPr>
        <w:t>Έκδοση</w:t>
      </w:r>
      <w:r w:rsidRPr="00EE7EA1">
        <w:rPr>
          <w:rFonts w:eastAsia="Arial Unicode MS" w:hAnsi="Arial Unicode MS" w:cs="Arial Unicode MS"/>
        </w:rPr>
        <w:t xml:space="preserve">: 1.0. </w:t>
      </w:r>
      <w:r w:rsidRPr="00EE7EA1">
        <w:rPr>
          <w:rFonts w:ascii="Arial Unicode MS" w:eastAsia="Arial Unicode MS" w:cs="Arial Unicode MS"/>
        </w:rPr>
        <w:t>Αθήνα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eastAsia="Arial Unicode MS" w:hAnsi="Arial Unicode MS" w:cs="Arial Unicode MS"/>
        </w:rPr>
        <w:t xml:space="preserve">2014. </w:t>
      </w:r>
      <w:r w:rsidRPr="00EE7EA1">
        <w:rPr>
          <w:rFonts w:ascii="Arial Unicode MS" w:eastAsia="Arial Unicode MS" w:cs="Arial Unicode MS"/>
        </w:rPr>
        <w:t>Διαθέσιμο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από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τη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δικτυακή</w:t>
      </w:r>
      <w:r w:rsidRPr="00EE7EA1">
        <w:rPr>
          <w:rFonts w:ascii="Arial Unicode MS" w:eastAsia="Arial Unicode MS" w:cs="Arial Unicode MS"/>
        </w:rPr>
        <w:t xml:space="preserve"> </w:t>
      </w:r>
      <w:r w:rsidRPr="00EE7EA1">
        <w:rPr>
          <w:rFonts w:ascii="Arial Unicode MS" w:eastAsia="Arial Unicode MS" w:cs="Arial Unicode MS"/>
        </w:rPr>
        <w:t>διεύθυνση</w:t>
      </w:r>
      <w:r w:rsidRPr="00EE7EA1">
        <w:rPr>
          <w:rFonts w:eastAsia="Arial Unicode MS" w:hAnsi="Arial Unicode MS" w:cs="Arial Unicode MS"/>
        </w:rPr>
        <w:t xml:space="preserve">: </w:t>
      </w:r>
      <w:r w:rsidR="00F33BAE" w:rsidRPr="00EE7EA1">
        <w:rPr>
          <w:rFonts w:ascii="Arial Unicode MS" w:eastAsia="Arial Unicode MS" w:cs="Arial Unicode MS"/>
          <w:color w:val="auto"/>
          <w:u w:color="FF0000"/>
        </w:rPr>
        <w:t>http://opencourses.uoa.gr/courses/ENL2/</w:t>
      </w:r>
      <w:r w:rsidR="00331658" w:rsidRPr="00331658">
        <w:rPr>
          <w:rFonts w:ascii="Arial Unicode MS" w:eastAsia="Arial Unicode MS" w:cs="Arial Unicode MS"/>
          <w:color w:val="auto"/>
          <w:u w:color="FF0000"/>
        </w:rPr>
        <w:t xml:space="preserve"> </w:t>
      </w:r>
      <w:r w:rsidRPr="00EE7EA1">
        <w:rPr>
          <w:rFonts w:eastAsia="Arial Unicode MS" w:hAnsi="Arial Unicode MS" w:cs="Arial Unicode MS"/>
          <w:color w:val="auto"/>
          <w:u w:color="FF0000"/>
        </w:rPr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proofErr w:type="spellStart"/>
      <w:r>
        <w:rPr>
          <w:rFonts w:eastAsia="Arial Unicode MS" w:hAnsi="Arial Unicode MS" w:cs="Arial Unicode MS"/>
          <w:lang w:val="en-US"/>
        </w:rPr>
        <w:t>creativecommons</w:t>
      </w:r>
      <w:proofErr w:type="spellEnd"/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nc</w:t>
      </w:r>
      <w:proofErr w:type="spellEnd"/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sa</w:t>
      </w:r>
      <w:proofErr w:type="spellEnd"/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Default="00D74A87" w:rsidP="009B4BE6">
      <w:pPr>
        <w:pStyle w:val="a4"/>
        <w:numPr>
          <w:ilvl w:val="0"/>
          <w:numId w:val="20"/>
        </w:numPr>
      </w:pPr>
      <w:r>
        <w:t>που</w:t>
      </w:r>
      <w:r>
        <w:t xml:space="preserve"> </w:t>
      </w:r>
      <w:r>
        <w:t>δεν</w:t>
      </w:r>
      <w:r>
        <w:t xml:space="preserve"> </w:t>
      </w:r>
      <w:r>
        <w:t>περιλαμβάνει</w:t>
      </w:r>
      <w:r>
        <w:t xml:space="preserve"> </w:t>
      </w:r>
      <w:r>
        <w:t>άμεσο</w:t>
      </w:r>
      <w:r>
        <w:t xml:space="preserve"> </w:t>
      </w:r>
      <w:r>
        <w:t>ή</w:t>
      </w:r>
      <w:r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χρήση</w:t>
      </w:r>
      <w:r>
        <w:t xml:space="preserve"> </w:t>
      </w:r>
      <w:r>
        <w:t>του</w:t>
      </w:r>
      <w:r>
        <w:t xml:space="preserve"> </w:t>
      </w:r>
      <w:r>
        <w:t>έργου</w:t>
      </w:r>
      <w:r w:rsidRPr="00331658">
        <w:rPr>
          <w:rFonts w:ascii="Arial"/>
        </w:rPr>
        <w:t xml:space="preserve">,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>
        <w:t xml:space="preserve"> </w:t>
      </w:r>
      <w:r>
        <w:t>αδειοδόχο</w:t>
      </w:r>
    </w:p>
    <w:p w:rsidR="004230CA" w:rsidRDefault="00D74A87" w:rsidP="009B4BE6">
      <w:pPr>
        <w:pStyle w:val="a4"/>
        <w:numPr>
          <w:ilvl w:val="0"/>
          <w:numId w:val="20"/>
        </w:numPr>
      </w:pPr>
      <w:r>
        <w:t>που δεν</w:t>
      </w:r>
      <w:r>
        <w:t xml:space="preserve"> </w:t>
      </w:r>
      <w:r>
        <w:t>περιλαμβάνει</w:t>
      </w:r>
      <w:r>
        <w:t xml:space="preserve"> </w:t>
      </w:r>
      <w:r>
        <w:t>οικονομική</w:t>
      </w:r>
      <w:r>
        <w:t xml:space="preserve"> </w:t>
      </w:r>
      <w:r>
        <w:t>συναλλαγή</w:t>
      </w:r>
      <w:r>
        <w:t xml:space="preserve"> </w:t>
      </w:r>
      <w:r>
        <w:t>ως</w:t>
      </w:r>
      <w:r>
        <w:t xml:space="preserve"> </w:t>
      </w:r>
      <w:r>
        <w:t>προϋπόθεση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ή</w:t>
      </w:r>
      <w:r>
        <w:t xml:space="preserve"> </w:t>
      </w:r>
      <w:r>
        <w:t>πρόσβαση</w:t>
      </w:r>
      <w:r>
        <w:t xml:space="preserve"> </w:t>
      </w:r>
      <w:r>
        <w:t>στο</w:t>
      </w:r>
      <w:r>
        <w:t xml:space="preserve"> </w:t>
      </w:r>
      <w:r>
        <w:t>έργο</w:t>
      </w:r>
    </w:p>
    <w:p w:rsidR="004230CA" w:rsidRDefault="00D74A87" w:rsidP="009B4BE6">
      <w:pPr>
        <w:pStyle w:val="a4"/>
        <w:numPr>
          <w:ilvl w:val="0"/>
          <w:numId w:val="20"/>
        </w:numPr>
      </w:pPr>
      <w:r>
        <w:t>που δεν</w:t>
      </w:r>
      <w:r>
        <w:t xml:space="preserve"> </w:t>
      </w:r>
      <w:r>
        <w:t>προσπορίζει</w:t>
      </w:r>
      <w:r>
        <w:t xml:space="preserve"> </w:t>
      </w:r>
      <w:r>
        <w:t>στο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 w:rsidR="00450D0F" w:rsidRPr="00450D0F">
        <w:t xml:space="preserve"> </w:t>
      </w:r>
      <w:r>
        <w:t>αδειοδόχο</w:t>
      </w:r>
      <w:r w:rsidR="00450D0F" w:rsidRPr="00450D0F"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 w:rsidRPr="00331658">
        <w:rPr>
          <w:rFonts w:ascii="Arial"/>
        </w:rPr>
        <w:t>(</w:t>
      </w:r>
      <w:r>
        <w:t>π</w:t>
      </w:r>
      <w:r w:rsidRPr="00331658">
        <w:rPr>
          <w:rFonts w:ascii="Arial"/>
        </w:rPr>
        <w:t>.</w:t>
      </w:r>
      <w:r>
        <w:t>χ</w:t>
      </w:r>
      <w:r w:rsidRPr="00331658">
        <w:rPr>
          <w:rFonts w:ascii="Arial"/>
        </w:rPr>
        <w:t xml:space="preserve">. </w:t>
      </w:r>
      <w:r>
        <w:t>διαφημίσεις</w:t>
      </w:r>
      <w:r w:rsidRPr="00331658">
        <w:rPr>
          <w:rFonts w:ascii="Arial"/>
        </w:rPr>
        <w:t xml:space="preserve">)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προβολή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σε</w:t>
      </w:r>
      <w:r>
        <w:t xml:space="preserve"> </w:t>
      </w:r>
      <w:r>
        <w:t>διαδικτυακό</w:t>
      </w:r>
      <w:r>
        <w:t xml:space="preserve"> </w:t>
      </w:r>
      <w:r>
        <w:t>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Default="00D74A87" w:rsidP="009B4BE6">
      <w:pPr>
        <w:pStyle w:val="a4"/>
        <w:numPr>
          <w:ilvl w:val="0"/>
          <w:numId w:val="21"/>
        </w:numPr>
        <w:spacing w:after="120" w:line="240" w:lineRule="auto"/>
        <w:ind w:left="1077" w:hanging="357"/>
      </w:pPr>
      <w:r>
        <w:t>Οποιαδήποτε</w:t>
      </w:r>
      <w:r>
        <w:t xml:space="preserve"> </w:t>
      </w:r>
      <w:r>
        <w:t>αναπαραγωγή</w:t>
      </w:r>
      <w:r>
        <w:t xml:space="preserve"> </w:t>
      </w:r>
      <w:r>
        <w:t>ή</w:t>
      </w:r>
      <w:r>
        <w:t xml:space="preserve"> </w:t>
      </w:r>
      <w:r>
        <w:t>διασκευή</w:t>
      </w:r>
      <w:r>
        <w:t xml:space="preserve"> </w:t>
      </w:r>
      <w:r>
        <w:t>του</w:t>
      </w:r>
      <w:r>
        <w:t xml:space="preserve"> </w:t>
      </w:r>
      <w:r>
        <w:t>υλικού</w:t>
      </w:r>
      <w:r>
        <w:t xml:space="preserve"> </w:t>
      </w:r>
      <w:r>
        <w:t>θα</w:t>
      </w:r>
      <w:r>
        <w:t xml:space="preserve"> </w:t>
      </w:r>
      <w:r>
        <w:t>πρέπει</w:t>
      </w:r>
      <w:r>
        <w:t xml:space="preserve"> </w:t>
      </w:r>
      <w:r>
        <w:t>να</w:t>
      </w:r>
      <w:r>
        <w:t xml:space="preserve"> </w:t>
      </w:r>
      <w:r>
        <w:t>συμπεριλαμβάνει</w:t>
      </w:r>
      <w:r>
        <w:rPr>
          <w:rFonts w:ascii="Arial"/>
        </w:rPr>
        <w:t>:</w:t>
      </w:r>
    </w:p>
    <w:p w:rsidR="004230CA" w:rsidRDefault="00D74A87" w:rsidP="009B4BE6">
      <w:pPr>
        <w:pStyle w:val="a4"/>
        <w:numPr>
          <w:ilvl w:val="0"/>
          <w:numId w:val="21"/>
        </w:numPr>
        <w:spacing w:after="120" w:line="240" w:lineRule="auto"/>
        <w:ind w:left="1077" w:hanging="357"/>
      </w:pPr>
      <w:r>
        <w:lastRenderedPageBreak/>
        <w:t>το</w:t>
      </w:r>
      <w:r>
        <w:t xml:space="preserve"> </w:t>
      </w:r>
      <w:r>
        <w:t>Σημείωμα</w:t>
      </w:r>
      <w:r>
        <w:t xml:space="preserve"> </w:t>
      </w:r>
      <w:r>
        <w:t>Αναφοράς</w:t>
      </w:r>
    </w:p>
    <w:p w:rsidR="004230CA" w:rsidRDefault="00D74A87" w:rsidP="009B4BE6">
      <w:pPr>
        <w:pStyle w:val="a4"/>
        <w:numPr>
          <w:ilvl w:val="0"/>
          <w:numId w:val="21"/>
        </w:numPr>
        <w:spacing w:after="120" w:line="240" w:lineRule="auto"/>
        <w:ind w:left="1077" w:hanging="357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Αδειοδότησης</w:t>
      </w:r>
    </w:p>
    <w:p w:rsidR="004230CA" w:rsidRDefault="00D74A87" w:rsidP="009B4BE6">
      <w:pPr>
        <w:pStyle w:val="a4"/>
        <w:numPr>
          <w:ilvl w:val="0"/>
          <w:numId w:val="21"/>
        </w:numPr>
        <w:spacing w:after="120" w:line="240" w:lineRule="auto"/>
        <w:ind w:left="1077" w:hanging="357"/>
        <w:rPr>
          <w:lang w:val="en-US"/>
        </w:rPr>
      </w:pPr>
      <w:r>
        <w:t>τη</w:t>
      </w:r>
      <w:r>
        <w:t xml:space="preserve"> </w:t>
      </w:r>
      <w:r>
        <w:t>δήλωση</w:t>
      </w:r>
      <w:r>
        <w:t xml:space="preserve"> </w:t>
      </w:r>
      <w:r>
        <w:t>Διατήρησης</w:t>
      </w:r>
      <w:r>
        <w:t xml:space="preserve"> </w:t>
      </w:r>
      <w:r>
        <w:t>Σημειωμάτων</w:t>
      </w:r>
      <w:r>
        <w:rPr>
          <w:rFonts w:ascii="Arial"/>
          <w:lang w:val="en-US"/>
        </w:rPr>
        <w:t xml:space="preserve"> </w:t>
      </w:r>
    </w:p>
    <w:p w:rsidR="004230CA" w:rsidRDefault="00D74A87" w:rsidP="009B4BE6">
      <w:pPr>
        <w:pStyle w:val="a4"/>
        <w:numPr>
          <w:ilvl w:val="0"/>
          <w:numId w:val="21"/>
        </w:numPr>
        <w:spacing w:after="120" w:line="240" w:lineRule="auto"/>
        <w:ind w:left="1077" w:hanging="357"/>
      </w:pPr>
      <w:r>
        <w:t>το</w:t>
      </w:r>
      <w:r>
        <w:t xml:space="preserve"> </w:t>
      </w:r>
      <w:r>
        <w:t>Σημείωμα</w:t>
      </w:r>
      <w:r>
        <w:t xml:space="preserve"> </w:t>
      </w:r>
      <w:r>
        <w:t>Χρήσης</w:t>
      </w:r>
      <w:r>
        <w:t xml:space="preserve"> </w:t>
      </w:r>
      <w:r>
        <w:t>Έργων</w:t>
      </w:r>
      <w:r>
        <w:t xml:space="preserve"> </w:t>
      </w:r>
      <w:r>
        <w:t>Τρίτων</w:t>
      </w:r>
      <w:r>
        <w:t xml:space="preserve"> </w:t>
      </w:r>
      <w:r>
        <w:rPr>
          <w:rFonts w:ascii="Arial"/>
        </w:rPr>
        <w:t>(</w:t>
      </w:r>
      <w:r>
        <w:t>εφόσον</w:t>
      </w:r>
      <w:r>
        <w:t xml:space="preserve"> </w:t>
      </w:r>
      <w:r>
        <w:t>υπάρχει</w:t>
      </w:r>
      <w:r>
        <w:rPr>
          <w:rFonts w:ascii="Arial"/>
        </w:rPr>
        <w:t>)</w:t>
      </w:r>
    </w:p>
    <w:p w:rsidR="004230CA" w:rsidRDefault="00D74A87" w:rsidP="00331658">
      <w:pPr>
        <w:pStyle w:val="Body"/>
        <w:spacing w:after="120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υπερσυνδέσμους</w:t>
      </w:r>
      <w:r>
        <w:rPr>
          <w:rFonts w:eastAsia="Arial Unicode MS" w:hAnsi="Arial Unicode MS" w:cs="Arial Unicode MS"/>
        </w:rPr>
        <w:t>.</w:t>
      </w:r>
    </w:p>
    <w:p w:rsidR="004230CA" w:rsidRPr="002A4161" w:rsidRDefault="004230CA">
      <w:pPr>
        <w:pStyle w:val="Body"/>
      </w:pPr>
    </w:p>
    <w:p w:rsidR="004230CA" w:rsidRDefault="004230CA">
      <w:pPr>
        <w:pStyle w:val="Body"/>
        <w:jc w:val="center"/>
      </w:pPr>
    </w:p>
    <w:p w:rsidR="004230CA" w:rsidRPr="00331658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 w:rsidRPr="00331658">
        <w:rPr>
          <w:rFonts w:ascii="Arial Unicode MS" w:eastAsia="Arial Unicode MS" w:cs="Arial Unicode MS"/>
          <w:b/>
          <w:bCs/>
          <w:sz w:val="32"/>
          <w:szCs w:val="32"/>
        </w:rPr>
        <w:t>τοδότηση</w:t>
      </w:r>
    </w:p>
    <w:p w:rsidR="004230CA" w:rsidRDefault="00D74A87" w:rsidP="009B4BE6">
      <w:pPr>
        <w:pStyle w:val="Body"/>
        <w:numPr>
          <w:ilvl w:val="0"/>
          <w:numId w:val="22"/>
        </w:numPr>
      </w:pPr>
      <w:r>
        <w:t xml:space="preserve">Το παρόν εκπαιδευτικό υλικό έχει αναπτυχθεί </w:t>
      </w:r>
      <w:r w:rsidR="00450D0F">
        <w:t>στο</w:t>
      </w:r>
      <w:r>
        <w:t xml:space="preserve"> </w:t>
      </w:r>
      <w:r w:rsidR="00450D0F">
        <w:t>πλαίσιο</w:t>
      </w:r>
      <w:r>
        <w:t xml:space="preserve"> του εκπαιδευτικού έργου του διδάσκοντα.</w:t>
      </w:r>
    </w:p>
    <w:p w:rsidR="004230CA" w:rsidRDefault="00D74A87" w:rsidP="009B4BE6">
      <w:pPr>
        <w:pStyle w:val="Body"/>
        <w:numPr>
          <w:ilvl w:val="0"/>
          <w:numId w:val="22"/>
        </w:numPr>
      </w:pPr>
      <w:r>
        <w:t>Το έργο «</w:t>
      </w:r>
      <w:r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9B4BE6">
      <w:pPr>
        <w:pStyle w:val="Body"/>
        <w:numPr>
          <w:ilvl w:val="0"/>
          <w:numId w:val="22"/>
        </w:numPr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BE627A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0E" w:rsidRDefault="0060450E">
      <w:r>
        <w:separator/>
      </w:r>
    </w:p>
  </w:endnote>
  <w:endnote w:type="continuationSeparator" w:id="0">
    <w:p w:rsidR="0060450E" w:rsidRDefault="0060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61" w:rsidRDefault="002A4161" w:rsidP="000613E6">
    <w:pPr>
      <w:pStyle w:val="a3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>Σελίδα</w:t>
    </w:r>
    <w:r w:rsidRPr="006D1C8D">
      <w:rPr>
        <w:sz w:val="20"/>
        <w:szCs w:val="20"/>
      </w:rPr>
      <w:t xml:space="preserve">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:rsidR="002A4161" w:rsidRDefault="002A41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A" w:rsidRDefault="00D74A87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D5468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54685">
      <w:rPr>
        <w:sz w:val="20"/>
        <w:szCs w:val="20"/>
      </w:rPr>
      <w:fldChar w:fldCharType="separate"/>
    </w:r>
    <w:r w:rsidR="002A4161">
      <w:rPr>
        <w:noProof/>
        <w:sz w:val="20"/>
        <w:szCs w:val="20"/>
      </w:rPr>
      <w:t>4</w:t>
    </w:r>
    <w:r w:rsidR="00D5468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A" w:rsidRDefault="004230C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0E" w:rsidRDefault="0060450E">
      <w:r>
        <w:separator/>
      </w:r>
    </w:p>
  </w:footnote>
  <w:footnote w:type="continuationSeparator" w:id="0">
    <w:p w:rsidR="0060450E" w:rsidRDefault="0060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A" w:rsidRDefault="004230CA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CA" w:rsidRDefault="004230CA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C4"/>
    <w:multiLevelType w:val="hybridMultilevel"/>
    <w:tmpl w:val="C19E5C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">
    <w:nsid w:val="0DE8332A"/>
    <w:multiLevelType w:val="multilevel"/>
    <w:tmpl w:val="05FA931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3">
    <w:nsid w:val="11DB42FF"/>
    <w:multiLevelType w:val="multilevel"/>
    <w:tmpl w:val="D6B8CB6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4">
    <w:nsid w:val="15B97EDD"/>
    <w:multiLevelType w:val="multilevel"/>
    <w:tmpl w:val="642EB08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5">
    <w:nsid w:val="23F35044"/>
    <w:multiLevelType w:val="hybridMultilevel"/>
    <w:tmpl w:val="02A83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D4D63"/>
    <w:multiLevelType w:val="multilevel"/>
    <w:tmpl w:val="44001F4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7">
    <w:nsid w:val="297D4D39"/>
    <w:multiLevelType w:val="multilevel"/>
    <w:tmpl w:val="932EC1D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8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9">
    <w:nsid w:val="2B0C30C8"/>
    <w:multiLevelType w:val="hybridMultilevel"/>
    <w:tmpl w:val="A16AE7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622E8"/>
    <w:multiLevelType w:val="multilevel"/>
    <w:tmpl w:val="B496561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1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2F6D37AB"/>
    <w:multiLevelType w:val="hybridMultilevel"/>
    <w:tmpl w:val="A8567C2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467887"/>
    <w:multiLevelType w:val="hybridMultilevel"/>
    <w:tmpl w:val="6DDAB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">
    <w:nsid w:val="4AE32AC3"/>
    <w:multiLevelType w:val="hybridMultilevel"/>
    <w:tmpl w:val="66D44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61697C"/>
    <w:multiLevelType w:val="multilevel"/>
    <w:tmpl w:val="F8C2E8E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7">
    <w:nsid w:val="55295674"/>
    <w:multiLevelType w:val="multilevel"/>
    <w:tmpl w:val="C85E477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8">
    <w:nsid w:val="55987DA1"/>
    <w:multiLevelType w:val="multilevel"/>
    <w:tmpl w:val="C8C4C33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9">
    <w:nsid w:val="6E587288"/>
    <w:multiLevelType w:val="multilevel"/>
    <w:tmpl w:val="5032145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0">
    <w:nsid w:val="758F41DA"/>
    <w:multiLevelType w:val="multilevel"/>
    <w:tmpl w:val="107CA80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1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2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3">
    <w:nsid w:val="7B717586"/>
    <w:multiLevelType w:val="hybridMultilevel"/>
    <w:tmpl w:val="DB5CE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048B8"/>
    <w:multiLevelType w:val="multilevel"/>
    <w:tmpl w:val="F092BF3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5">
    <w:nsid w:val="7D2965B3"/>
    <w:multiLevelType w:val="multilevel"/>
    <w:tmpl w:val="C6E015F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10"/>
  </w:num>
  <w:num w:numId="8">
    <w:abstractNumId w:val="17"/>
  </w:num>
  <w:num w:numId="9">
    <w:abstractNumId w:val="20"/>
  </w:num>
  <w:num w:numId="10">
    <w:abstractNumId w:val="18"/>
  </w:num>
  <w:num w:numId="11">
    <w:abstractNumId w:val="24"/>
  </w:num>
  <w:num w:numId="12">
    <w:abstractNumId w:val="3"/>
  </w:num>
  <w:num w:numId="13">
    <w:abstractNumId w:val="25"/>
  </w:num>
  <w:num w:numId="14">
    <w:abstractNumId w:val="19"/>
  </w:num>
  <w:num w:numId="15">
    <w:abstractNumId w:val="4"/>
  </w:num>
  <w:num w:numId="16">
    <w:abstractNumId w:val="7"/>
  </w:num>
  <w:num w:numId="17">
    <w:abstractNumId w:val="1"/>
  </w:num>
  <w:num w:numId="18">
    <w:abstractNumId w:val="11"/>
  </w:num>
  <w:num w:numId="19">
    <w:abstractNumId w:val="22"/>
  </w:num>
  <w:num w:numId="20">
    <w:abstractNumId w:val="15"/>
  </w:num>
  <w:num w:numId="21">
    <w:abstractNumId w:val="12"/>
  </w:num>
  <w:num w:numId="22">
    <w:abstractNumId w:val="0"/>
  </w:num>
  <w:num w:numId="23">
    <w:abstractNumId w:val="9"/>
  </w:num>
  <w:num w:numId="24">
    <w:abstractNumId w:val="23"/>
  </w:num>
  <w:num w:numId="25">
    <w:abstractNumId w:val="5"/>
  </w:num>
  <w:num w:numId="26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2A4161"/>
    <w:rsid w:val="00331658"/>
    <w:rsid w:val="004230CA"/>
    <w:rsid w:val="00450D0F"/>
    <w:rsid w:val="0060450E"/>
    <w:rsid w:val="006A311B"/>
    <w:rsid w:val="009B4BE6"/>
    <w:rsid w:val="00BE627A"/>
    <w:rsid w:val="00C64EF6"/>
    <w:rsid w:val="00D54685"/>
    <w:rsid w:val="00D74A87"/>
    <w:rsid w:val="00EE7EA1"/>
    <w:rsid w:val="00F3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27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BE627A"/>
    <w:rPr>
      <w:u w:val="single"/>
    </w:rPr>
  </w:style>
  <w:style w:type="paragraph" w:customStyle="1" w:styleId="HeaderFooter">
    <w:name w:val="Header &amp; Footer"/>
    <w:rsid w:val="00BE627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link w:val="Char"/>
    <w:uiPriority w:val="99"/>
    <w:rsid w:val="00BE627A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BE627A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">
    <w:name w:val="toc 1"/>
    <w:uiPriority w:val="39"/>
    <w:rsid w:val="00BE627A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BE627A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BE627A"/>
    <w:pPr>
      <w:numPr>
        <w:numId w:val="1"/>
      </w:numPr>
    </w:pPr>
  </w:style>
  <w:style w:type="numbering" w:customStyle="1" w:styleId="Bullet">
    <w:name w:val="Bullet"/>
    <w:rsid w:val="00BE627A"/>
    <w:pPr>
      <w:numPr>
        <w:numId w:val="2"/>
      </w:numPr>
    </w:pPr>
  </w:style>
  <w:style w:type="numbering" w:customStyle="1" w:styleId="BulletBig">
    <w:name w:val="Bullet Big"/>
    <w:rsid w:val="00BE627A"/>
    <w:pPr>
      <w:numPr>
        <w:numId w:val="5"/>
      </w:numPr>
    </w:pPr>
  </w:style>
  <w:style w:type="numbering" w:customStyle="1" w:styleId="ImportedStyle2">
    <w:name w:val="Imported Style 2"/>
    <w:rsid w:val="00BE627A"/>
    <w:pPr>
      <w:numPr>
        <w:numId w:val="17"/>
      </w:numPr>
    </w:pPr>
  </w:style>
  <w:style w:type="paragraph" w:styleId="a4">
    <w:name w:val="List Paragraph"/>
    <w:rsid w:val="00BE627A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BE627A"/>
    <w:pPr>
      <w:numPr>
        <w:numId w:val="18"/>
      </w:numPr>
    </w:pPr>
  </w:style>
  <w:style w:type="numbering" w:customStyle="1" w:styleId="List1">
    <w:name w:val="List 1"/>
    <w:basedOn w:val="ImportedStyle4"/>
    <w:rsid w:val="00BE627A"/>
    <w:pPr>
      <w:numPr>
        <w:numId w:val="19"/>
      </w:numPr>
    </w:pPr>
  </w:style>
  <w:style w:type="numbering" w:customStyle="1" w:styleId="ImportedStyle4">
    <w:name w:val="Imported Style 4"/>
    <w:rsid w:val="00BE627A"/>
  </w:style>
  <w:style w:type="paragraph" w:styleId="a5">
    <w:name w:val="Balloon Text"/>
    <w:basedOn w:val="a"/>
    <w:link w:val="Char0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  <w:style w:type="character" w:customStyle="1" w:styleId="Char">
    <w:name w:val="Υποσέλιδο Char"/>
    <w:basedOn w:val="a0"/>
    <w:link w:val="a3"/>
    <w:uiPriority w:val="99"/>
    <w:rsid w:val="002A4161"/>
    <w:rPr>
      <w:rFonts w:ascii="Arial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Bullet">
    <w:name w:val="Bullet"/>
    <w:pPr>
      <w:numPr>
        <w:numId w:val="15"/>
      </w:numPr>
    </w:pPr>
  </w:style>
  <w:style w:type="numbering" w:customStyle="1" w:styleId="BulletBig">
    <w:name w:val="Bullet Big"/>
    <w:pPr>
      <w:numPr>
        <w:numId w:val="22"/>
      </w:numPr>
    </w:pPr>
  </w:style>
  <w:style w:type="numbering" w:customStyle="1" w:styleId="ImportedStyle2">
    <w:name w:val="Imported Style 2"/>
    <w:pPr>
      <w:numPr>
        <w:numId w:val="3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44"/>
      </w:numPr>
    </w:pPr>
  </w:style>
  <w:style w:type="numbering" w:customStyle="1" w:styleId="List1">
    <w:name w:val="List 1"/>
    <w:basedOn w:val="ImportedStyle4"/>
    <w:pPr>
      <w:numPr>
        <w:numId w:val="49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7</cp:revision>
  <dcterms:created xsi:type="dcterms:W3CDTF">2015-01-14T11:36:00Z</dcterms:created>
  <dcterms:modified xsi:type="dcterms:W3CDTF">2015-04-12T19:19:00Z</dcterms:modified>
</cp:coreProperties>
</file>