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31" w:type="dxa"/>
        <w:tblInd w:w="-108" w:type="dxa"/>
        <w:tblLayout w:type="fixed"/>
        <w:tblLook w:val="0000" w:firstRow="0" w:lastRow="0" w:firstColumn="0" w:lastColumn="0" w:noHBand="0" w:noVBand="0"/>
      </w:tblPr>
      <w:tblGrid>
        <w:gridCol w:w="1548"/>
        <w:gridCol w:w="8483"/>
      </w:tblGrid>
      <w:tr w:rsidR="00C57030" w14:paraId="40639C03" w14:textId="77777777" w:rsidTr="00D03033">
        <w:trPr>
          <w:trHeight w:val="1797"/>
        </w:trPr>
        <w:tc>
          <w:tcPr>
            <w:tcW w:w="1548" w:type="dxa"/>
            <w:shd w:val="clear" w:color="auto" w:fill="auto"/>
          </w:tcPr>
          <w:p w14:paraId="0B2BF11A" w14:textId="77777777" w:rsidR="00C57030" w:rsidRDefault="00602725">
            <w:pPr>
              <w:pStyle w:val="aa"/>
              <w:snapToGrid w:val="0"/>
              <w:ind w:right="-91"/>
              <w:jc w:val="left"/>
              <w:rPr>
                <w:rFonts w:ascii="Katsoulidis" w:hAnsi="Katsoulidis" w:cs="Katsoulidis"/>
                <w:b w:val="0"/>
                <w:spacing w:val="8"/>
                <w:lang w:val="en-US"/>
              </w:rPr>
            </w:pPr>
            <w:r>
              <w:rPr>
                <w:noProof/>
              </w:rPr>
              <w:drawing>
                <wp:anchor distT="0" distB="0" distL="114935" distR="114935" simplePos="0" relativeHeight="251657728" behindDoc="1" locked="0" layoutInCell="1" allowOverlap="1" wp14:anchorId="3375B2FC" wp14:editId="45603ADF">
                  <wp:simplePos x="0" y="0"/>
                  <wp:positionH relativeFrom="margin">
                    <wp:posOffset>-60960</wp:posOffset>
                  </wp:positionH>
                  <wp:positionV relativeFrom="paragraph">
                    <wp:posOffset>635</wp:posOffset>
                  </wp:positionV>
                  <wp:extent cx="625475" cy="899160"/>
                  <wp:effectExtent l="0" t="0" r="0" b="0"/>
                  <wp:wrapNone/>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l="8234" t="6346" r="13696" b="6346"/>
                          <a:stretch>
                            <a:fillRect/>
                          </a:stretch>
                        </pic:blipFill>
                        <pic:spPr bwMode="auto">
                          <a:xfrm>
                            <a:off x="0" y="0"/>
                            <a:ext cx="625475" cy="899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483" w:type="dxa"/>
            <w:shd w:val="clear" w:color="auto" w:fill="auto"/>
          </w:tcPr>
          <w:p w14:paraId="2FCD17E9" w14:textId="77777777" w:rsidR="00C57030" w:rsidRDefault="00C57030">
            <w:pPr>
              <w:pStyle w:val="aa"/>
              <w:snapToGrid w:val="0"/>
              <w:ind w:right="-91"/>
              <w:jc w:val="left"/>
              <w:rPr>
                <w:rFonts w:ascii="Katsoulidis" w:hAnsi="Katsoulidis" w:cs="Katsoulidis"/>
                <w:spacing w:val="8"/>
                <w:sz w:val="22"/>
                <w:lang w:val="en-US"/>
              </w:rPr>
            </w:pPr>
          </w:p>
          <w:p w14:paraId="6A1B1897" w14:textId="77777777" w:rsidR="00C57030" w:rsidRDefault="00602725">
            <w:pPr>
              <w:pStyle w:val="aa"/>
              <w:spacing w:after="80"/>
              <w:ind w:right="-91"/>
              <w:jc w:val="left"/>
              <w:rPr>
                <w:rFonts w:ascii="Cambria" w:hAnsi="Cambria" w:cs="Cambria"/>
                <w:spacing w:val="8"/>
                <w:sz w:val="22"/>
              </w:rPr>
            </w:pPr>
            <w:r>
              <w:rPr>
                <w:rFonts w:ascii="Cambria" w:hAnsi="Cambria" w:cs="Cambria"/>
                <w:b w:val="0"/>
                <w:spacing w:val="8"/>
                <w:sz w:val="22"/>
              </w:rPr>
              <w:t>ΕΛΛΗΝΙΚΗ ΔΗΜΟΚΡΑΤΙΑ</w:t>
            </w:r>
            <w:r>
              <w:rPr>
                <w:rFonts w:ascii="Cambria" w:hAnsi="Cambria" w:cs="Cambria"/>
                <w:b w:val="0"/>
                <w:spacing w:val="8"/>
                <w:sz w:val="22"/>
                <w:lang w:val="el-GR"/>
              </w:rPr>
              <w:t xml:space="preserve">  </w:t>
            </w:r>
          </w:p>
          <w:p w14:paraId="2C8B359E" w14:textId="77777777" w:rsidR="00C57030" w:rsidRDefault="00602725">
            <w:pPr>
              <w:pStyle w:val="aa"/>
              <w:spacing w:after="80"/>
              <w:ind w:right="-91"/>
              <w:jc w:val="left"/>
              <w:rPr>
                <w:rFonts w:ascii="Cambria" w:hAnsi="Cambria" w:cs="Cambria"/>
                <w:spacing w:val="8"/>
                <w:sz w:val="22"/>
              </w:rPr>
            </w:pPr>
            <w:r>
              <w:rPr>
                <w:rFonts w:ascii="Cambria" w:hAnsi="Cambria" w:cs="Cambria"/>
                <w:spacing w:val="8"/>
                <w:sz w:val="22"/>
              </w:rPr>
              <w:t xml:space="preserve">Εθνικό και Καποδιστριακό </w:t>
            </w:r>
          </w:p>
          <w:p w14:paraId="7394C34A" w14:textId="77777777" w:rsidR="00C57030" w:rsidRDefault="00602725">
            <w:pPr>
              <w:pStyle w:val="aa"/>
              <w:spacing w:after="80"/>
              <w:ind w:right="-91"/>
              <w:jc w:val="left"/>
              <w:rPr>
                <w:rFonts w:ascii="Cambria" w:hAnsi="Cambria" w:cs="Cambria"/>
                <w:b w:val="0"/>
                <w:spacing w:val="8"/>
                <w:sz w:val="22"/>
              </w:rPr>
            </w:pPr>
            <w:r>
              <w:rPr>
                <w:rFonts w:ascii="Cambria" w:hAnsi="Cambria" w:cs="Cambria"/>
                <w:spacing w:val="8"/>
                <w:sz w:val="22"/>
              </w:rPr>
              <w:t>Πανεπιστήμιο Αθηνών</w:t>
            </w:r>
          </w:p>
          <w:p w14:paraId="2D14E65E" w14:textId="77777777" w:rsidR="00C57030" w:rsidRDefault="00602725">
            <w:pPr>
              <w:pStyle w:val="aa"/>
              <w:spacing w:after="80"/>
              <w:ind w:right="-91"/>
              <w:jc w:val="left"/>
              <w:rPr>
                <w:rFonts w:ascii="Cambria" w:hAnsi="Cambria" w:cs="Cambria"/>
                <w:b w:val="0"/>
                <w:spacing w:val="8"/>
                <w:sz w:val="22"/>
              </w:rPr>
            </w:pPr>
            <w:r>
              <w:rPr>
                <w:rFonts w:ascii="Cambria" w:hAnsi="Cambria" w:cs="Cambria"/>
                <w:b w:val="0"/>
                <w:spacing w:val="8"/>
                <w:sz w:val="22"/>
              </w:rPr>
              <w:t xml:space="preserve">Φιλοσοφική Σχολή                    </w:t>
            </w:r>
          </w:p>
          <w:p w14:paraId="15D680FD" w14:textId="77777777" w:rsidR="00C57030" w:rsidRDefault="00602725">
            <w:pPr>
              <w:pStyle w:val="aa"/>
              <w:spacing w:after="80"/>
              <w:ind w:right="-91"/>
              <w:jc w:val="left"/>
              <w:rPr>
                <w:rFonts w:ascii="Cambria" w:hAnsi="Cambria" w:cs="Cambria"/>
                <w:b w:val="0"/>
                <w:spacing w:val="8"/>
                <w:sz w:val="22"/>
              </w:rPr>
            </w:pPr>
            <w:r>
              <w:rPr>
                <w:rFonts w:ascii="Cambria" w:hAnsi="Cambria" w:cs="Cambria"/>
                <w:b w:val="0"/>
                <w:spacing w:val="8"/>
                <w:sz w:val="22"/>
              </w:rPr>
              <w:t>Τμήμα Γαλλικής Γλώσσας και Φιλολογίας</w:t>
            </w:r>
            <w:r>
              <w:rPr>
                <w:rFonts w:ascii="Cambria" w:hAnsi="Cambria" w:cs="Cambria"/>
                <w:b w:val="0"/>
                <w:spacing w:val="8"/>
                <w:sz w:val="22"/>
                <w:lang w:val="el-GR"/>
              </w:rPr>
              <w:t xml:space="preserve">            </w:t>
            </w:r>
            <w:r>
              <w:rPr>
                <w:bCs w:val="0"/>
                <w:caps/>
                <w:lang w:val="fr-FR"/>
              </w:rPr>
              <w:t>Onomate</w:t>
            </w:r>
            <w:r>
              <w:rPr>
                <w:bCs w:val="0"/>
                <w:caps/>
                <w:lang w:val="el-GR"/>
              </w:rPr>
              <w:t>πωνυμο</w:t>
            </w:r>
          </w:p>
          <w:p w14:paraId="611F1F68" w14:textId="77777777" w:rsidR="00C57030" w:rsidRDefault="00602725">
            <w:pPr>
              <w:pStyle w:val="aa"/>
              <w:spacing w:after="80"/>
              <w:ind w:right="-91"/>
              <w:jc w:val="left"/>
              <w:rPr>
                <w:b w:val="0"/>
                <w:caps/>
                <w:lang w:val="el-GR"/>
              </w:rPr>
            </w:pPr>
            <w:r>
              <w:rPr>
                <w:rFonts w:ascii="Cambria" w:hAnsi="Cambria" w:cs="Cambria"/>
                <w:b w:val="0"/>
                <w:spacing w:val="8"/>
                <w:sz w:val="22"/>
              </w:rPr>
              <w:t>ΠΑΝΕΠΙΣΤΗΜΙΟΥΠΟΛΗ 157 84 ΙΛΙΣΙΑ</w:t>
            </w:r>
            <w:r>
              <w:rPr>
                <w:rFonts w:ascii="Cambria" w:hAnsi="Cambria" w:cs="Cambria"/>
                <w:b w:val="0"/>
                <w:spacing w:val="8"/>
                <w:sz w:val="22"/>
                <w:lang w:val="el-GR"/>
              </w:rPr>
              <w:t xml:space="preserve">       </w:t>
            </w:r>
            <w:r>
              <w:rPr>
                <w:bCs w:val="0"/>
                <w:caps/>
                <w:lang w:val="el-GR"/>
              </w:rPr>
              <w:t>……………………………............</w:t>
            </w:r>
          </w:p>
          <w:p w14:paraId="0204CD26" w14:textId="77777777" w:rsidR="00C57030" w:rsidRPr="006B4918" w:rsidRDefault="00602725">
            <w:pPr>
              <w:pStyle w:val="aa"/>
              <w:spacing w:after="80"/>
              <w:ind w:right="-91"/>
              <w:jc w:val="left"/>
              <w:rPr>
                <w:b w:val="0"/>
                <w:bCs w:val="0"/>
                <w:caps/>
                <w:lang w:val="el-GR"/>
              </w:rPr>
            </w:pPr>
            <w:r>
              <w:rPr>
                <w:b w:val="0"/>
                <w:caps/>
                <w:lang w:val="el-GR"/>
              </w:rPr>
              <w:t>Γ</w:t>
            </w:r>
            <w:r>
              <w:rPr>
                <w:b w:val="0"/>
                <w:lang w:val="el-GR"/>
              </w:rPr>
              <w:t>αλλική γραμματική                                                                    Αρ. μητρώου</w:t>
            </w:r>
          </w:p>
          <w:p w14:paraId="0D3EE1A8" w14:textId="47DB518B" w:rsidR="00C57030" w:rsidRDefault="00602725">
            <w:pPr>
              <w:pStyle w:val="aa"/>
              <w:spacing w:after="80"/>
              <w:ind w:right="-91"/>
              <w:jc w:val="left"/>
            </w:pPr>
            <w:r>
              <w:rPr>
                <w:b w:val="0"/>
                <w:bCs w:val="0"/>
                <w:caps/>
                <w:lang w:val="fr-CA"/>
              </w:rPr>
              <w:t>E</w:t>
            </w:r>
            <w:r>
              <w:rPr>
                <w:b w:val="0"/>
                <w:lang w:val="el-GR"/>
              </w:rPr>
              <w:t xml:space="preserve">ξεταστική </w:t>
            </w:r>
            <w:r w:rsidR="00025934">
              <w:rPr>
                <w:b w:val="0"/>
                <w:lang w:val="fr-CA"/>
              </w:rPr>
              <w:t>Io</w:t>
            </w:r>
            <w:r w:rsidR="00A27C97">
              <w:rPr>
                <w:b w:val="0"/>
                <w:lang w:val="el-GR"/>
              </w:rPr>
              <w:t>υνίου</w:t>
            </w:r>
            <w:r w:rsidR="00025934">
              <w:rPr>
                <w:b w:val="0"/>
                <w:lang w:val="el-GR"/>
              </w:rPr>
              <w:t xml:space="preserve"> 2022 </w:t>
            </w:r>
            <w:r>
              <w:rPr>
                <w:bCs w:val="0"/>
                <w:caps/>
                <w:lang w:val="el-GR"/>
              </w:rPr>
              <w:t xml:space="preserve">                                           ……..................................…………</w:t>
            </w:r>
          </w:p>
        </w:tc>
      </w:tr>
    </w:tbl>
    <w:p w14:paraId="3B6576C8" w14:textId="25A8EF70" w:rsidR="00D03033" w:rsidRDefault="00D03033" w:rsidP="00A27C97">
      <w:pPr>
        <w:suppressAutoHyphens w:val="0"/>
        <w:autoSpaceDE w:val="0"/>
        <w:autoSpaceDN w:val="0"/>
        <w:adjustRightInd w:val="0"/>
        <w:spacing w:before="240" w:after="200" w:line="276" w:lineRule="auto"/>
        <w:rPr>
          <w:b/>
          <w:bCs/>
          <w:lang w:val="fr" w:eastAsia="fr-FR"/>
        </w:rPr>
      </w:pPr>
      <w:r w:rsidRPr="00D03033">
        <w:rPr>
          <w:b/>
          <w:bCs/>
          <w:lang w:val="fr" w:eastAsia="fr-FR"/>
        </w:rPr>
        <w:t>Une histoire de la BD en 140 albums : la bédéthèque idéale de “Télérama”</w:t>
      </w:r>
    </w:p>
    <w:p w14:paraId="62EF4309" w14:textId="591DF3C2" w:rsidR="00D03033" w:rsidRPr="00D03033" w:rsidRDefault="00D03033" w:rsidP="00D03033">
      <w:pPr>
        <w:suppressAutoHyphens w:val="0"/>
        <w:autoSpaceDE w:val="0"/>
        <w:autoSpaceDN w:val="0"/>
        <w:adjustRightInd w:val="0"/>
        <w:spacing w:after="200"/>
        <w:rPr>
          <w:lang w:val="fr" w:eastAsia="fr-FR"/>
        </w:rPr>
      </w:pPr>
      <w:r w:rsidRPr="00D03033">
        <w:rPr>
          <w:noProof/>
          <w:lang w:val="fr" w:eastAsia="fr-FR"/>
        </w:rPr>
        <w:drawing>
          <wp:inline distT="0" distB="0" distL="0" distR="0" wp14:anchorId="31CDD80B" wp14:editId="79555154">
            <wp:extent cx="2371725" cy="1352550"/>
            <wp:effectExtent l="0" t="0" r="9525"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352550"/>
                    </a:xfrm>
                    <a:prstGeom prst="rect">
                      <a:avLst/>
                    </a:prstGeom>
                    <a:noFill/>
                    <a:ln>
                      <a:noFill/>
                    </a:ln>
                  </pic:spPr>
                </pic:pic>
              </a:graphicData>
            </a:graphic>
          </wp:inline>
        </w:drawing>
      </w:r>
    </w:p>
    <w:p w14:paraId="0FEB8C36" w14:textId="77777777" w:rsidR="00D03033" w:rsidRPr="00D03033" w:rsidRDefault="00D03033" w:rsidP="00D03033">
      <w:pPr>
        <w:suppressAutoHyphens w:val="0"/>
        <w:autoSpaceDE w:val="0"/>
        <w:autoSpaceDN w:val="0"/>
        <w:adjustRightInd w:val="0"/>
        <w:spacing w:after="200" w:line="276" w:lineRule="auto"/>
        <w:jc w:val="both"/>
        <w:rPr>
          <w:sz w:val="20"/>
          <w:szCs w:val="20"/>
          <w:lang w:val="fr" w:eastAsia="fr-FR"/>
        </w:rPr>
      </w:pPr>
      <w:r w:rsidRPr="00D03033">
        <w:rPr>
          <w:sz w:val="20"/>
          <w:szCs w:val="20"/>
          <w:lang w:val="fr" w:eastAsia="fr-FR"/>
        </w:rPr>
        <w:t>Image réalisée à partir d'une affiche dessinée par Charles Burns pour le Festival d'Angoulême 2020.</w:t>
      </w:r>
    </w:p>
    <w:p w14:paraId="5A6EA239" w14:textId="77777777" w:rsidR="00D03033" w:rsidRPr="00D03033" w:rsidRDefault="00D03033" w:rsidP="00D03033">
      <w:pPr>
        <w:suppressAutoHyphens w:val="0"/>
        <w:autoSpaceDE w:val="0"/>
        <w:autoSpaceDN w:val="0"/>
        <w:adjustRightInd w:val="0"/>
        <w:spacing w:after="200" w:line="276" w:lineRule="auto"/>
        <w:jc w:val="both"/>
        <w:rPr>
          <w:lang w:val="fr" w:eastAsia="fr-FR"/>
        </w:rPr>
      </w:pPr>
      <w:r w:rsidRPr="00D03033">
        <w:rPr>
          <w:lang w:val="fr" w:eastAsia="fr-FR"/>
        </w:rPr>
        <w:t xml:space="preserve">Ligne claire, roman graphique, comics, mangas… En sept listes de vingt livres chacune, nous avons relevé l’impossible défi </w:t>
      </w:r>
      <w:r w:rsidRPr="00D03033">
        <w:rPr>
          <w:b/>
          <w:bCs/>
          <w:lang w:val="fr" w:eastAsia="fr-FR"/>
        </w:rPr>
        <w:t>de résumer l’histoire de la bande dessinée</w:t>
      </w:r>
      <w:r w:rsidRPr="00D03033">
        <w:rPr>
          <w:lang w:val="fr" w:eastAsia="fr-FR"/>
        </w:rPr>
        <w:t xml:space="preserve">. Une sélection subjective et passionnée, </w:t>
      </w:r>
      <w:r w:rsidRPr="00025934">
        <w:rPr>
          <w:lang w:val="fr" w:eastAsia="fr-FR"/>
        </w:rPr>
        <w:t>dont, on l’espère, vous saurez profiter !</w:t>
      </w:r>
    </w:p>
    <w:p w14:paraId="2B1993D3" w14:textId="0982B6F3" w:rsidR="00D03033" w:rsidRPr="00D03033" w:rsidRDefault="00D03033" w:rsidP="00D03033">
      <w:pPr>
        <w:suppressAutoHyphens w:val="0"/>
        <w:autoSpaceDE w:val="0"/>
        <w:autoSpaceDN w:val="0"/>
        <w:adjustRightInd w:val="0"/>
        <w:spacing w:after="200" w:line="276" w:lineRule="auto"/>
        <w:jc w:val="both"/>
        <w:rPr>
          <w:lang w:val="fr" w:eastAsia="fr-FR"/>
        </w:rPr>
      </w:pPr>
      <w:r w:rsidRPr="00D03033">
        <w:rPr>
          <w:b/>
          <w:bCs/>
          <w:lang w:val="fr" w:eastAsia="fr-FR"/>
        </w:rPr>
        <w:t>Imaginer une bédéthèque idéale</w:t>
      </w:r>
      <w:r w:rsidRPr="00D03033">
        <w:rPr>
          <w:lang w:val="fr" w:eastAsia="fr-FR"/>
        </w:rPr>
        <w:t xml:space="preserve">, c’est d’abord </w:t>
      </w:r>
      <w:r w:rsidRPr="00025934">
        <w:rPr>
          <w:b/>
          <w:bCs/>
          <w:lang w:val="fr" w:eastAsia="fr-FR"/>
        </w:rPr>
        <w:t>faire une pause</w:t>
      </w:r>
      <w:r w:rsidRPr="00D03033">
        <w:rPr>
          <w:lang w:val="fr" w:eastAsia="fr-FR"/>
        </w:rPr>
        <w:t xml:space="preserve">, sortir la tête des milliers d’albums publiés chaque année et regarder derrière soi, en se demandant </w:t>
      </w:r>
      <w:r w:rsidRPr="00025934">
        <w:rPr>
          <w:b/>
          <w:bCs/>
          <w:lang w:val="fr" w:eastAsia="fr-FR"/>
        </w:rPr>
        <w:t>quels sont ceux auxquels on tient vraiment</w:t>
      </w:r>
      <w:r w:rsidRPr="00D03033">
        <w:rPr>
          <w:lang w:val="fr" w:eastAsia="fr-FR"/>
        </w:rPr>
        <w:t xml:space="preserve">. </w:t>
      </w:r>
      <w:r w:rsidR="00321601">
        <w:rPr>
          <w:lang w:val="fr" w:eastAsia="fr-FR"/>
        </w:rPr>
        <w:t>Ceci a été un</w:t>
      </w:r>
      <w:r w:rsidRPr="00D03033">
        <w:rPr>
          <w:lang w:val="fr" w:eastAsia="fr-FR"/>
        </w:rPr>
        <w:t xml:space="preserve"> exercice délibérément subjectif, </w:t>
      </w:r>
      <w:r w:rsidRPr="00025934">
        <w:rPr>
          <w:b/>
          <w:bCs/>
          <w:lang w:val="fr" w:eastAsia="fr-FR"/>
        </w:rPr>
        <w:t>même si on s’aperçoit vite que la plupart des titres font consensus dans l’équipe</w:t>
      </w:r>
      <w:r w:rsidRPr="00D03033">
        <w:rPr>
          <w:lang w:val="fr" w:eastAsia="fr-FR"/>
        </w:rPr>
        <w:t>. Instantané des goûts d’une poignée de bédéphiles éclectiques et passionnés, cette sélection de cent quarante titres sera forcément différente au fil du temps, de l’émergence de nouveaux talents et de l’oubli de certains autres, du passage des modes et des intérêts propres à chaque époque.</w:t>
      </w:r>
    </w:p>
    <w:p w14:paraId="0F48E1E4" w14:textId="77FB03CD" w:rsidR="00D03033" w:rsidRPr="00D03033" w:rsidRDefault="00D03033" w:rsidP="00FC32BB">
      <w:pPr>
        <w:suppressAutoHyphens w:val="0"/>
        <w:autoSpaceDE w:val="0"/>
        <w:autoSpaceDN w:val="0"/>
        <w:adjustRightInd w:val="0"/>
        <w:spacing w:line="276" w:lineRule="auto"/>
        <w:jc w:val="both"/>
        <w:rPr>
          <w:lang w:val="fr" w:eastAsia="fr-FR"/>
        </w:rPr>
      </w:pPr>
      <w:r w:rsidRPr="00D03033">
        <w:rPr>
          <w:lang w:val="fr" w:eastAsia="fr-FR"/>
        </w:rPr>
        <w:t xml:space="preserve">Évidemment il y a des absents, des albums et des auteurs </w:t>
      </w:r>
      <w:r w:rsidRPr="00025934">
        <w:rPr>
          <w:b/>
          <w:bCs/>
          <w:lang w:val="fr" w:eastAsia="fr-FR"/>
        </w:rPr>
        <w:t>qui auraient pu tout à fait figurer dans la liste</w:t>
      </w:r>
      <w:r w:rsidRPr="00D03033">
        <w:rPr>
          <w:lang w:val="fr" w:eastAsia="fr-FR"/>
        </w:rPr>
        <w:t xml:space="preserve">. Mais il était impossible de </w:t>
      </w:r>
      <w:r w:rsidRPr="00025934">
        <w:rPr>
          <w:b/>
          <w:bCs/>
          <w:lang w:val="fr" w:eastAsia="fr-FR"/>
        </w:rPr>
        <w:t>pousser les murs</w:t>
      </w:r>
      <w:r w:rsidR="00A00470">
        <w:rPr>
          <w:rStyle w:val="af4"/>
          <w:b/>
          <w:bCs/>
          <w:lang w:val="fr" w:eastAsia="fr-FR"/>
        </w:rPr>
        <w:footnoteReference w:id="1"/>
      </w:r>
      <w:r w:rsidR="00025934">
        <w:rPr>
          <w:lang w:val="fr" w:eastAsia="fr-FR"/>
        </w:rPr>
        <w:t xml:space="preserve">. </w:t>
      </w:r>
      <w:r w:rsidR="00025934" w:rsidRPr="00025934">
        <w:rPr>
          <w:b/>
          <w:bCs/>
          <w:lang w:val="fr" w:eastAsia="fr-FR"/>
        </w:rPr>
        <w:t>A</w:t>
      </w:r>
      <w:r w:rsidRPr="00025934">
        <w:rPr>
          <w:b/>
          <w:bCs/>
          <w:lang w:val="fr" w:eastAsia="fr-FR"/>
        </w:rPr>
        <w:t>ccepter un exercice</w:t>
      </w:r>
      <w:r w:rsidRPr="00D03033">
        <w:rPr>
          <w:lang w:val="fr" w:eastAsia="fr-FR"/>
        </w:rPr>
        <w:t xml:space="preserve">, c’est d’abord en suivre les règles. À une ou deux exceptions près, </w:t>
      </w:r>
      <w:r w:rsidRPr="00025934">
        <w:rPr>
          <w:b/>
          <w:bCs/>
          <w:lang w:val="fr" w:eastAsia="fr-FR"/>
        </w:rPr>
        <w:t>afin d’embarquer le plus de monde possible sur cette arche de Noé</w:t>
      </w:r>
      <w:r w:rsidRPr="00D03033">
        <w:rPr>
          <w:lang w:val="fr" w:eastAsia="fr-FR"/>
        </w:rPr>
        <w:t xml:space="preserve">, nous nous sommes efforcés de ne citer qu’une seule fois les auteurs. Par souci de clarté, nous avons regroupé les ouvrages en sept catégories, sept familles suffisamment grandes </w:t>
      </w:r>
      <w:r w:rsidRPr="00025934">
        <w:rPr>
          <w:b/>
          <w:bCs/>
          <w:lang w:val="fr" w:eastAsia="fr-FR"/>
        </w:rPr>
        <w:t>pour accueillir plusieurs générations</w:t>
      </w:r>
      <w:r w:rsidRPr="00D03033">
        <w:rPr>
          <w:lang w:val="fr" w:eastAsia="fr-FR"/>
        </w:rPr>
        <w:t xml:space="preserve"> et parfois même des cousins éloignés. Au menu : l’école franco-belge classique, son pendant moderne, les comics et la BD anglo-saxonne, le manga, les romans graphiques, les enquêtes et les reportages dessinés et la BD jeunesse. Bienvenue au pays des bulles, cartouches et onomatopées !</w:t>
      </w:r>
    </w:p>
    <w:p w14:paraId="592F2E1D" w14:textId="36138382" w:rsidR="00D03033" w:rsidRPr="00A27C97" w:rsidRDefault="00523C68" w:rsidP="00523C68">
      <w:pPr>
        <w:suppressAutoHyphens w:val="0"/>
        <w:autoSpaceDE w:val="0"/>
        <w:autoSpaceDN w:val="0"/>
        <w:adjustRightInd w:val="0"/>
        <w:spacing w:after="200" w:line="276" w:lineRule="auto"/>
        <w:rPr>
          <w:sz w:val="22"/>
          <w:szCs w:val="22"/>
          <w:lang w:val="fr" w:eastAsia="fr-FR"/>
        </w:rPr>
      </w:pPr>
      <w:r w:rsidRPr="00A27C97">
        <w:rPr>
          <w:sz w:val="22"/>
          <w:szCs w:val="22"/>
          <w:lang w:val="fr" w:eastAsia="fr-FR"/>
        </w:rPr>
        <w:t xml:space="preserve">            </w:t>
      </w:r>
      <w:r w:rsidR="00A27C97" w:rsidRPr="00A27C97">
        <w:rPr>
          <w:sz w:val="22"/>
          <w:szCs w:val="22"/>
          <w:lang w:val="fr-CA" w:eastAsia="fr-FR"/>
        </w:rPr>
        <w:t xml:space="preserve">               </w:t>
      </w:r>
      <w:r w:rsidRPr="00A27C97">
        <w:rPr>
          <w:sz w:val="22"/>
          <w:szCs w:val="22"/>
          <w:lang w:val="fr" w:eastAsia="fr-FR"/>
        </w:rPr>
        <w:t>Par Stéphane Jarno, publié le 18/10/21 mis à jour le 22/11/21 d</w:t>
      </w:r>
      <w:r w:rsidR="00321601" w:rsidRPr="00A27C97">
        <w:rPr>
          <w:sz w:val="22"/>
          <w:szCs w:val="22"/>
          <w:lang w:val="fr" w:eastAsia="fr-FR"/>
        </w:rPr>
        <w:t xml:space="preserve">’après </w:t>
      </w:r>
      <w:hyperlink r:id="rId10" w:history="1">
        <w:r w:rsidR="00321601" w:rsidRPr="00A27C97">
          <w:rPr>
            <w:rStyle w:val="-"/>
            <w:sz w:val="22"/>
            <w:szCs w:val="22"/>
            <w:lang w:val="fr" w:eastAsia="fr-FR"/>
          </w:rPr>
          <w:t>https://www.telerama.fr</w:t>
        </w:r>
      </w:hyperlink>
    </w:p>
    <w:p w14:paraId="5F54285E" w14:textId="03237786" w:rsidR="00C57030" w:rsidRDefault="00602725">
      <w:pPr>
        <w:jc w:val="both"/>
        <w:rPr>
          <w:lang w:val="fr-CA"/>
        </w:rPr>
      </w:pPr>
      <w:r>
        <w:rPr>
          <w:b/>
          <w:sz w:val="28"/>
          <w:szCs w:val="28"/>
          <w:lang w:val="fr-CA"/>
        </w:rPr>
        <w:lastRenderedPageBreak/>
        <w:t xml:space="preserve">Notez la nature et la fonction des </w:t>
      </w:r>
      <w:r w:rsidR="00BB011C">
        <w:rPr>
          <w:b/>
          <w:sz w:val="28"/>
          <w:szCs w:val="28"/>
        </w:rPr>
        <w:t>9</w:t>
      </w:r>
      <w:r>
        <w:rPr>
          <w:b/>
          <w:sz w:val="28"/>
          <w:szCs w:val="28"/>
          <w:lang w:val="fr-CA"/>
        </w:rPr>
        <w:t xml:space="preserve"> propositions subordonnées</w:t>
      </w:r>
      <w:r w:rsidR="00321601">
        <w:rPr>
          <w:b/>
          <w:sz w:val="28"/>
          <w:szCs w:val="28"/>
          <w:lang w:val="fr-CA"/>
        </w:rPr>
        <w:t xml:space="preserve"> d’après le modèle</w:t>
      </w:r>
      <w:r w:rsidR="00523C68">
        <w:rPr>
          <w:b/>
          <w:sz w:val="28"/>
          <w:szCs w:val="28"/>
          <w:lang w:val="fr-CA"/>
        </w:rPr>
        <w:t> :</w:t>
      </w:r>
      <w:r>
        <w:rPr>
          <w:b/>
          <w:sz w:val="28"/>
          <w:szCs w:val="28"/>
          <w:lang w:val="fr-CA"/>
        </w:rPr>
        <w:t xml:space="preserve"> </w:t>
      </w:r>
    </w:p>
    <w:p w14:paraId="3A9D9715" w14:textId="77777777" w:rsidR="00C57030" w:rsidRDefault="00C57030">
      <w:pPr>
        <w:rPr>
          <w:lang w:val="fr-CA"/>
        </w:rPr>
      </w:pPr>
    </w:p>
    <w:p w14:paraId="59D909A9" w14:textId="161BD75C" w:rsidR="00321601" w:rsidRDefault="00321601" w:rsidP="00321601">
      <w:pPr>
        <w:rPr>
          <w:lang w:val="fr-CA"/>
        </w:rPr>
      </w:pPr>
      <w:r>
        <w:rPr>
          <w:lang w:val="fr-CA"/>
        </w:rPr>
        <w:t xml:space="preserve">Modèle : </w:t>
      </w:r>
      <w:r w:rsidRPr="00D03033">
        <w:rPr>
          <w:lang w:val="fr" w:eastAsia="fr-FR"/>
        </w:rPr>
        <w:t xml:space="preserve">nous avons relevé l’impossible défi </w:t>
      </w:r>
      <w:r w:rsidRPr="00D03033">
        <w:rPr>
          <w:b/>
          <w:bCs/>
          <w:lang w:val="fr" w:eastAsia="fr-FR"/>
        </w:rPr>
        <w:t>de résumer l’histoire de la bande dessinée</w:t>
      </w:r>
      <w:r>
        <w:rPr>
          <w:lang w:val="fr-CA"/>
        </w:rPr>
        <w:t xml:space="preserve"> </w:t>
      </w:r>
    </w:p>
    <w:p w14:paraId="57F63424" w14:textId="66102F21" w:rsidR="00C57030" w:rsidRPr="00321601" w:rsidRDefault="00602725" w:rsidP="00321601">
      <w:pPr>
        <w:rPr>
          <w:lang w:val="fr-CA"/>
        </w:rPr>
      </w:pPr>
      <w:r>
        <w:rPr>
          <w:lang w:val="fr-CA"/>
        </w:rPr>
        <w:t xml:space="preserve">Nature : phrase subordonnée </w:t>
      </w:r>
      <w:r w:rsidR="00321601">
        <w:rPr>
          <w:lang w:val="fr-CA"/>
        </w:rPr>
        <w:t>complétive infinitive</w:t>
      </w:r>
    </w:p>
    <w:p w14:paraId="1B3B3FB1" w14:textId="5F084F04" w:rsidR="00C57030" w:rsidRDefault="00602725">
      <w:pPr>
        <w:jc w:val="both"/>
        <w:rPr>
          <w:i/>
          <w:iCs/>
          <w:lang w:val="fr-CA"/>
        </w:rPr>
      </w:pPr>
      <w:r>
        <w:rPr>
          <w:lang w:val="fr-CA"/>
        </w:rPr>
        <w:t>Fonction :</w:t>
      </w:r>
      <w:r w:rsidR="00321601">
        <w:rPr>
          <w:lang w:val="fr-CA"/>
        </w:rPr>
        <w:t xml:space="preserve"> </w:t>
      </w:r>
      <w:r>
        <w:rPr>
          <w:lang w:val="fr-CA"/>
        </w:rPr>
        <w:t>elle complète l</w:t>
      </w:r>
      <w:r w:rsidR="00321601">
        <w:rPr>
          <w:lang w:val="fr-CA"/>
        </w:rPr>
        <w:t xml:space="preserve">e </w:t>
      </w:r>
      <w:r w:rsidR="00FC32BB">
        <w:rPr>
          <w:lang w:val="fr-CA"/>
        </w:rPr>
        <w:t xml:space="preserve">groupe nominal </w:t>
      </w:r>
      <w:r w:rsidR="00FC32BB" w:rsidRPr="00FC32BB">
        <w:rPr>
          <w:i/>
          <w:iCs/>
          <w:lang w:val="fr-CA"/>
        </w:rPr>
        <w:t>l’impossible</w:t>
      </w:r>
      <w:r w:rsidR="00FC32BB">
        <w:rPr>
          <w:lang w:val="fr-CA"/>
        </w:rPr>
        <w:t xml:space="preserve"> </w:t>
      </w:r>
      <w:r w:rsidR="00321601" w:rsidRPr="00321601">
        <w:rPr>
          <w:i/>
          <w:iCs/>
          <w:lang w:val="fr-CA"/>
        </w:rPr>
        <w:t>défi</w:t>
      </w:r>
      <w:r w:rsidR="00321601">
        <w:rPr>
          <w:i/>
          <w:iCs/>
          <w:lang w:val="fr-CA"/>
        </w:rPr>
        <w:t xml:space="preserve"> </w:t>
      </w:r>
    </w:p>
    <w:p w14:paraId="5FB316E4" w14:textId="77777777" w:rsidR="006B4918" w:rsidRDefault="006B4918">
      <w:pPr>
        <w:jc w:val="both"/>
        <w:rPr>
          <w:lang w:val="fr-CA"/>
        </w:rPr>
      </w:pPr>
    </w:p>
    <w:p w14:paraId="4B073162" w14:textId="598D6D1E" w:rsidR="00C57030" w:rsidRDefault="00BB011C">
      <w:pPr>
        <w:jc w:val="both"/>
        <w:rPr>
          <w:lang w:val="fr-CA"/>
        </w:rPr>
      </w:pPr>
      <w:r w:rsidRPr="00BB011C">
        <w:rPr>
          <w:lang w:val="fr-CA"/>
        </w:rPr>
        <w:t>1</w:t>
      </w:r>
      <w:r w:rsidR="00602725">
        <w:rPr>
          <w:lang w:val="fr-CA"/>
        </w:rPr>
        <w:t>.</w:t>
      </w:r>
      <w:r w:rsidR="00602725">
        <w:rPr>
          <w:b/>
          <w:lang w:val="fr-CA"/>
        </w:rPr>
        <w:t xml:space="preserve"> </w:t>
      </w:r>
      <w:r w:rsidR="00321601" w:rsidRPr="00D03033">
        <w:rPr>
          <w:b/>
          <w:bCs/>
          <w:lang w:val="fr" w:eastAsia="fr-FR"/>
        </w:rPr>
        <w:t>Imaginer une bédéthèque idéale</w:t>
      </w:r>
      <w:r w:rsidR="00321601" w:rsidRPr="00D03033">
        <w:rPr>
          <w:lang w:val="fr" w:eastAsia="fr-FR"/>
        </w:rPr>
        <w:t xml:space="preserve">, c’est d’abord </w:t>
      </w:r>
      <w:r w:rsidR="00321601" w:rsidRPr="00321601">
        <w:rPr>
          <w:lang w:val="fr" w:eastAsia="fr-FR"/>
        </w:rPr>
        <w:t>faire une pause</w:t>
      </w:r>
    </w:p>
    <w:p w14:paraId="6DFE4C66" w14:textId="6950D982" w:rsidR="00C57030" w:rsidRDefault="00602725">
      <w:pPr>
        <w:jc w:val="both"/>
        <w:rPr>
          <w:lang w:val="fr-CA"/>
        </w:rPr>
      </w:pPr>
      <w:r>
        <w:rPr>
          <w:lang w:val="fr-CA"/>
        </w:rPr>
        <w:t>Nature :</w:t>
      </w:r>
      <w:r w:rsidR="00321601">
        <w:rPr>
          <w:lang w:val="fr-CA"/>
        </w:rPr>
        <w:t xml:space="preserve"> </w:t>
      </w:r>
    </w:p>
    <w:p w14:paraId="4FC5D00D" w14:textId="0F40249F" w:rsidR="00C57030" w:rsidRDefault="00602725">
      <w:pPr>
        <w:jc w:val="both"/>
        <w:rPr>
          <w:b/>
          <w:lang w:val="fr-CA"/>
        </w:rPr>
      </w:pPr>
      <w:r>
        <w:rPr>
          <w:lang w:val="fr-CA"/>
        </w:rPr>
        <w:t>Fonction :</w:t>
      </w:r>
      <w:r w:rsidR="00321601">
        <w:rPr>
          <w:lang w:val="fr-CA"/>
        </w:rPr>
        <w:t xml:space="preserve"> </w:t>
      </w:r>
    </w:p>
    <w:p w14:paraId="72CB6B3F" w14:textId="77777777" w:rsidR="00C57030" w:rsidRDefault="00C57030">
      <w:pPr>
        <w:jc w:val="both"/>
        <w:rPr>
          <w:b/>
          <w:lang w:val="fr-CA"/>
        </w:rPr>
      </w:pPr>
    </w:p>
    <w:p w14:paraId="00DE38A4" w14:textId="10EFA6FD" w:rsidR="00C57030" w:rsidRDefault="00BB011C">
      <w:pPr>
        <w:jc w:val="both"/>
        <w:rPr>
          <w:lang w:val="fr-CA"/>
        </w:rPr>
      </w:pPr>
      <w:r w:rsidRPr="00BB011C">
        <w:rPr>
          <w:color w:val="000000"/>
          <w:lang w:val="fr-CA"/>
        </w:rPr>
        <w:t>2</w:t>
      </w:r>
      <w:r w:rsidR="00602725">
        <w:rPr>
          <w:color w:val="000000"/>
          <w:lang w:val="fr-CA"/>
        </w:rPr>
        <w:t>.</w:t>
      </w:r>
      <w:r w:rsidR="00602725">
        <w:rPr>
          <w:b/>
          <w:color w:val="000000"/>
          <w:lang w:val="fr-CA"/>
        </w:rPr>
        <w:t xml:space="preserve"> </w:t>
      </w:r>
      <w:r w:rsidR="00321601" w:rsidRPr="00321601">
        <w:rPr>
          <w:lang w:val="fr" w:eastAsia="fr-FR"/>
        </w:rPr>
        <w:t>Imaginer une bédéthèque idéale,</w:t>
      </w:r>
      <w:r w:rsidR="00321601" w:rsidRPr="00D03033">
        <w:rPr>
          <w:lang w:val="fr" w:eastAsia="fr-FR"/>
        </w:rPr>
        <w:t xml:space="preserve"> c’est d’abord </w:t>
      </w:r>
      <w:r w:rsidR="00321601" w:rsidRPr="00025934">
        <w:rPr>
          <w:b/>
          <w:bCs/>
          <w:lang w:val="fr" w:eastAsia="fr-FR"/>
        </w:rPr>
        <w:t>faire une pause</w:t>
      </w:r>
    </w:p>
    <w:p w14:paraId="682F9CA7" w14:textId="187A15E5" w:rsidR="00C57030" w:rsidRDefault="00602725">
      <w:pPr>
        <w:jc w:val="both"/>
        <w:rPr>
          <w:lang w:val="fr-CA"/>
        </w:rPr>
      </w:pPr>
      <w:r>
        <w:rPr>
          <w:lang w:val="fr-CA"/>
        </w:rPr>
        <w:t>Nature :</w:t>
      </w:r>
      <w:r w:rsidR="00321601">
        <w:rPr>
          <w:lang w:val="fr-CA"/>
        </w:rPr>
        <w:t xml:space="preserve"> </w:t>
      </w:r>
    </w:p>
    <w:p w14:paraId="0599B1E7" w14:textId="121ED2CD" w:rsidR="00C57030" w:rsidRDefault="00602725">
      <w:pPr>
        <w:jc w:val="both"/>
        <w:rPr>
          <w:lang w:val="fr-CA"/>
        </w:rPr>
      </w:pPr>
      <w:r>
        <w:rPr>
          <w:lang w:val="fr-CA"/>
        </w:rPr>
        <w:t>Fonction :</w:t>
      </w:r>
      <w:r w:rsidR="00321601">
        <w:rPr>
          <w:lang w:val="fr-CA"/>
        </w:rPr>
        <w:t xml:space="preserve"> </w:t>
      </w:r>
      <w:r w:rsidR="006B4918">
        <w:rPr>
          <w:lang w:val="fr-CA"/>
        </w:rPr>
        <w:t xml:space="preserve"> </w:t>
      </w:r>
    </w:p>
    <w:p w14:paraId="744A93D3" w14:textId="77777777" w:rsidR="00C57030" w:rsidRDefault="00C57030">
      <w:pPr>
        <w:jc w:val="both"/>
        <w:rPr>
          <w:lang w:val="fr-CA"/>
        </w:rPr>
      </w:pPr>
    </w:p>
    <w:p w14:paraId="6C160C99" w14:textId="15C8AC84" w:rsidR="00C57030" w:rsidRDefault="00BB011C">
      <w:pPr>
        <w:jc w:val="both"/>
        <w:rPr>
          <w:lang w:val="fr-CA"/>
        </w:rPr>
      </w:pPr>
      <w:r w:rsidRPr="00BB011C">
        <w:rPr>
          <w:lang w:val="fr-CA"/>
        </w:rPr>
        <w:t>3</w:t>
      </w:r>
      <w:r w:rsidR="00602725">
        <w:rPr>
          <w:lang w:val="fr-CA"/>
        </w:rPr>
        <w:t xml:space="preserve">. </w:t>
      </w:r>
      <w:r w:rsidR="00321601" w:rsidRPr="00D03033">
        <w:rPr>
          <w:lang w:val="fr" w:eastAsia="fr-FR"/>
        </w:rPr>
        <w:t xml:space="preserve">en se demandant </w:t>
      </w:r>
      <w:r w:rsidR="00321601" w:rsidRPr="00025934">
        <w:rPr>
          <w:b/>
          <w:bCs/>
          <w:lang w:val="fr" w:eastAsia="fr-FR"/>
        </w:rPr>
        <w:t>quels sont ceux auxquels on tient vraiment</w:t>
      </w:r>
      <w:r w:rsidR="00321601" w:rsidRPr="00D03033">
        <w:rPr>
          <w:lang w:val="fr" w:eastAsia="fr-FR"/>
        </w:rPr>
        <w:t>.</w:t>
      </w:r>
    </w:p>
    <w:p w14:paraId="2861E385" w14:textId="77777777" w:rsidR="00523C68" w:rsidRDefault="00523C68" w:rsidP="00523C68">
      <w:pPr>
        <w:jc w:val="both"/>
        <w:rPr>
          <w:lang w:val="fr-CA"/>
        </w:rPr>
      </w:pPr>
      <w:r>
        <w:rPr>
          <w:lang w:val="fr-CA"/>
        </w:rPr>
        <w:t xml:space="preserve">Nature : </w:t>
      </w:r>
    </w:p>
    <w:p w14:paraId="4E622C6C" w14:textId="77777777" w:rsidR="00523C68" w:rsidRDefault="00523C68" w:rsidP="00523C68">
      <w:pPr>
        <w:jc w:val="both"/>
        <w:rPr>
          <w:b/>
          <w:lang w:val="fr-CA"/>
        </w:rPr>
      </w:pPr>
      <w:r>
        <w:rPr>
          <w:lang w:val="fr-CA"/>
        </w:rPr>
        <w:t xml:space="preserve">Fonction : </w:t>
      </w:r>
    </w:p>
    <w:p w14:paraId="55CCECE3" w14:textId="77777777" w:rsidR="00C57030" w:rsidRDefault="00C57030">
      <w:pPr>
        <w:jc w:val="both"/>
        <w:rPr>
          <w:lang w:val="fr-CA"/>
        </w:rPr>
      </w:pPr>
    </w:p>
    <w:p w14:paraId="5B1A0FA5" w14:textId="5F60757E" w:rsidR="00457543" w:rsidRDefault="00BB011C">
      <w:pPr>
        <w:jc w:val="both"/>
        <w:rPr>
          <w:lang w:val="fr-CA"/>
        </w:rPr>
      </w:pPr>
      <w:r w:rsidRPr="00BB011C">
        <w:rPr>
          <w:color w:val="000000"/>
          <w:lang w:val="fr-CA"/>
        </w:rPr>
        <w:t>4</w:t>
      </w:r>
      <w:r w:rsidR="00602725">
        <w:rPr>
          <w:color w:val="000000"/>
          <w:lang w:val="fr-CA"/>
        </w:rPr>
        <w:t>.</w:t>
      </w:r>
      <w:r w:rsidR="00602725">
        <w:rPr>
          <w:b/>
          <w:color w:val="000000"/>
          <w:lang w:val="fr-CA"/>
        </w:rPr>
        <w:t xml:space="preserve"> </w:t>
      </w:r>
      <w:r w:rsidR="00457543">
        <w:rPr>
          <w:lang w:val="fr" w:eastAsia="fr-FR"/>
        </w:rPr>
        <w:t>Ceci a été un</w:t>
      </w:r>
      <w:r w:rsidR="00457543" w:rsidRPr="00D03033">
        <w:rPr>
          <w:lang w:val="fr" w:eastAsia="fr-FR"/>
        </w:rPr>
        <w:t xml:space="preserve"> exercice délibérément subjectif, </w:t>
      </w:r>
      <w:r w:rsidR="00457543" w:rsidRPr="00025934">
        <w:rPr>
          <w:b/>
          <w:bCs/>
          <w:lang w:val="fr" w:eastAsia="fr-FR"/>
        </w:rPr>
        <w:t>même si on s’aperçoit vite que la plupart des titres font consensus dans l’équipe</w:t>
      </w:r>
      <w:r w:rsidR="00457543">
        <w:rPr>
          <w:lang w:val="fr-CA"/>
        </w:rPr>
        <w:t xml:space="preserve"> </w:t>
      </w:r>
    </w:p>
    <w:p w14:paraId="274F1389" w14:textId="77777777" w:rsidR="00523C68" w:rsidRDefault="00523C68" w:rsidP="00523C68">
      <w:pPr>
        <w:jc w:val="both"/>
        <w:rPr>
          <w:lang w:val="fr-CA"/>
        </w:rPr>
      </w:pPr>
      <w:r>
        <w:rPr>
          <w:lang w:val="fr-CA"/>
        </w:rPr>
        <w:t xml:space="preserve">Nature : </w:t>
      </w:r>
    </w:p>
    <w:p w14:paraId="1FAD429E" w14:textId="77777777" w:rsidR="00523C68" w:rsidRDefault="00523C68" w:rsidP="00523C68">
      <w:pPr>
        <w:jc w:val="both"/>
        <w:rPr>
          <w:b/>
          <w:lang w:val="fr-CA"/>
        </w:rPr>
      </w:pPr>
      <w:r>
        <w:rPr>
          <w:lang w:val="fr-CA"/>
        </w:rPr>
        <w:t xml:space="preserve">Fonction : </w:t>
      </w:r>
    </w:p>
    <w:p w14:paraId="2B0B0B83" w14:textId="77777777" w:rsidR="00C57030" w:rsidRDefault="00C57030">
      <w:pPr>
        <w:jc w:val="both"/>
        <w:rPr>
          <w:b/>
          <w:lang w:val="fr-CA"/>
        </w:rPr>
      </w:pPr>
    </w:p>
    <w:p w14:paraId="61C57209" w14:textId="100E5EC3" w:rsidR="00C57030" w:rsidRDefault="00BB011C">
      <w:pPr>
        <w:jc w:val="both"/>
        <w:rPr>
          <w:lang w:val="fr-CA"/>
        </w:rPr>
      </w:pPr>
      <w:r w:rsidRPr="00BB011C">
        <w:rPr>
          <w:lang w:val="fr-CA"/>
        </w:rPr>
        <w:t>5</w:t>
      </w:r>
      <w:r w:rsidR="00602725">
        <w:rPr>
          <w:lang w:val="fr-CA"/>
        </w:rPr>
        <w:t xml:space="preserve">. </w:t>
      </w:r>
      <w:r w:rsidR="00457543" w:rsidRPr="00D03033">
        <w:rPr>
          <w:lang w:val="fr" w:eastAsia="fr-FR"/>
        </w:rPr>
        <w:t xml:space="preserve">Évidemment il y a des absents, des albums et des auteurs </w:t>
      </w:r>
      <w:r w:rsidR="00457543" w:rsidRPr="00025934">
        <w:rPr>
          <w:b/>
          <w:bCs/>
          <w:lang w:val="fr" w:eastAsia="fr-FR"/>
        </w:rPr>
        <w:t>qui auraient pu tout à fait figurer dans la liste</w:t>
      </w:r>
      <w:r w:rsidR="00457543" w:rsidRPr="00D03033">
        <w:rPr>
          <w:lang w:val="fr" w:eastAsia="fr-FR"/>
        </w:rPr>
        <w:t>.</w:t>
      </w:r>
    </w:p>
    <w:p w14:paraId="54E164B0" w14:textId="77777777" w:rsidR="00523C68" w:rsidRDefault="00523C68" w:rsidP="00523C68">
      <w:pPr>
        <w:jc w:val="both"/>
        <w:rPr>
          <w:lang w:val="fr-CA"/>
        </w:rPr>
      </w:pPr>
      <w:r>
        <w:rPr>
          <w:lang w:val="fr-CA"/>
        </w:rPr>
        <w:t xml:space="preserve">Nature : </w:t>
      </w:r>
    </w:p>
    <w:p w14:paraId="65E0A41A" w14:textId="77777777" w:rsidR="00523C68" w:rsidRDefault="00523C68" w:rsidP="00523C68">
      <w:pPr>
        <w:jc w:val="both"/>
        <w:rPr>
          <w:b/>
          <w:lang w:val="fr-CA"/>
        </w:rPr>
      </w:pPr>
      <w:r>
        <w:rPr>
          <w:lang w:val="fr-CA"/>
        </w:rPr>
        <w:t xml:space="preserve">Fonction : </w:t>
      </w:r>
    </w:p>
    <w:p w14:paraId="18F39BE5" w14:textId="77777777" w:rsidR="00C57030" w:rsidRDefault="00C57030">
      <w:pPr>
        <w:jc w:val="both"/>
        <w:rPr>
          <w:b/>
          <w:color w:val="000000"/>
          <w:lang w:val="fr-CA"/>
        </w:rPr>
      </w:pPr>
    </w:p>
    <w:p w14:paraId="54B05A69" w14:textId="0B4E7BFF" w:rsidR="00C57030" w:rsidRDefault="00BB011C">
      <w:pPr>
        <w:jc w:val="both"/>
        <w:rPr>
          <w:lang w:val="fr-CA"/>
        </w:rPr>
      </w:pPr>
      <w:r w:rsidRPr="00BB011C">
        <w:rPr>
          <w:color w:val="000000"/>
          <w:lang w:val="fr-CA"/>
        </w:rPr>
        <w:t>6</w:t>
      </w:r>
      <w:r w:rsidR="00602725">
        <w:rPr>
          <w:color w:val="000000"/>
          <w:lang w:val="fr-CA"/>
        </w:rPr>
        <w:t>.</w:t>
      </w:r>
      <w:r w:rsidR="00602725">
        <w:rPr>
          <w:b/>
          <w:color w:val="000000"/>
          <w:lang w:val="fr-CA"/>
        </w:rPr>
        <w:t xml:space="preserve"> </w:t>
      </w:r>
      <w:r w:rsidR="00EF0190" w:rsidRPr="00D03033">
        <w:rPr>
          <w:lang w:val="fr" w:eastAsia="fr-FR"/>
        </w:rPr>
        <w:t xml:space="preserve">Mais il était impossible de </w:t>
      </w:r>
      <w:r w:rsidR="00EF0190" w:rsidRPr="00025934">
        <w:rPr>
          <w:b/>
          <w:bCs/>
          <w:lang w:val="fr" w:eastAsia="fr-FR"/>
        </w:rPr>
        <w:t>pousser les murs</w:t>
      </w:r>
      <w:r w:rsidR="00EF0190">
        <w:rPr>
          <w:lang w:val="fr" w:eastAsia="fr-FR"/>
        </w:rPr>
        <w:t>.</w:t>
      </w:r>
    </w:p>
    <w:p w14:paraId="7604766C" w14:textId="77777777" w:rsidR="00523C68" w:rsidRDefault="00523C68" w:rsidP="00523C68">
      <w:pPr>
        <w:jc w:val="both"/>
        <w:rPr>
          <w:lang w:val="fr-CA"/>
        </w:rPr>
      </w:pPr>
      <w:r>
        <w:rPr>
          <w:lang w:val="fr-CA"/>
        </w:rPr>
        <w:t xml:space="preserve">Nature : </w:t>
      </w:r>
    </w:p>
    <w:p w14:paraId="24400C8A" w14:textId="40EA29CF" w:rsidR="00523C68" w:rsidRDefault="00523C68" w:rsidP="00523C68">
      <w:pPr>
        <w:jc w:val="both"/>
        <w:rPr>
          <w:lang w:val="fr-CA"/>
        </w:rPr>
      </w:pPr>
      <w:r>
        <w:rPr>
          <w:lang w:val="fr-CA"/>
        </w:rPr>
        <w:t xml:space="preserve">Fonction : </w:t>
      </w:r>
    </w:p>
    <w:p w14:paraId="7252C65C" w14:textId="6C90A14B" w:rsidR="00BB011C" w:rsidRDefault="00BB011C" w:rsidP="00523C68">
      <w:pPr>
        <w:jc w:val="both"/>
        <w:rPr>
          <w:lang w:val="fr-CA"/>
        </w:rPr>
      </w:pPr>
    </w:p>
    <w:p w14:paraId="0388AD6A" w14:textId="2415640D" w:rsidR="00BB011C" w:rsidRPr="00BB011C" w:rsidRDefault="00BB011C" w:rsidP="00523C68">
      <w:pPr>
        <w:jc w:val="both"/>
        <w:rPr>
          <w:b/>
          <w:lang w:val="fr-CA"/>
        </w:rPr>
      </w:pPr>
      <w:r w:rsidRPr="00BB011C">
        <w:rPr>
          <w:lang w:val="fr-CA"/>
        </w:rPr>
        <w:t xml:space="preserve">7. </w:t>
      </w:r>
      <w:r w:rsidRPr="00025934">
        <w:rPr>
          <w:b/>
          <w:bCs/>
          <w:lang w:val="fr" w:eastAsia="fr-FR"/>
        </w:rPr>
        <w:t>Accepter un exercice</w:t>
      </w:r>
      <w:r w:rsidRPr="00D03033">
        <w:rPr>
          <w:lang w:val="fr" w:eastAsia="fr-FR"/>
        </w:rPr>
        <w:t>, c’est d’abord en suivre les règles</w:t>
      </w:r>
      <w:r w:rsidRPr="00BB011C">
        <w:rPr>
          <w:lang w:val="fr-CA" w:eastAsia="fr-FR"/>
        </w:rPr>
        <w:t>.</w:t>
      </w:r>
    </w:p>
    <w:p w14:paraId="12C5AC2F" w14:textId="77777777" w:rsidR="00BB011C" w:rsidRDefault="00BB011C" w:rsidP="00BB011C">
      <w:pPr>
        <w:jc w:val="both"/>
        <w:rPr>
          <w:lang w:val="fr-CA"/>
        </w:rPr>
      </w:pPr>
      <w:r>
        <w:rPr>
          <w:lang w:val="fr-CA"/>
        </w:rPr>
        <w:t xml:space="preserve">Nature : </w:t>
      </w:r>
    </w:p>
    <w:p w14:paraId="446B3D79" w14:textId="77777777" w:rsidR="00BB011C" w:rsidRDefault="00BB011C" w:rsidP="00BB011C">
      <w:pPr>
        <w:jc w:val="both"/>
        <w:rPr>
          <w:lang w:val="fr-CA"/>
        </w:rPr>
      </w:pPr>
      <w:r>
        <w:rPr>
          <w:lang w:val="fr-CA"/>
        </w:rPr>
        <w:t xml:space="preserve">Fonction : </w:t>
      </w:r>
    </w:p>
    <w:p w14:paraId="61C1A830" w14:textId="77777777" w:rsidR="00C57030" w:rsidRDefault="00C57030">
      <w:pPr>
        <w:jc w:val="both"/>
        <w:rPr>
          <w:lang w:val="fr-CA"/>
        </w:rPr>
      </w:pPr>
    </w:p>
    <w:p w14:paraId="0A0DAE74" w14:textId="5A22ABBF" w:rsidR="00EF0190" w:rsidRDefault="00BB011C">
      <w:pPr>
        <w:jc w:val="both"/>
        <w:rPr>
          <w:lang w:val="fr" w:eastAsia="fr-FR"/>
        </w:rPr>
      </w:pPr>
      <w:r w:rsidRPr="00BB011C">
        <w:rPr>
          <w:lang w:val="fr-CA"/>
        </w:rPr>
        <w:t>8</w:t>
      </w:r>
      <w:r w:rsidR="00602725">
        <w:rPr>
          <w:lang w:val="fr-CA"/>
        </w:rPr>
        <w:t xml:space="preserve">. </w:t>
      </w:r>
      <w:r w:rsidR="00EF0190" w:rsidRPr="00025934">
        <w:rPr>
          <w:b/>
          <w:bCs/>
          <w:lang w:val="fr" w:eastAsia="fr-FR"/>
        </w:rPr>
        <w:t>afin d’embarquer le plus de monde possible sur cette arche de Noé</w:t>
      </w:r>
      <w:r w:rsidR="00EF0190" w:rsidRPr="00D03033">
        <w:rPr>
          <w:lang w:val="fr" w:eastAsia="fr-FR"/>
        </w:rPr>
        <w:t xml:space="preserve">, nous nous sommes efforcés de ne citer qu’une seule fois les auteurs. </w:t>
      </w:r>
    </w:p>
    <w:p w14:paraId="482DD4FC" w14:textId="77777777" w:rsidR="00523C68" w:rsidRDefault="00523C68" w:rsidP="00523C68">
      <w:pPr>
        <w:jc w:val="both"/>
        <w:rPr>
          <w:lang w:val="fr-CA"/>
        </w:rPr>
      </w:pPr>
      <w:r>
        <w:rPr>
          <w:lang w:val="fr-CA"/>
        </w:rPr>
        <w:t xml:space="preserve">Nature : </w:t>
      </w:r>
    </w:p>
    <w:p w14:paraId="2150B2FF" w14:textId="77777777" w:rsidR="00523C68" w:rsidRDefault="00523C68" w:rsidP="00523C68">
      <w:pPr>
        <w:jc w:val="both"/>
        <w:rPr>
          <w:b/>
          <w:lang w:val="fr-CA"/>
        </w:rPr>
      </w:pPr>
      <w:r>
        <w:rPr>
          <w:lang w:val="fr-CA"/>
        </w:rPr>
        <w:t xml:space="preserve">Fonction : </w:t>
      </w:r>
    </w:p>
    <w:p w14:paraId="523B9A96" w14:textId="77777777" w:rsidR="00C57030" w:rsidRDefault="00C57030">
      <w:pPr>
        <w:jc w:val="both"/>
        <w:rPr>
          <w:b/>
          <w:lang w:val="fr-CA"/>
        </w:rPr>
      </w:pPr>
    </w:p>
    <w:p w14:paraId="3B439077" w14:textId="0B7F2C84" w:rsidR="00FC32BB" w:rsidRDefault="00BB011C">
      <w:pPr>
        <w:jc w:val="both"/>
        <w:rPr>
          <w:lang w:val="fr-CA"/>
        </w:rPr>
      </w:pPr>
      <w:r w:rsidRPr="00BB011C">
        <w:rPr>
          <w:lang w:val="fr-CA"/>
        </w:rPr>
        <w:t>9</w:t>
      </w:r>
      <w:r w:rsidR="00602725">
        <w:rPr>
          <w:lang w:val="fr-CA"/>
        </w:rPr>
        <w:t xml:space="preserve">. </w:t>
      </w:r>
      <w:r w:rsidR="00FC32BB" w:rsidRPr="00D03033">
        <w:rPr>
          <w:lang w:val="fr" w:eastAsia="fr-FR"/>
        </w:rPr>
        <w:t xml:space="preserve">nous avons regroupé les ouvrages en sept catégories, sept familles suffisamment grandes </w:t>
      </w:r>
      <w:r w:rsidR="00FC32BB" w:rsidRPr="00025934">
        <w:rPr>
          <w:b/>
          <w:bCs/>
          <w:lang w:val="fr" w:eastAsia="fr-FR"/>
        </w:rPr>
        <w:t>pour accueillir plusieurs générations</w:t>
      </w:r>
      <w:r w:rsidR="00FC32BB">
        <w:rPr>
          <w:lang w:val="fr-CA"/>
        </w:rPr>
        <w:t xml:space="preserve"> </w:t>
      </w:r>
    </w:p>
    <w:p w14:paraId="2FEFA63F" w14:textId="77777777" w:rsidR="00523C68" w:rsidRDefault="00523C68" w:rsidP="00523C68">
      <w:pPr>
        <w:jc w:val="both"/>
        <w:rPr>
          <w:lang w:val="fr-CA"/>
        </w:rPr>
      </w:pPr>
      <w:r>
        <w:rPr>
          <w:lang w:val="fr-CA"/>
        </w:rPr>
        <w:t xml:space="preserve">Nature : </w:t>
      </w:r>
    </w:p>
    <w:p w14:paraId="17C98EEA" w14:textId="77777777" w:rsidR="00523C68" w:rsidRDefault="00523C68" w:rsidP="00523C68">
      <w:pPr>
        <w:jc w:val="both"/>
        <w:rPr>
          <w:b/>
          <w:lang w:val="fr-CA"/>
        </w:rPr>
      </w:pPr>
      <w:r>
        <w:rPr>
          <w:lang w:val="fr-CA"/>
        </w:rPr>
        <w:t xml:space="preserve">Fonction : </w:t>
      </w:r>
    </w:p>
    <w:p w14:paraId="7B189EC8" w14:textId="77777777" w:rsidR="00FC32BB" w:rsidRDefault="00FC32BB">
      <w:pPr>
        <w:jc w:val="both"/>
        <w:rPr>
          <w:lang w:val="fr-CA"/>
        </w:rPr>
      </w:pPr>
    </w:p>
    <w:p w14:paraId="3851BD2C" w14:textId="50DEA205" w:rsidR="00FC32BB" w:rsidRDefault="00FC32BB">
      <w:pPr>
        <w:jc w:val="both"/>
        <w:rPr>
          <w:lang w:val="fr-CA"/>
        </w:rPr>
      </w:pPr>
      <w:r>
        <w:rPr>
          <w:lang w:val="fr-CA"/>
        </w:rPr>
        <w:t xml:space="preserve">Reformulation : remplacez la conjonction </w:t>
      </w:r>
      <w:r w:rsidRPr="00FC32BB">
        <w:rPr>
          <w:i/>
          <w:iCs/>
          <w:lang w:val="fr-CA"/>
        </w:rPr>
        <w:t>pour</w:t>
      </w:r>
      <w:r>
        <w:rPr>
          <w:lang w:val="fr-CA"/>
        </w:rPr>
        <w:t xml:space="preserve"> par une autre</w:t>
      </w:r>
      <w:r w:rsidR="009B30B3">
        <w:rPr>
          <w:lang w:val="fr-CA"/>
        </w:rPr>
        <w:t xml:space="preserve"> : </w:t>
      </w:r>
    </w:p>
    <w:p w14:paraId="1EFC76A1" w14:textId="77777777" w:rsidR="009B30B3" w:rsidRDefault="009B30B3">
      <w:pPr>
        <w:jc w:val="both"/>
        <w:rPr>
          <w:lang w:val="fr-CA"/>
        </w:rPr>
      </w:pPr>
    </w:p>
    <w:p w14:paraId="0BF28F45" w14:textId="3090C1E5" w:rsidR="00A96E85" w:rsidRPr="006B4918" w:rsidRDefault="00FC32BB">
      <w:pPr>
        <w:jc w:val="both"/>
        <w:rPr>
          <w:lang w:val="fr-CA"/>
        </w:rPr>
      </w:pPr>
      <w:r w:rsidRPr="00D03033">
        <w:rPr>
          <w:lang w:val="fr" w:eastAsia="fr-FR"/>
        </w:rPr>
        <w:t xml:space="preserve">nous avons regroupé les ouvrages en sept catégories, sept familles suffisamment grandes </w:t>
      </w:r>
      <w:r>
        <w:rPr>
          <w:b/>
          <w:bCs/>
          <w:lang w:val="fr" w:eastAsia="fr-FR"/>
        </w:rPr>
        <w:t>…………….</w:t>
      </w:r>
      <w:r w:rsidRPr="00025934">
        <w:rPr>
          <w:b/>
          <w:bCs/>
          <w:lang w:val="fr" w:eastAsia="fr-FR"/>
        </w:rPr>
        <w:t xml:space="preserve"> </w:t>
      </w:r>
      <w:r w:rsidRPr="00FC32BB">
        <w:rPr>
          <w:lang w:val="fr" w:eastAsia="fr-FR"/>
        </w:rPr>
        <w:t>accueillir plusieurs générations</w:t>
      </w:r>
      <w:r w:rsidRPr="00FC32BB">
        <w:rPr>
          <w:lang w:val="fr-CA"/>
        </w:rPr>
        <w:t xml:space="preserve"> </w:t>
      </w:r>
    </w:p>
    <w:sectPr w:rsidR="00A96E85" w:rsidRPr="006B491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4153" w14:textId="77777777" w:rsidR="00741DB3" w:rsidRDefault="00741DB3" w:rsidP="00602725">
      <w:r>
        <w:separator/>
      </w:r>
    </w:p>
  </w:endnote>
  <w:endnote w:type="continuationSeparator" w:id="0">
    <w:p w14:paraId="3FF7B561" w14:textId="77777777" w:rsidR="00741DB3" w:rsidRDefault="00741DB3" w:rsidP="0060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Katsoulidis">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A1F3" w14:textId="77777777" w:rsidR="00602725" w:rsidRDefault="0060272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240F" w14:textId="77777777" w:rsidR="00602725" w:rsidRDefault="0060272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B06" w14:textId="77777777" w:rsidR="00602725" w:rsidRDefault="0060272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7DCE" w14:textId="77777777" w:rsidR="00741DB3" w:rsidRDefault="00741DB3" w:rsidP="00602725">
      <w:r>
        <w:separator/>
      </w:r>
    </w:p>
  </w:footnote>
  <w:footnote w:type="continuationSeparator" w:id="0">
    <w:p w14:paraId="0C29BF8C" w14:textId="77777777" w:rsidR="00741DB3" w:rsidRDefault="00741DB3" w:rsidP="00602725">
      <w:r>
        <w:continuationSeparator/>
      </w:r>
    </w:p>
  </w:footnote>
  <w:footnote w:id="1">
    <w:p w14:paraId="73CDCFE6" w14:textId="77777777" w:rsidR="00A00470" w:rsidRPr="00EF0190" w:rsidRDefault="00A00470" w:rsidP="00A00470">
      <w:pPr>
        <w:pStyle w:val="ac"/>
        <w:rPr>
          <w:lang w:val="fr-CA"/>
        </w:rPr>
      </w:pPr>
      <w:r>
        <w:rPr>
          <w:rStyle w:val="af4"/>
        </w:rPr>
        <w:footnoteRef/>
      </w:r>
      <w:r w:rsidRPr="00EF0190">
        <w:rPr>
          <w:lang w:val="fr-CA"/>
        </w:rPr>
        <w:t xml:space="preserve"> </w:t>
      </w:r>
      <w:r>
        <w:rPr>
          <w:lang w:val="fr-CA"/>
        </w:rPr>
        <w:t>Pour faire de la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49E" w14:textId="77777777" w:rsidR="00602725" w:rsidRDefault="0060272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81D4" w14:textId="77777777" w:rsidR="00602725" w:rsidRDefault="0060272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E224" w14:textId="77777777" w:rsidR="00602725" w:rsidRDefault="0060272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3549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25"/>
    <w:rsid w:val="00025934"/>
    <w:rsid w:val="00117524"/>
    <w:rsid w:val="00321601"/>
    <w:rsid w:val="00457543"/>
    <w:rsid w:val="00523C68"/>
    <w:rsid w:val="00602725"/>
    <w:rsid w:val="006B4918"/>
    <w:rsid w:val="006C4372"/>
    <w:rsid w:val="00741DB3"/>
    <w:rsid w:val="00795153"/>
    <w:rsid w:val="009B30B3"/>
    <w:rsid w:val="00A00470"/>
    <w:rsid w:val="00A27C97"/>
    <w:rsid w:val="00A96E85"/>
    <w:rsid w:val="00B302E9"/>
    <w:rsid w:val="00BB011C"/>
    <w:rsid w:val="00C57030"/>
    <w:rsid w:val="00D03033"/>
    <w:rsid w:val="00EF0190"/>
    <w:rsid w:val="00F17E21"/>
    <w:rsid w:val="00FC3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D45938"/>
  <w15:chartTrackingRefBased/>
  <w15:docId w15:val="{89B606DE-BFA6-874B-B71B-48D805FE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l-GR" w:eastAsia="ar-SA"/>
    </w:rPr>
  </w:style>
  <w:style w:type="paragraph" w:styleId="1">
    <w:name w:val="heading 1"/>
    <w:basedOn w:val="a"/>
    <w:next w:val="a0"/>
    <w:qFormat/>
    <w:pPr>
      <w:numPr>
        <w:numId w:val="1"/>
      </w:numPr>
      <w:spacing w:before="280" w:after="280"/>
      <w:outlineLvl w:val="0"/>
    </w:pPr>
    <w:rPr>
      <w:b/>
      <w:bCs/>
      <w:kern w:val="1"/>
      <w:sz w:val="48"/>
      <w:szCs w:val="48"/>
    </w:rPr>
  </w:style>
  <w:style w:type="paragraph" w:styleId="2">
    <w:name w:val="heading 2"/>
    <w:basedOn w:val="a"/>
    <w:next w:val="a0"/>
    <w:qFormat/>
    <w:pPr>
      <w:numPr>
        <w:ilvl w:val="1"/>
        <w:numId w:val="1"/>
      </w:numPr>
      <w:spacing w:before="280" w:after="280"/>
      <w:outlineLvl w:val="1"/>
    </w:pPr>
    <w:rPr>
      <w:b/>
      <w:bCs/>
      <w:sz w:val="36"/>
      <w:szCs w:val="36"/>
    </w:rPr>
  </w:style>
  <w:style w:type="paragraph" w:styleId="4">
    <w:name w:val="heading 4"/>
    <w:basedOn w:val="a"/>
    <w:next w:val="a0"/>
    <w:qFormat/>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style>
  <w:style w:type="character" w:customStyle="1" w:styleId="WW8Num3z1">
    <w:name w:val="WW8Num3z1"/>
    <w:rPr>
      <w:sz w:val="22"/>
      <w:szCs w:val="22"/>
    </w:rPr>
  </w:style>
  <w:style w:type="character" w:customStyle="1" w:styleId="WW8Num3z2">
    <w:name w:val="WW8Num3z2"/>
    <w:rPr>
      <w:rFonts w:hint="default"/>
      <w:color w:val="auto"/>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i w:val="0"/>
    </w:rPr>
  </w:style>
  <w:style w:type="character" w:customStyle="1" w:styleId="WW8Num5z1">
    <w:name w:val="WW8Num5z1"/>
    <w:rPr>
      <w:rFonts w:ascii="Times New Roman" w:hAnsi="Times New Roman" w:cs="Times New Roman" w:hint="default"/>
      <w:i w:val="0"/>
    </w:rPr>
  </w:style>
  <w:style w:type="character" w:customStyle="1" w:styleId="WW8Num5z2">
    <w:name w:val="WW8Num5z2"/>
    <w:rPr>
      <w:rFonts w:hint="default"/>
      <w:i w:val="0"/>
      <w:sz w:val="22"/>
      <w:szCs w:val="22"/>
    </w:rPr>
  </w:style>
  <w:style w:type="character" w:customStyle="1" w:styleId="WW8Num5z3">
    <w:name w:val="WW8Num5z3"/>
    <w:rPr>
      <w:rFonts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10">
    <w:name w:val="Προεπιλεγμένη γραμματοσειρά1"/>
  </w:style>
  <w:style w:type="character" w:customStyle="1" w:styleId="TitleChar">
    <w:name w:val="Title Char"/>
    <w:rPr>
      <w:rFonts w:eastAsia="Calibri"/>
      <w:b/>
      <w:bCs/>
      <w:lang w:val="x-none" w:eastAsia="ar-SA" w:bidi="ar-SA"/>
    </w:rPr>
  </w:style>
  <w:style w:type="character" w:customStyle="1" w:styleId="BodyTextChar">
    <w:name w:val="Body Text Char"/>
    <w:rPr>
      <w:sz w:val="24"/>
      <w:szCs w:val="22"/>
      <w:lang w:val="fr-FR"/>
    </w:rPr>
  </w:style>
  <w:style w:type="character" w:customStyle="1" w:styleId="FootnoteTextChar">
    <w:name w:val="Footnote Text Char"/>
    <w:basedOn w:val="10"/>
  </w:style>
  <w:style w:type="character" w:customStyle="1" w:styleId="a4">
    <w:name w:val="Σύμβολο υποσημείωσης"/>
    <w:rPr>
      <w:vertAlign w:val="superscript"/>
    </w:rPr>
  </w:style>
  <w:style w:type="character" w:styleId="-">
    <w:name w:val="Hyperlink"/>
    <w:rPr>
      <w:color w:val="0563C1"/>
      <w:u w:val="single"/>
    </w:rPr>
  </w:style>
  <w:style w:type="character" w:customStyle="1" w:styleId="BalloonTextChar">
    <w:name w:val="Balloon Text Char"/>
    <w:rPr>
      <w:rFonts w:ascii="Segoe UI" w:hAnsi="Segoe UI" w:cs="Segoe UI"/>
      <w:sz w:val="18"/>
      <w:szCs w:val="18"/>
    </w:rPr>
  </w:style>
  <w:style w:type="character" w:customStyle="1" w:styleId="more-button">
    <w:name w:val="more-button"/>
  </w:style>
  <w:style w:type="character" w:customStyle="1" w:styleId="Heading1Char">
    <w:name w:val="Heading 1 Char"/>
    <w:rPr>
      <w:b/>
      <w:bCs/>
      <w:kern w:val="1"/>
      <w:sz w:val="48"/>
      <w:szCs w:val="48"/>
    </w:rPr>
  </w:style>
  <w:style w:type="character" w:customStyle="1" w:styleId="Heading2Char">
    <w:name w:val="Heading 2 Char"/>
    <w:rPr>
      <w:b/>
      <w:bCs/>
      <w:sz w:val="36"/>
      <w:szCs w:val="36"/>
    </w:rPr>
  </w:style>
  <w:style w:type="character" w:customStyle="1" w:styleId="Heading4Char">
    <w:name w:val="Heading 4 Char"/>
    <w:rPr>
      <w:b/>
      <w:bCs/>
      <w:sz w:val="24"/>
      <w:szCs w:val="24"/>
    </w:rPr>
  </w:style>
  <w:style w:type="character" w:styleId="a5">
    <w:name w:val="Strong"/>
    <w:qFormat/>
    <w:rPr>
      <w:b/>
      <w:bCs/>
    </w:rPr>
  </w:style>
  <w:style w:type="character" w:styleId="a6">
    <w:name w:val="Emphasis"/>
    <w:qFormat/>
    <w:rPr>
      <w:i/>
      <w:iCs/>
    </w:rPr>
  </w:style>
  <w:style w:type="character" w:customStyle="1" w:styleId="gi">
    <w:name w:val="gi"/>
  </w:style>
  <w:style w:type="paragraph" w:customStyle="1" w:styleId="a7">
    <w:name w:val="Επικεφαλίδα"/>
    <w:basedOn w:val="a"/>
    <w:next w:val="a0"/>
    <w:pPr>
      <w:keepNext/>
      <w:spacing w:before="240" w:after="120"/>
    </w:pPr>
    <w:rPr>
      <w:rFonts w:ascii="Arial" w:eastAsia="Microsoft YaHei" w:hAnsi="Arial" w:cs="Lucida Sans"/>
      <w:sz w:val="28"/>
      <w:szCs w:val="28"/>
    </w:rPr>
  </w:style>
  <w:style w:type="paragraph" w:styleId="a0">
    <w:name w:val="Body Text"/>
    <w:basedOn w:val="a"/>
    <w:pPr>
      <w:spacing w:before="60"/>
      <w:jc w:val="both"/>
    </w:pPr>
    <w:rPr>
      <w:szCs w:val="22"/>
      <w:lang w:val="fr-FR"/>
    </w:rPr>
  </w:style>
  <w:style w:type="paragraph" w:styleId="a8">
    <w:name w:val="List"/>
    <w:basedOn w:val="a0"/>
    <w:rPr>
      <w:rFonts w:cs="Lucida Sans"/>
    </w:rPr>
  </w:style>
  <w:style w:type="paragraph" w:customStyle="1" w:styleId="11">
    <w:name w:val="Λεζάντα1"/>
    <w:basedOn w:val="a"/>
    <w:pPr>
      <w:suppressLineNumbers/>
      <w:spacing w:before="120" w:after="120"/>
    </w:pPr>
    <w:rPr>
      <w:rFonts w:cs="Lucida Sans"/>
      <w:i/>
      <w:iCs/>
    </w:rPr>
  </w:style>
  <w:style w:type="paragraph" w:customStyle="1" w:styleId="a9">
    <w:name w:val="Ευρετήριο"/>
    <w:basedOn w:val="a"/>
    <w:pPr>
      <w:suppressLineNumbers/>
    </w:pPr>
    <w:rPr>
      <w:rFonts w:cs="Lucida Sans"/>
    </w:rPr>
  </w:style>
  <w:style w:type="paragraph" w:styleId="aa">
    <w:name w:val="Title"/>
    <w:basedOn w:val="a"/>
    <w:next w:val="ab"/>
    <w:qFormat/>
    <w:pPr>
      <w:ind w:right="4195"/>
      <w:jc w:val="center"/>
    </w:pPr>
    <w:rPr>
      <w:rFonts w:eastAsia="Calibri"/>
      <w:b/>
      <w:bCs/>
      <w:sz w:val="20"/>
      <w:szCs w:val="20"/>
      <w:lang w:val="x-none"/>
    </w:rPr>
  </w:style>
  <w:style w:type="paragraph" w:styleId="ab">
    <w:name w:val="Subtitle"/>
    <w:basedOn w:val="a7"/>
    <w:next w:val="a0"/>
    <w:qFormat/>
    <w:pPr>
      <w:jc w:val="center"/>
    </w:pPr>
    <w:rPr>
      <w:i/>
      <w:iCs/>
    </w:rPr>
  </w:style>
  <w:style w:type="paragraph" w:styleId="ac">
    <w:name w:val="footnote text"/>
    <w:basedOn w:val="a"/>
    <w:rPr>
      <w:sz w:val="20"/>
      <w:szCs w:val="20"/>
    </w:rPr>
  </w:style>
  <w:style w:type="paragraph" w:customStyle="1" w:styleId="12">
    <w:name w:val="Κείμενο πλαισίου1"/>
    <w:basedOn w:val="a"/>
    <w:rPr>
      <w:rFonts w:ascii="Segoe UI" w:hAnsi="Segoe UI" w:cs="Segoe UI"/>
      <w:sz w:val="18"/>
      <w:szCs w:val="18"/>
    </w:rPr>
  </w:style>
  <w:style w:type="paragraph" w:styleId="Web">
    <w:name w:val="Normal (Web)"/>
    <w:basedOn w:val="a"/>
    <w:pPr>
      <w:spacing w:before="280" w:after="280"/>
    </w:pPr>
  </w:style>
  <w:style w:type="paragraph" w:customStyle="1" w:styleId="ad">
    <w:name w:val="Περιεχόμενα πίνακα"/>
    <w:basedOn w:val="a"/>
    <w:pPr>
      <w:suppressLineNumbers/>
    </w:pPr>
  </w:style>
  <w:style w:type="paragraph" w:customStyle="1" w:styleId="ae">
    <w:name w:val="Επικεφαλίδα πίνακα"/>
    <w:basedOn w:val="ad"/>
    <w:pPr>
      <w:jc w:val="center"/>
    </w:pPr>
    <w:rPr>
      <w:b/>
      <w:bCs/>
    </w:rPr>
  </w:style>
  <w:style w:type="paragraph" w:styleId="af">
    <w:name w:val="header"/>
    <w:basedOn w:val="a"/>
    <w:link w:val="Char"/>
    <w:uiPriority w:val="99"/>
    <w:unhideWhenUsed/>
    <w:rsid w:val="00602725"/>
    <w:pPr>
      <w:tabs>
        <w:tab w:val="center" w:pos="4536"/>
        <w:tab w:val="right" w:pos="9072"/>
      </w:tabs>
    </w:pPr>
  </w:style>
  <w:style w:type="character" w:customStyle="1" w:styleId="Char">
    <w:name w:val="Κεφαλίδα Char"/>
    <w:basedOn w:val="a1"/>
    <w:link w:val="af"/>
    <w:uiPriority w:val="99"/>
    <w:rsid w:val="00602725"/>
    <w:rPr>
      <w:sz w:val="24"/>
      <w:szCs w:val="24"/>
      <w:lang w:val="el-GR" w:eastAsia="ar-SA"/>
    </w:rPr>
  </w:style>
  <w:style w:type="paragraph" w:styleId="af0">
    <w:name w:val="footer"/>
    <w:basedOn w:val="a"/>
    <w:link w:val="Char0"/>
    <w:uiPriority w:val="99"/>
    <w:unhideWhenUsed/>
    <w:rsid w:val="00602725"/>
    <w:pPr>
      <w:tabs>
        <w:tab w:val="center" w:pos="4536"/>
        <w:tab w:val="right" w:pos="9072"/>
      </w:tabs>
    </w:pPr>
  </w:style>
  <w:style w:type="character" w:customStyle="1" w:styleId="Char0">
    <w:name w:val="Υποσέλιδο Char"/>
    <w:basedOn w:val="a1"/>
    <w:link w:val="af0"/>
    <w:uiPriority w:val="99"/>
    <w:rsid w:val="00602725"/>
    <w:rPr>
      <w:sz w:val="24"/>
      <w:szCs w:val="24"/>
      <w:lang w:val="el-GR" w:eastAsia="ar-SA"/>
    </w:rPr>
  </w:style>
  <w:style w:type="paragraph" w:styleId="af1">
    <w:name w:val="Revision"/>
    <w:hidden/>
    <w:uiPriority w:val="99"/>
    <w:semiHidden/>
    <w:rsid w:val="006B4918"/>
    <w:rPr>
      <w:sz w:val="24"/>
      <w:szCs w:val="24"/>
      <w:lang w:val="el-GR" w:eastAsia="ar-SA"/>
    </w:rPr>
  </w:style>
  <w:style w:type="character" w:styleId="af2">
    <w:name w:val="Unresolved Mention"/>
    <w:basedOn w:val="a1"/>
    <w:uiPriority w:val="99"/>
    <w:semiHidden/>
    <w:unhideWhenUsed/>
    <w:rsid w:val="00D03033"/>
    <w:rPr>
      <w:color w:val="605E5C"/>
      <w:shd w:val="clear" w:color="auto" w:fill="E1DFDD"/>
    </w:rPr>
  </w:style>
  <w:style w:type="paragraph" w:styleId="af3">
    <w:name w:val="List Paragraph"/>
    <w:basedOn w:val="a"/>
    <w:uiPriority w:val="34"/>
    <w:qFormat/>
    <w:rsid w:val="00321601"/>
    <w:pPr>
      <w:ind w:left="720"/>
      <w:contextualSpacing/>
    </w:pPr>
  </w:style>
  <w:style w:type="character" w:styleId="af4">
    <w:name w:val="footnote reference"/>
    <w:basedOn w:val="a1"/>
    <w:uiPriority w:val="99"/>
    <w:semiHidden/>
    <w:unhideWhenUsed/>
    <w:rsid w:val="00EF0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elerama.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77D5-B975-4CC7-95DC-E3A68519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620</Words>
  <Characters>3349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Mavina</dc:creator>
  <cp:keywords/>
  <cp:lastModifiedBy>Argyro Moustaki</cp:lastModifiedBy>
  <cp:revision>11</cp:revision>
  <cp:lastPrinted>2017-06-29T14:31:00Z</cp:lastPrinted>
  <dcterms:created xsi:type="dcterms:W3CDTF">2022-06-25T15:46:00Z</dcterms:created>
  <dcterms:modified xsi:type="dcterms:W3CDTF">2022-06-26T08:18:00Z</dcterms:modified>
</cp:coreProperties>
</file>