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95" w:rsidRPr="001A2B95" w:rsidRDefault="00E229DD" w:rsidP="001A2B95">
      <w:pPr>
        <w:jc w:val="center"/>
        <w:rPr>
          <w:b/>
          <w:sz w:val="22"/>
          <w:szCs w:val="22"/>
        </w:rPr>
      </w:pPr>
      <w:r w:rsidRPr="001A2B95">
        <w:rPr>
          <w:b/>
          <w:sz w:val="22"/>
          <w:szCs w:val="22"/>
        </w:rPr>
        <w:t xml:space="preserve">Έλεγχος Ομογένειας Βροχομετρικών Δεδομένων (Ετήσιων Υψών Βροχής) </w:t>
      </w:r>
    </w:p>
    <w:p w:rsidR="007952C8" w:rsidRPr="001A2B95" w:rsidRDefault="00E229DD" w:rsidP="001A2B95">
      <w:pPr>
        <w:jc w:val="center"/>
        <w:rPr>
          <w:b/>
          <w:sz w:val="22"/>
          <w:szCs w:val="22"/>
        </w:rPr>
      </w:pPr>
      <w:r w:rsidRPr="001A2B95">
        <w:rPr>
          <w:b/>
          <w:sz w:val="22"/>
          <w:szCs w:val="22"/>
        </w:rPr>
        <w:t>με τη μέθοδο της Διπλής Αθροιστικής καμπύλης</w:t>
      </w:r>
    </w:p>
    <w:p w:rsidR="00E229DD" w:rsidRPr="001A2B95" w:rsidRDefault="00E229DD">
      <w:pPr>
        <w:rPr>
          <w:b/>
        </w:rPr>
      </w:pPr>
      <w:r w:rsidRPr="001A2B95">
        <w:rPr>
          <w:b/>
        </w:rPr>
        <w:t>Ανάλυση της Μεθόδου</w:t>
      </w:r>
    </w:p>
    <w:p w:rsidR="00E229DD" w:rsidRDefault="00E229DD">
      <w:r>
        <w:t xml:space="preserve">Το βασικότερο βροχομετρικό στοιχείο ενός βροχομετρικού σταθμού είναι το </w:t>
      </w:r>
      <w:r>
        <w:rPr>
          <w:b/>
        </w:rPr>
        <w:t xml:space="preserve">ετήσιο ύψος βροχής. </w:t>
      </w:r>
      <w:r w:rsidRPr="00E229DD">
        <w:t>Δεδομένου ότι αποτελεί τη βάση για ένα μεγάλο αριθμό στατιστικών αναλύσεων απαιτείται ένας πρώτος έλεγχος της ομογένειας των</w:t>
      </w:r>
      <w:r>
        <w:rPr>
          <w:b/>
        </w:rPr>
        <w:t xml:space="preserve"> </w:t>
      </w:r>
      <w:r w:rsidRPr="00E229DD">
        <w:rPr>
          <w:b/>
        </w:rPr>
        <w:t>σημειακών ετήσιων υψών βροχής</w:t>
      </w:r>
      <w:r>
        <w:t>, δηλαδή των ετησίων υψών βροχής ενός σταθμού που βρίσκεται μόνιμα εγκατεστημένος σ’ ένα συγκεκριμένο σημείο της λεκάνης απορροής.</w:t>
      </w:r>
    </w:p>
    <w:p w:rsidR="00E229DD" w:rsidRDefault="00E229DD">
      <w:r>
        <w:t>Ο έλεγχος αυτός είναι εύκολος στις περιπτώσεις εκείνες που έχουμε στη διάθεσή μας δεδομένα γειτονικών σταθμών που βρίσκονται κάτω από ανάλογες υδρολογικές συνθήκες, στηρίζεται δε στις δύο παρακάτω αρχές:</w:t>
      </w:r>
    </w:p>
    <w:p w:rsidR="00E229DD" w:rsidRPr="00E229DD" w:rsidRDefault="00E229DD" w:rsidP="00DF2264">
      <w:pPr>
        <w:numPr>
          <w:ilvl w:val="0"/>
          <w:numId w:val="2"/>
        </w:numPr>
      </w:pPr>
      <w:r>
        <w:t xml:space="preserve">Το ετήσιο ύψος βροχής είναι γενικά το άθροισμα των 365 ημερησίων υψών βροχής (365 στοχαστικών </w:t>
      </w:r>
      <w:r w:rsidRPr="00284ACB">
        <w:t>μεταβλητών), που καθεμιά από αυτές ακολουθεί ένα τυχόντα νόμο κατανομής. Αν και τα ημερήσια ύψη βροχής</w:t>
      </w:r>
      <w:r>
        <w:t xml:space="preserve"> δεν είναι τελείως ανεξάρτητα, εν τούτοις δεχόμαστε ότι ακολουθούν το νόμο του </w:t>
      </w:r>
      <w:r>
        <w:rPr>
          <w:lang w:val="en-US"/>
        </w:rPr>
        <w:t>Gauss</w:t>
      </w:r>
      <w:r w:rsidRPr="00E229DD">
        <w:t>.</w:t>
      </w:r>
    </w:p>
    <w:p w:rsidR="00E229DD" w:rsidRDefault="00E229DD" w:rsidP="00DF2264">
      <w:pPr>
        <w:numPr>
          <w:ilvl w:val="0"/>
          <w:numId w:val="2"/>
        </w:numPr>
      </w:pPr>
      <w:r>
        <w:t xml:space="preserve">Τα ετήσια ύψη βροχής γειτονικών σταθμών με ανάλογες υδρολογικές συνθήκες στοχαστικές μεταβλητές. Αντίθετα, βρίσκονται υπό στενή στοχαστική εξάρτηση, η οποία μάλιστα είναι γραμμική, δεδομένου ότι κάθε ύψος βροχής ακολουθεί το νόμο του </w:t>
      </w:r>
      <w:r>
        <w:rPr>
          <w:lang w:val="en-US"/>
        </w:rPr>
        <w:t>Gauss</w:t>
      </w:r>
      <w:r w:rsidRPr="00E229DD">
        <w:t xml:space="preserve">. </w:t>
      </w:r>
      <w:r>
        <w:t xml:space="preserve">Συνεπώς, </w:t>
      </w:r>
      <w:r w:rsidR="00A63B13">
        <w:t>το ίδιο θα ισχύει και για τα αθροιστικά ετήσια ύψη βροχής, δεδομένου ότι αυτά αποτελούν απλό γραμμικό συνδυασμό των ετησίων υψών βροχής ο οποίος, λόγω του χαρακτήρα του (άθροισμα), περιορίζει σημαντικά τη διασπορά.</w:t>
      </w:r>
    </w:p>
    <w:p w:rsidR="00A63B13" w:rsidRDefault="00A63B13" w:rsidP="00A63B13">
      <w:r>
        <w:t>Με βάση τα παραπάνω, η μέθοδος ελέγχου της ομογένειας των βροχομετρικών δεδομένων (μέθοδος διπλής αθροιστικής καμπύλης) εφαρμόζεται ως εξής:</w:t>
      </w:r>
    </w:p>
    <w:p w:rsidR="00A63B13" w:rsidRPr="00A63B13" w:rsidRDefault="00A63B13" w:rsidP="00D96BE0">
      <w:pPr>
        <w:numPr>
          <w:ilvl w:val="0"/>
          <w:numId w:val="1"/>
        </w:numPr>
        <w:tabs>
          <w:tab w:val="clear" w:pos="720"/>
        </w:tabs>
        <w:ind w:left="374"/>
      </w:pPr>
      <w:r>
        <w:t xml:space="preserve">Βρίσκουμε τον συντελεστή συσχέτισης </w:t>
      </w:r>
      <w:r>
        <w:rPr>
          <w:lang w:val="en-US"/>
        </w:rPr>
        <w:t>r</w:t>
      </w:r>
      <w:r w:rsidRPr="00A63B13">
        <w:t xml:space="preserve"> </w:t>
      </w:r>
      <w:r>
        <w:t xml:space="preserve">των βροχομετρικών σταθμών ανά δύο, για τη μεγαλύτερη συνεχή περίοδο κοινών παρατηρήσεων των ετήσιων υψών βροχής. Η μέθοδος μπορεί να εφαρμοστεί εφόσον κατά μέσο όρο, </w:t>
      </w:r>
      <w:r>
        <w:rPr>
          <w:lang w:val="en-US"/>
        </w:rPr>
        <w:t>r</w:t>
      </w:r>
      <w:r w:rsidRPr="00A63B13">
        <w:t xml:space="preserve">≥0.70. </w:t>
      </w:r>
      <w:r>
        <w:t xml:space="preserve">Ο συντελεστής συσχέτισης δίνεται από την παρακάτω σχέση: </w:t>
      </w:r>
      <w:r w:rsidR="007653ED" w:rsidRPr="00A63B13">
        <w:rPr>
          <w:position w:val="-44"/>
        </w:rPr>
        <w:object w:dxaOrig="464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52.5pt" o:ole="">
            <v:imagedata r:id="rId5" o:title=""/>
          </v:shape>
          <o:OLEObject Type="Embed" ProgID="Equation.3" ShapeID="_x0000_i1025" DrawAspect="Content" ObjectID="_1680087189" r:id="rId6"/>
        </w:object>
      </w:r>
    </w:p>
    <w:p w:rsidR="00A63B13" w:rsidRDefault="007653ED" w:rsidP="00D96BE0">
      <w:pPr>
        <w:numPr>
          <w:ilvl w:val="0"/>
          <w:numId w:val="1"/>
        </w:numPr>
        <w:tabs>
          <w:tab w:val="clear" w:pos="720"/>
        </w:tabs>
        <w:ind w:left="374"/>
      </w:pPr>
      <w:r>
        <w:t xml:space="preserve">Υπολογίζονται τα διαδοχικά αθροιστικά ετήσια ύψη βροχής κάθε σταθμού (π.χ. </w:t>
      </w:r>
      <w:r>
        <w:rPr>
          <w:lang w:val="en-US"/>
        </w:rPr>
        <w:t>P</w:t>
      </w:r>
      <w:r w:rsidRPr="007653ED">
        <w:rPr>
          <w:vertAlign w:val="subscript"/>
        </w:rPr>
        <w:t>1960</w:t>
      </w:r>
      <w:r w:rsidRPr="007653ED">
        <w:t xml:space="preserve">, </w:t>
      </w:r>
      <w:r>
        <w:rPr>
          <w:lang w:val="en-US"/>
        </w:rPr>
        <w:t>P</w:t>
      </w:r>
      <w:r w:rsidRPr="007653ED">
        <w:rPr>
          <w:vertAlign w:val="subscript"/>
        </w:rPr>
        <w:t>1960</w:t>
      </w:r>
      <w:r w:rsidRPr="007653ED">
        <w:t xml:space="preserve">+ </w:t>
      </w:r>
      <w:r>
        <w:rPr>
          <w:lang w:val="en-US"/>
        </w:rPr>
        <w:t>P</w:t>
      </w:r>
      <w:r w:rsidRPr="007653ED">
        <w:rPr>
          <w:vertAlign w:val="subscript"/>
        </w:rPr>
        <w:t>19</w:t>
      </w:r>
      <w:r w:rsidR="002D4B76" w:rsidRPr="002D4B76">
        <w:rPr>
          <w:vertAlign w:val="subscript"/>
        </w:rPr>
        <w:t>61</w:t>
      </w:r>
      <w:r w:rsidRPr="007653ED">
        <w:t xml:space="preserve">, </w:t>
      </w:r>
      <w:r>
        <w:rPr>
          <w:lang w:val="en-US"/>
        </w:rPr>
        <w:t>P</w:t>
      </w:r>
      <w:r w:rsidRPr="007653ED">
        <w:rPr>
          <w:vertAlign w:val="subscript"/>
        </w:rPr>
        <w:t>1960</w:t>
      </w:r>
      <w:r w:rsidRPr="007653ED">
        <w:t xml:space="preserve">+ </w:t>
      </w:r>
      <w:r>
        <w:rPr>
          <w:lang w:val="en-US"/>
        </w:rPr>
        <w:t>P</w:t>
      </w:r>
      <w:r w:rsidRPr="007653ED">
        <w:rPr>
          <w:vertAlign w:val="subscript"/>
        </w:rPr>
        <w:t>19</w:t>
      </w:r>
      <w:r w:rsidR="002D4B76" w:rsidRPr="002D4B76">
        <w:rPr>
          <w:vertAlign w:val="subscript"/>
        </w:rPr>
        <w:t>61</w:t>
      </w:r>
      <w:r w:rsidRPr="007653ED">
        <w:t xml:space="preserve">+ </w:t>
      </w:r>
      <w:r>
        <w:rPr>
          <w:lang w:val="en-US"/>
        </w:rPr>
        <w:t>P</w:t>
      </w:r>
      <w:r w:rsidRPr="007653ED">
        <w:rPr>
          <w:vertAlign w:val="subscript"/>
        </w:rPr>
        <w:t>19</w:t>
      </w:r>
      <w:r w:rsidR="002D4B76" w:rsidRPr="002D4B76">
        <w:rPr>
          <w:vertAlign w:val="subscript"/>
        </w:rPr>
        <w:t>62</w:t>
      </w:r>
      <w:r w:rsidRPr="007653ED">
        <w:t xml:space="preserve">, </w:t>
      </w:r>
      <w:r>
        <w:t>κ.ο.κ.) και κατασκευάζονται τα διαγράμματα των τετμημένων του ενός σταθμού συναρτήσει των τετμημένων του άλλου. Προκύπτουν έτσι διπλές αθροιστικές καμπύλες που είναι τόσες, όσοι οι συνδυασμοί του αριθμού των σταθμών ανά δύο. Εφόσον κάθε δείγμα είναι ομογενές, πρέπει οι καμπύλες αυτές να εμφανίζονται σαν συνεχείς ευθείες.</w:t>
      </w:r>
    </w:p>
    <w:p w:rsidR="007653ED" w:rsidRPr="00653B7B" w:rsidRDefault="007653ED" w:rsidP="00D96BE0">
      <w:pPr>
        <w:numPr>
          <w:ilvl w:val="0"/>
          <w:numId w:val="1"/>
        </w:numPr>
        <w:tabs>
          <w:tab w:val="clear" w:pos="720"/>
        </w:tabs>
        <w:ind w:left="374"/>
      </w:pPr>
      <w:r>
        <w:t xml:space="preserve">Η ύπαρξη συστηματικού σφάλματος ή σφαλμάτων σε κάποιο σταθμό εμφανίζεται με κάμψη των ευθειών, για τη χάραξη των οποίων χρησιμοποιήθηκαν στοιχεία του σταθμού αυτού. Ελέγχοντας έτσι τους σταθμούς ανά δύο μπορούμε να εντοπίσουμε τον σταθμό που είναι υπεύθυνος </w:t>
      </w:r>
      <w:r w:rsidR="003B0ED5">
        <w:t xml:space="preserve">για την κάμψη των ευθειών και κατά συνέπεια την </w:t>
      </w:r>
      <w:r w:rsidR="003B0ED5" w:rsidRPr="00653B7B">
        <w:t>ανομοιογένεια (ετερογένεια;) των βροχομετρικών δεδομένων. Επίσης εντοπίζεται με ικανοποιητική προσέγγιση και η χρονική περίοδος κατά την οποία υπεισέρχεται το συστηματικό σφάλμα, οπότε είναι δυνατόν με κατάλληλη έρευνα να εντοπιστούν τα αίτια της ανομοιογένειας (ετερογένειας;).</w:t>
      </w:r>
    </w:p>
    <w:p w:rsidR="003B0ED5" w:rsidRPr="00653B7B" w:rsidRDefault="003B0ED5" w:rsidP="00D96BE0">
      <w:pPr>
        <w:numPr>
          <w:ilvl w:val="0"/>
          <w:numId w:val="1"/>
        </w:numPr>
        <w:tabs>
          <w:tab w:val="clear" w:pos="720"/>
        </w:tabs>
        <w:ind w:left="374"/>
      </w:pPr>
      <w:r w:rsidRPr="00653B7B">
        <w:t>Η χάραξη των διπλών αθροιστικών καμπυλών είναι εμπειρική και συνεπώς υπεισέρχεται ο υποκειμενικός παράγοντας. Γνωρίζουμε όμως ότι η κλίση των καμπυλών ισούται προς τον λόγο των πιθανότερων τιμών δύο αθροιστικών ετήσιων υψών βροχής και ότι στην πράξη τα έτη για τα οποία  ο λόγος των τιμών τείνει προς τον λόγο των πιθανότερων τιμών εμφανίζονται ανά τρία ή τέσσερα. Η παρατήρηση αυτή διευκολύνει κατά πολύ την χάραξη των ευθειών και τον εντοπισμό της ανομοιογένειας.</w:t>
      </w:r>
    </w:p>
    <w:p w:rsidR="003B0ED5" w:rsidRDefault="003B0ED5" w:rsidP="00D96BE0">
      <w:pPr>
        <w:numPr>
          <w:ilvl w:val="0"/>
          <w:numId w:val="1"/>
        </w:numPr>
        <w:tabs>
          <w:tab w:val="clear" w:pos="720"/>
        </w:tabs>
        <w:ind w:left="374"/>
      </w:pPr>
      <w:r>
        <w:t xml:space="preserve">Για τον έλεγχο πολλών βροχομετρικών σταθμών δεν λαμβάνονται συνήθως οι συνδυασμοί όλων των σταθμών ανά δύο αλλά εκλέγονται ένας ή περισσότεροι σταθμοί βάσης, οι οποίοι παρουσιάζουν τη μεγαλύτερη δυνατή περίοδο σύγχρονων παρατηρήσεων με τους περισσότερους των άλλων σταθμών. Στη συνέχεια ακολουθεί η εφαρμογή της μεθόδου με την κατασκευή διαγραμμάτων με άξονες τετμημένων τις τετμημένες του σταθμού βάσης και τεταγμένες τις τετμημένες των άλλων σταθμών. </w:t>
      </w:r>
    </w:p>
    <w:p w:rsidR="00D96BE0" w:rsidRDefault="00D96BE0" w:rsidP="00D96BE0">
      <w:pPr>
        <w:numPr>
          <w:ilvl w:val="0"/>
          <w:numId w:val="1"/>
        </w:numPr>
        <w:tabs>
          <w:tab w:val="clear" w:pos="720"/>
        </w:tabs>
        <w:ind w:left="374"/>
      </w:pPr>
      <w:r>
        <w:t>Εάν λ=</w:t>
      </w:r>
      <w:r>
        <w:rPr>
          <w:lang w:val="en-US"/>
        </w:rPr>
        <w:t>m</w:t>
      </w:r>
      <w:r w:rsidRPr="00D96BE0">
        <w:t>/</w:t>
      </w:r>
      <w:r>
        <w:rPr>
          <w:lang w:val="en-US"/>
        </w:rPr>
        <w:t>m</w:t>
      </w:r>
      <w:r>
        <w:t>΄</w:t>
      </w:r>
      <w:r w:rsidRPr="00D96BE0">
        <w:t xml:space="preserve"> </w:t>
      </w:r>
      <w:r>
        <w:t>είναι ο λόγος των κλίσεων δυο τεμνόμενων ευθειών κατά τη σύγκριση δύο σταθμών, μετά την κατάλληλη έρευνα διορθώνονται τα ετήσια ύψη βροχής του ανομοιογενούς τμήματος των παρατηρήσεων, πολλαπλασιάζοντας ή διαιρώντας τα θεωρούμενα εσφαλμένα ύψη βροχής με τον λόγο λ.</w:t>
      </w:r>
    </w:p>
    <w:p w:rsidR="00D96BE0" w:rsidRDefault="00D96BE0" w:rsidP="00D96BE0">
      <w:pPr>
        <w:numPr>
          <w:ilvl w:val="0"/>
          <w:numId w:val="1"/>
        </w:numPr>
        <w:tabs>
          <w:tab w:val="clear" w:pos="720"/>
        </w:tabs>
        <w:ind w:left="374"/>
      </w:pPr>
      <w:r>
        <w:t>Η παραπέρα διόρθωση των ημερησίων υψών βροχής προϋποθέτει πιο λεπτομερή έρευνα και απαιτεί ιδιαίτερη προσοχή.</w:t>
      </w:r>
    </w:p>
    <w:p w:rsidR="00DF2264" w:rsidRDefault="00653B7B" w:rsidP="00653B7B">
      <w:pPr>
        <w:jc w:val="center"/>
        <w:rPr>
          <w:lang w:val="en-US"/>
        </w:rPr>
      </w:pPr>
      <w:r>
        <w:rPr>
          <w:lang w:val="en-US"/>
        </w:rPr>
        <w:t xml:space="preserve"> </w:t>
      </w:r>
    </w:p>
    <w:p w:rsidR="00653B7B" w:rsidRDefault="00653B7B" w:rsidP="00111C2E">
      <w:pPr>
        <w:rPr>
          <w:lang w:val="en-US"/>
        </w:rPr>
      </w:pPr>
    </w:p>
    <w:p w:rsidR="00653B7B" w:rsidRDefault="00653B7B" w:rsidP="00111C2E">
      <w:pPr>
        <w:rPr>
          <w:lang w:val="en-US"/>
        </w:rPr>
        <w:sectPr w:rsidR="00653B7B" w:rsidSect="001A2B95">
          <w:pgSz w:w="11906" w:h="16838" w:code="9"/>
          <w:pgMar w:top="567" w:right="567" w:bottom="567" w:left="567" w:header="709" w:footer="709" w:gutter="0"/>
          <w:cols w:space="708"/>
          <w:docGrid w:linePitch="360"/>
        </w:sectPr>
      </w:pPr>
    </w:p>
    <w:p w:rsidR="00653B7B" w:rsidRDefault="00A52657" w:rsidP="00111C2E">
      <w:pPr>
        <w:rPr>
          <w:lang w:val="en-US"/>
        </w:rPr>
      </w:pPr>
      <w:r>
        <w:rPr>
          <w:noProof/>
        </w:rPr>
        <w:lastRenderedPageBreak/>
        <w:drawing>
          <wp:inline distT="0" distB="0" distL="0" distR="0">
            <wp:extent cx="9277350" cy="5410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277350" cy="5410200"/>
                    </a:xfrm>
                    <a:prstGeom prst="rect">
                      <a:avLst/>
                    </a:prstGeom>
                    <a:noFill/>
                    <a:ln w="9525">
                      <a:noFill/>
                      <a:miter lim="800000"/>
                      <a:headEnd/>
                      <a:tailEnd/>
                    </a:ln>
                  </pic:spPr>
                </pic:pic>
              </a:graphicData>
            </a:graphic>
          </wp:inline>
        </w:drawing>
      </w:r>
    </w:p>
    <w:p w:rsidR="00653B7B" w:rsidRPr="00653B7B" w:rsidRDefault="00653B7B" w:rsidP="00111C2E">
      <w:pPr>
        <w:rPr>
          <w:lang w:val="en-US"/>
        </w:rPr>
      </w:pPr>
      <w:r>
        <w:rPr>
          <w:lang w:val="en-US"/>
        </w:rPr>
        <w:br w:type="page"/>
      </w:r>
    </w:p>
    <w:tbl>
      <w:tblPr>
        <w:tblW w:w="0" w:type="auto"/>
        <w:tblLook w:val="04A0"/>
      </w:tblPr>
      <w:tblGrid>
        <w:gridCol w:w="7960"/>
        <w:gridCol w:w="7960"/>
      </w:tblGrid>
      <w:tr w:rsidR="00653B7B" w:rsidRPr="00284ACB" w:rsidTr="00284ACB">
        <w:tc>
          <w:tcPr>
            <w:tcW w:w="7960" w:type="dxa"/>
          </w:tcPr>
          <w:p w:rsidR="00653B7B" w:rsidRPr="00284ACB" w:rsidRDefault="00A52657" w:rsidP="00284ACB">
            <w:pPr>
              <w:jc w:val="center"/>
              <w:rPr>
                <w:lang w:val="en-US"/>
              </w:rPr>
            </w:pPr>
            <w:r>
              <w:rPr>
                <w:noProof/>
              </w:rPr>
              <w:drawing>
                <wp:inline distT="0" distB="0" distL="0" distR="0">
                  <wp:extent cx="3771900" cy="30384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3771900" cy="3038475"/>
                          </a:xfrm>
                          <a:prstGeom prst="rect">
                            <a:avLst/>
                          </a:prstGeom>
                          <a:noFill/>
                          <a:ln w="9525">
                            <a:noFill/>
                            <a:miter lim="800000"/>
                            <a:headEnd/>
                            <a:tailEnd/>
                          </a:ln>
                        </pic:spPr>
                      </pic:pic>
                    </a:graphicData>
                  </a:graphic>
                </wp:inline>
              </w:drawing>
            </w:r>
          </w:p>
        </w:tc>
        <w:tc>
          <w:tcPr>
            <w:tcW w:w="7960" w:type="dxa"/>
          </w:tcPr>
          <w:p w:rsidR="00653B7B" w:rsidRPr="00284ACB" w:rsidRDefault="00A52657" w:rsidP="00284ACB">
            <w:pPr>
              <w:jc w:val="center"/>
              <w:rPr>
                <w:lang w:val="en-US"/>
              </w:rPr>
            </w:pPr>
            <w:r>
              <w:rPr>
                <w:noProof/>
              </w:rPr>
              <w:drawing>
                <wp:inline distT="0" distB="0" distL="0" distR="0">
                  <wp:extent cx="3762375" cy="3038475"/>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3762375" cy="3038475"/>
                          </a:xfrm>
                          <a:prstGeom prst="rect">
                            <a:avLst/>
                          </a:prstGeom>
                          <a:noFill/>
                          <a:ln w="9525">
                            <a:noFill/>
                            <a:miter lim="800000"/>
                            <a:headEnd/>
                            <a:tailEnd/>
                          </a:ln>
                        </pic:spPr>
                      </pic:pic>
                    </a:graphicData>
                  </a:graphic>
                </wp:inline>
              </w:drawing>
            </w:r>
          </w:p>
        </w:tc>
      </w:tr>
      <w:tr w:rsidR="00653B7B" w:rsidRPr="00284ACB" w:rsidTr="00284ACB">
        <w:tc>
          <w:tcPr>
            <w:tcW w:w="7960" w:type="dxa"/>
          </w:tcPr>
          <w:p w:rsidR="00653B7B" w:rsidRPr="00284ACB" w:rsidRDefault="00A52657" w:rsidP="00284ACB">
            <w:pPr>
              <w:jc w:val="center"/>
              <w:rPr>
                <w:lang w:val="en-US"/>
              </w:rPr>
            </w:pPr>
            <w:r>
              <w:rPr>
                <w:noProof/>
              </w:rPr>
              <w:drawing>
                <wp:inline distT="0" distB="0" distL="0" distR="0">
                  <wp:extent cx="3762375" cy="3028950"/>
                  <wp:effectExtent l="0" t="0" r="0"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0" cstate="print"/>
                          <a:srcRect/>
                          <a:stretch>
                            <a:fillRect/>
                          </a:stretch>
                        </pic:blipFill>
                        <pic:spPr bwMode="auto">
                          <a:xfrm>
                            <a:off x="0" y="0"/>
                            <a:ext cx="3762375" cy="3028950"/>
                          </a:xfrm>
                          <a:prstGeom prst="rect">
                            <a:avLst/>
                          </a:prstGeom>
                          <a:noFill/>
                          <a:ln w="9525">
                            <a:noFill/>
                            <a:miter lim="800000"/>
                            <a:headEnd/>
                            <a:tailEnd/>
                          </a:ln>
                        </pic:spPr>
                      </pic:pic>
                    </a:graphicData>
                  </a:graphic>
                </wp:inline>
              </w:drawing>
            </w:r>
          </w:p>
        </w:tc>
        <w:tc>
          <w:tcPr>
            <w:tcW w:w="7960" w:type="dxa"/>
          </w:tcPr>
          <w:p w:rsidR="00653B7B" w:rsidRPr="00284ACB" w:rsidRDefault="00A52657" w:rsidP="00284ACB">
            <w:pPr>
              <w:jc w:val="center"/>
              <w:rPr>
                <w:lang w:val="en-US"/>
              </w:rPr>
            </w:pPr>
            <w:r>
              <w:rPr>
                <w:noProof/>
              </w:rPr>
              <w:drawing>
                <wp:inline distT="0" distB="0" distL="0" distR="0">
                  <wp:extent cx="3943350" cy="2990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943350" cy="2990850"/>
                          </a:xfrm>
                          <a:prstGeom prst="rect">
                            <a:avLst/>
                          </a:prstGeom>
                          <a:noFill/>
                          <a:ln w="9525">
                            <a:noFill/>
                            <a:miter lim="800000"/>
                            <a:headEnd/>
                            <a:tailEnd/>
                          </a:ln>
                        </pic:spPr>
                      </pic:pic>
                    </a:graphicData>
                  </a:graphic>
                </wp:inline>
              </w:drawing>
            </w:r>
          </w:p>
        </w:tc>
      </w:tr>
    </w:tbl>
    <w:p w:rsidR="00653B7B" w:rsidRDefault="00653B7B" w:rsidP="00111C2E">
      <w:pPr>
        <w:rPr>
          <w:lang w:val="en-US"/>
        </w:rPr>
        <w:sectPr w:rsidR="00653B7B" w:rsidSect="00653B7B">
          <w:pgSz w:w="16838" w:h="11906" w:orient="landscape" w:code="9"/>
          <w:pgMar w:top="567" w:right="567" w:bottom="567" w:left="567" w:header="709" w:footer="709" w:gutter="0"/>
          <w:cols w:space="708"/>
          <w:docGrid w:linePitch="360"/>
        </w:sectPr>
      </w:pPr>
    </w:p>
    <w:p w:rsidR="00653B7B" w:rsidRDefault="00653B7B" w:rsidP="00653B7B">
      <w:pPr>
        <w:jc w:val="center"/>
        <w:rPr>
          <w:b/>
          <w:sz w:val="22"/>
          <w:szCs w:val="22"/>
        </w:rPr>
      </w:pPr>
      <w:r>
        <w:rPr>
          <w:b/>
          <w:sz w:val="22"/>
          <w:szCs w:val="22"/>
        </w:rPr>
        <w:lastRenderedPageBreak/>
        <w:t>Ομογενοποίηση και Μεγιστοποίηση Ετήσιων Βροχομετρικών Δεδομένων</w:t>
      </w:r>
    </w:p>
    <w:p w:rsidR="00653B7B" w:rsidRDefault="00653B7B" w:rsidP="00653B7B">
      <w:r>
        <w:t>Κάθε κλιματολογική ή υδρολογική μελέτη στηρίζεται στην αξιοποίηση, κατόπιν επεξεργασίας, μιας σειράς δεδομένων που έχουν συγκεντρωθεί κατά τη διάρκεια διαφόρων, συνεχών ή ασυνεχών, περιόδων. Όπως έχουμε αναφέρει, πριν από οποιαδήποτε επεξεργασία είναι αναγκαίος ο έλεγχος της ομογένειας και η διόρθωση των δεδομένων αυτών (π.χ. με τη μέθοδο των διπλών αθροιστικών καμπυλών).</w:t>
      </w:r>
    </w:p>
    <w:p w:rsidR="00653B7B" w:rsidRDefault="00653B7B" w:rsidP="00653B7B">
      <w:r>
        <w:t>Ένα συνηθισμένο πρόβλημα που εμφανίζεται κατά την επεξεργασία των βροχομετρικών δεδομένων είναι η έλλειψη συνεχών παρατηρήσεων σ’ ένα βροχομετρικό σταθμό και η διαφορετική περίοδος λειτουργίας των διαφόρων σταθμών που είναι εγκατεστημένοι σε μια λεκάνη απορροής.</w:t>
      </w:r>
    </w:p>
    <w:p w:rsidR="00653B7B" w:rsidRDefault="00653B7B" w:rsidP="00653B7B">
      <w:r>
        <w:t>Στη δεύτερη περίπτωση, πριν από κάθε άλλη επεξεργασία, είναι αναγκαία η συμπλήρωση των βροχομετρικών δεδομένων των σταθμών που έχουν μικρό χρόνο λειτουργίας, έτσι ώστε να πετύχουμε να έχουμε στη διάθεσή μας όσο το δυνατόν περισσότερους σταθμούς με μεγαλύτερη κοινή περίοδο λειτουργίας. Δηλαδή προβαίνουμε σε ομογενοποίηση με ταυτόχρονη μεγιστοποίηση των ετήσιων βροχομετρικών δεδομένων μιας σειράς βροχομετρικών σταθμών.</w:t>
      </w:r>
    </w:p>
    <w:p w:rsidR="00653B7B" w:rsidRDefault="00653B7B" w:rsidP="00653B7B">
      <w:pPr>
        <w:rPr>
          <w:b/>
        </w:rPr>
      </w:pPr>
      <w:r w:rsidRPr="00863116">
        <w:rPr>
          <w:b/>
        </w:rPr>
        <w:t>Μεθοδολογία</w:t>
      </w:r>
    </w:p>
    <w:p w:rsidR="00653B7B" w:rsidRDefault="00653B7B" w:rsidP="00653B7B">
      <w:r>
        <w:t xml:space="preserve">Έστω π.χ. οκτώ βροχομετρικοί σταθμοί σε μια λεκάνη απορροής με περιόδους λειτουργίας 30, 27, 19, 32, 40, 15, 16 και 20 ετών. </w:t>
      </w:r>
    </w:p>
    <w:p w:rsidR="00653B7B" w:rsidRDefault="00653B7B" w:rsidP="00653B7B">
      <w:r>
        <w:t>Καταρχήν ελέγχεται η ομογένεια των δεδομένων των σταθμών για τις κοινές περιόδους των παρατηρήσεων, με τη μέθοδο των διπλών αθροιστικών καμπυλών και, εάν χρειάζεται, κάνουμε τις απαραίτητες διορθώσεις.</w:t>
      </w:r>
    </w:p>
    <w:p w:rsidR="00653B7B" w:rsidRDefault="00653B7B" w:rsidP="00653B7B">
      <w:r>
        <w:t>Στη συνέχεια καθορίζουμε τη μέγιστη επιθυμητή κοινή περίοδο λειτουργίας όλων των σταθμών (π.χ. 30 χρόνια).</w:t>
      </w:r>
    </w:p>
    <w:p w:rsidR="00653B7B" w:rsidRDefault="00653B7B" w:rsidP="00653B7B">
      <w:r>
        <w:t>Ελέγχουμε το βαθμό συσχέτισης των σταθμών που έχουν κοινή περίοδο λειτουργίας 30 ετών (στο παράδειγμά μας υπάρχουν τρεις τέτοιοι). Εάν η συσχέτιση δεν είναι ικανοποιητική (</w:t>
      </w:r>
      <w:r>
        <w:rPr>
          <w:lang w:val="en-US"/>
        </w:rPr>
        <w:t>r</w:t>
      </w:r>
      <w:r w:rsidRPr="00F419B0">
        <w:t>&lt;0.80)</w:t>
      </w:r>
      <w:r>
        <w:t>, τότε περιορίζουμε την επιθυμητή κοινή περίοδο λειτουργίας των σταθμών (π.χ. από 30 σε 25 χρόνια). Γενικά, για να πετύχουμε σημαντική βελτίωση στα ελλιπή δεδομένα των σταθμών, θα πρέπει οι συντελεστές συσχέτισης μεταξύ των σταθμών βάσης να είναι τουλάχιστον ίσοι προς 0,90.</w:t>
      </w:r>
    </w:p>
    <w:p w:rsidR="00653B7B" w:rsidRDefault="00653B7B" w:rsidP="00653B7B">
      <w:r>
        <w:t xml:space="preserve">Στη συνέχεια καθορίζουμε την εξίσωση της ευθείας παλινδρόμησης: </w:t>
      </w:r>
      <w:r>
        <w:rPr>
          <w:lang w:val="en-US"/>
        </w:rPr>
        <w:t>y</w:t>
      </w:r>
      <w:r w:rsidRPr="00F419B0">
        <w:t>=</w:t>
      </w:r>
      <w:r>
        <w:rPr>
          <w:lang w:val="en-US"/>
        </w:rPr>
        <w:t>ax</w:t>
      </w:r>
      <w:r w:rsidRPr="00F419B0">
        <w:t>+</w:t>
      </w:r>
      <w:r>
        <w:rPr>
          <w:lang w:val="en-US"/>
        </w:rPr>
        <w:t>b</w:t>
      </w:r>
      <w:r w:rsidRPr="00F419B0">
        <w:t xml:space="preserve">, </w:t>
      </w:r>
      <w:r>
        <w:t>όπου:</w:t>
      </w:r>
    </w:p>
    <w:p w:rsidR="00653B7B" w:rsidRDefault="00653B7B" w:rsidP="00653B7B">
      <w:r w:rsidRPr="00111C2E">
        <w:rPr>
          <w:position w:val="-38"/>
          <w:lang w:val="en-US"/>
        </w:rPr>
        <w:object w:dxaOrig="2940" w:dyaOrig="820">
          <v:shape id="_x0000_i1026" type="#_x0000_t75" style="width:147pt;height:41.25pt" o:ole="">
            <v:imagedata r:id="rId12" o:title=""/>
          </v:shape>
          <o:OLEObject Type="Embed" ProgID="Equation.3" ShapeID="_x0000_i1026" DrawAspect="Content" ObjectID="_1680087190" r:id="rId13"/>
        </w:object>
      </w:r>
      <w:r>
        <w:t xml:space="preserve"> και </w:t>
      </w:r>
      <w:r w:rsidRPr="00111C2E">
        <w:rPr>
          <w:position w:val="-38"/>
          <w:lang w:val="en-US"/>
        </w:rPr>
        <w:object w:dxaOrig="3180" w:dyaOrig="840">
          <v:shape id="_x0000_i1027" type="#_x0000_t75" style="width:159pt;height:42pt" o:ole="">
            <v:imagedata r:id="rId14" o:title=""/>
          </v:shape>
          <o:OLEObject Type="Embed" ProgID="Equation.3" ShapeID="_x0000_i1027" DrawAspect="Content" ObjectID="_1680087191" r:id="rId15"/>
        </w:object>
      </w:r>
    </w:p>
    <w:p w:rsidR="00653B7B" w:rsidRDefault="00653B7B" w:rsidP="00653B7B">
      <w:r>
        <w:t>Με βάση την παραπάνω γραμμική συσχέτιση επεκτείνουμε τις παρατηρήσεις του σταθμού με τον μικρότερο χρόνο λειτουργίας (στο παράδειγμα του σταθμού των 15 ετών) και συνεχίζουμε τη συμπλήρωση των δεδομένων όλων των υπόλοιπων σταθμών για την επιθυμητή κοινή περίοδο παρατηρήσεων των 30 ετών.</w:t>
      </w:r>
    </w:p>
    <w:p w:rsidR="00653B7B" w:rsidRDefault="00653B7B" w:rsidP="00653B7B">
      <w:r>
        <w:t>Μια ολοκληρωμένη εργασία συμπλήρωσης βροχομετρικών δεδομένων απαιτεί συν τοις άλλοις τον υπολογισμό των μέσων τιμών, της διασποράς και της τυπικής απόκλισης πριν και μετά την συμπλήρωση των βροχομετρικών δεδομένων των σταθμών, με τα οποία υπολογίζεται το εύρος του συμπληρωθέντος δείγματος και καθορίζονται τα όρια εμπιστοσύνης.</w:t>
      </w:r>
    </w:p>
    <w:p w:rsidR="00653B7B" w:rsidRDefault="00653B7B" w:rsidP="00653B7B">
      <w:r>
        <w:t>Η πορεία της όλης εργασίας καθορίζεται:</w:t>
      </w:r>
    </w:p>
    <w:p w:rsidR="00653B7B" w:rsidRDefault="00653B7B" w:rsidP="00653B7B">
      <w:pPr>
        <w:numPr>
          <w:ilvl w:val="0"/>
          <w:numId w:val="3"/>
        </w:numPr>
      </w:pPr>
      <w:r>
        <w:t>Από τον βαθμό συσχέτισης των σταθμών μεταξύ τους</w:t>
      </w:r>
    </w:p>
    <w:p w:rsidR="00653B7B" w:rsidRDefault="00653B7B" w:rsidP="00653B7B">
      <w:pPr>
        <w:numPr>
          <w:ilvl w:val="0"/>
          <w:numId w:val="3"/>
        </w:numPr>
      </w:pPr>
      <w:r>
        <w:t>Από τις αποστάσεις των σταθμών και</w:t>
      </w:r>
    </w:p>
    <w:p w:rsidR="00653B7B" w:rsidRDefault="00653B7B" w:rsidP="00653B7B">
      <w:pPr>
        <w:numPr>
          <w:ilvl w:val="0"/>
          <w:numId w:val="3"/>
        </w:numPr>
      </w:pPr>
      <w:r>
        <w:t>Από τον περιορισμό του όγκου των σχετικών υπολογισμών</w:t>
      </w:r>
    </w:p>
    <w:p w:rsidR="00653B7B" w:rsidRPr="00111C2E" w:rsidRDefault="00653B7B" w:rsidP="00653B7B">
      <w:pPr>
        <w:rPr>
          <w:b/>
        </w:rPr>
      </w:pPr>
      <w:r>
        <w:rPr>
          <w:b/>
        </w:rPr>
        <w:br w:type="page"/>
      </w:r>
      <w:r w:rsidRPr="00111C2E">
        <w:rPr>
          <w:b/>
        </w:rPr>
        <w:lastRenderedPageBreak/>
        <w:t>Εφαρμογή:</w:t>
      </w:r>
    </w:p>
    <w:p w:rsidR="00653B7B" w:rsidRPr="00653B7B" w:rsidRDefault="00653B7B" w:rsidP="00653B7B">
      <w:r>
        <w:t>Στον παρακάτω πίνακα δίνονται τα ετήσια ύψη βροχής δύο σταθμών Χ και Υ που έχουν λειτουργήσει 30 και 16 χρόνια αντίστοιχα. Ζητείται η επέκταση (συμπλήρωση) των ετήσιων υψών βροχής του σταθμού Υ για όλα τα έτη παρατηρήσεων του σταθμού Χ.</w:t>
      </w:r>
    </w:p>
    <w:tbl>
      <w:tblPr>
        <w:tblW w:w="3336" w:type="dxa"/>
        <w:tblInd w:w="103" w:type="dxa"/>
        <w:tblLook w:val="0000"/>
      </w:tblPr>
      <w:tblGrid>
        <w:gridCol w:w="776"/>
        <w:gridCol w:w="1279"/>
        <w:gridCol w:w="1281"/>
      </w:tblGrid>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left"/>
              <w:rPr>
                <w:rFonts w:cs="Arial"/>
                <w:b/>
                <w:bCs/>
                <w:color w:val="000000"/>
                <w:szCs w:val="20"/>
              </w:rPr>
            </w:pPr>
            <w:r w:rsidRPr="00DF2264">
              <w:rPr>
                <w:rFonts w:cs="Arial"/>
                <w:b/>
                <w:bCs/>
                <w:color w:val="000000"/>
                <w:szCs w:val="20"/>
              </w:rPr>
              <w:t>Έτος</w:t>
            </w: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left"/>
              <w:rPr>
                <w:rFonts w:cs="Arial"/>
                <w:b/>
                <w:bCs/>
                <w:color w:val="000000"/>
                <w:szCs w:val="20"/>
              </w:rPr>
            </w:pPr>
            <w:r w:rsidRPr="00DF2264">
              <w:rPr>
                <w:rFonts w:cs="Arial"/>
                <w:b/>
                <w:bCs/>
                <w:color w:val="000000"/>
                <w:szCs w:val="20"/>
              </w:rPr>
              <w:t>Σταθμός Χ</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b/>
                <w:bCs/>
                <w:color w:val="000000"/>
                <w:szCs w:val="20"/>
              </w:rPr>
            </w:pPr>
            <w:r w:rsidRPr="00DF2264">
              <w:rPr>
                <w:rFonts w:cs="Arial"/>
                <w:b/>
                <w:bCs/>
                <w:color w:val="000000"/>
                <w:szCs w:val="20"/>
              </w:rPr>
              <w:t>Σταθμός Υ</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1936</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825</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1937</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701</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1938</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844</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1939</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963</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1940</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815</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1941</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797</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1942</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539</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1943</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563</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1944</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680</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1945</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623</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1946</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511</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1947</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540</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1948</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522</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1949</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549</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center"/>
              <w:rPr>
                <w:rFonts w:cs="Arial"/>
                <w:color w:val="000000"/>
                <w:szCs w:val="20"/>
              </w:rPr>
            </w:pP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1950</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732</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1169</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1951</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841</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1002</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1952</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820</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1248</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1953</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398</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522</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1954</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702</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1044</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1955</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677</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1140</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1956</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657</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886</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1957</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540</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776</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1958</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858</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1288</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1959</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549</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948</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1960</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800</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1059</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1961</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625</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872</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1962</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568</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970</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1963</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659</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1059</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1964</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548</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762</w:t>
            </w:r>
          </w:p>
        </w:tc>
      </w:tr>
      <w:tr w:rsidR="00653B7B" w:rsidRPr="00DF2264" w:rsidTr="00653B7B">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1965</w:t>
            </w:r>
          </w:p>
        </w:tc>
        <w:tc>
          <w:tcPr>
            <w:tcW w:w="1279"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817</w:t>
            </w:r>
          </w:p>
        </w:tc>
        <w:tc>
          <w:tcPr>
            <w:tcW w:w="1281" w:type="dxa"/>
            <w:tcBorders>
              <w:top w:val="nil"/>
              <w:left w:val="nil"/>
              <w:bottom w:val="single" w:sz="4" w:space="0" w:color="auto"/>
              <w:right w:val="single" w:sz="4" w:space="0" w:color="auto"/>
            </w:tcBorders>
            <w:shd w:val="clear" w:color="auto" w:fill="auto"/>
            <w:noWrap/>
            <w:vAlign w:val="bottom"/>
          </w:tcPr>
          <w:p w:rsidR="00653B7B" w:rsidRPr="00DF2264" w:rsidRDefault="00653B7B" w:rsidP="00284ACB">
            <w:pPr>
              <w:spacing w:after="0"/>
              <w:jc w:val="right"/>
              <w:rPr>
                <w:rFonts w:cs="Arial"/>
                <w:color w:val="000000"/>
                <w:szCs w:val="20"/>
              </w:rPr>
            </w:pPr>
            <w:r w:rsidRPr="00DF2264">
              <w:rPr>
                <w:rFonts w:cs="Arial"/>
                <w:color w:val="000000"/>
                <w:szCs w:val="20"/>
              </w:rPr>
              <w:t>1449</w:t>
            </w:r>
          </w:p>
        </w:tc>
      </w:tr>
    </w:tbl>
    <w:p w:rsidR="00653B7B" w:rsidRDefault="00653B7B" w:rsidP="00653B7B">
      <w:pPr>
        <w:rPr>
          <w:lang w:val="en-US"/>
        </w:rPr>
      </w:pPr>
    </w:p>
    <w:p w:rsidR="00653B7B" w:rsidRPr="00653B7B" w:rsidRDefault="00653B7B" w:rsidP="00111C2E">
      <w:pPr>
        <w:rPr>
          <w:lang w:val="en-US"/>
        </w:rPr>
      </w:pPr>
    </w:p>
    <w:sectPr w:rsidR="00653B7B" w:rsidRPr="00653B7B" w:rsidSect="00653B7B">
      <w:pgSz w:w="11906" w:h="16838"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5623"/>
    <w:multiLevelType w:val="hybridMultilevel"/>
    <w:tmpl w:val="72966448"/>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A9D3579"/>
    <w:multiLevelType w:val="hybridMultilevel"/>
    <w:tmpl w:val="317E113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B01571D"/>
    <w:multiLevelType w:val="multilevel"/>
    <w:tmpl w:val="47726FC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BBC5275"/>
    <w:multiLevelType w:val="hybridMultilevel"/>
    <w:tmpl w:val="9DD206A8"/>
    <w:lvl w:ilvl="0" w:tplc="609CB4FE">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00"/>
  <w:displayHorizontalDrawingGridEvery w:val="2"/>
  <w:displayVerticalDrawingGridEvery w:val="2"/>
  <w:characterSpacingControl w:val="doNotCompress"/>
  <w:compat/>
  <w:rsids>
    <w:rsidRoot w:val="00E229DD"/>
    <w:rsid w:val="00000F55"/>
    <w:rsid w:val="0000226C"/>
    <w:rsid w:val="000040A3"/>
    <w:rsid w:val="00010E4D"/>
    <w:rsid w:val="00011AE6"/>
    <w:rsid w:val="000142AC"/>
    <w:rsid w:val="00016003"/>
    <w:rsid w:val="00016449"/>
    <w:rsid w:val="00021C71"/>
    <w:rsid w:val="00036720"/>
    <w:rsid w:val="0003769B"/>
    <w:rsid w:val="00037C56"/>
    <w:rsid w:val="0004069C"/>
    <w:rsid w:val="00041018"/>
    <w:rsid w:val="000462F2"/>
    <w:rsid w:val="00051B30"/>
    <w:rsid w:val="00052E23"/>
    <w:rsid w:val="00054C5E"/>
    <w:rsid w:val="00056200"/>
    <w:rsid w:val="00061DC5"/>
    <w:rsid w:val="0006628A"/>
    <w:rsid w:val="0007312B"/>
    <w:rsid w:val="00073571"/>
    <w:rsid w:val="00073E07"/>
    <w:rsid w:val="00074C16"/>
    <w:rsid w:val="0007638A"/>
    <w:rsid w:val="000824D5"/>
    <w:rsid w:val="0008458D"/>
    <w:rsid w:val="00086BA3"/>
    <w:rsid w:val="00086D63"/>
    <w:rsid w:val="000B3E2B"/>
    <w:rsid w:val="000C15B3"/>
    <w:rsid w:val="000C5F0A"/>
    <w:rsid w:val="000D151C"/>
    <w:rsid w:val="000E3A09"/>
    <w:rsid w:val="001025E5"/>
    <w:rsid w:val="00103816"/>
    <w:rsid w:val="00111C2E"/>
    <w:rsid w:val="001159AB"/>
    <w:rsid w:val="00121181"/>
    <w:rsid w:val="001211AC"/>
    <w:rsid w:val="00123312"/>
    <w:rsid w:val="00132AC0"/>
    <w:rsid w:val="0013453B"/>
    <w:rsid w:val="00135A28"/>
    <w:rsid w:val="00137D36"/>
    <w:rsid w:val="00146F01"/>
    <w:rsid w:val="001519B7"/>
    <w:rsid w:val="00154990"/>
    <w:rsid w:val="00161DD5"/>
    <w:rsid w:val="001622D5"/>
    <w:rsid w:val="00164B14"/>
    <w:rsid w:val="00170016"/>
    <w:rsid w:val="00170990"/>
    <w:rsid w:val="0017286B"/>
    <w:rsid w:val="00176421"/>
    <w:rsid w:val="00195537"/>
    <w:rsid w:val="00197AAC"/>
    <w:rsid w:val="001A109B"/>
    <w:rsid w:val="001A2B95"/>
    <w:rsid w:val="001A2FD1"/>
    <w:rsid w:val="001A348B"/>
    <w:rsid w:val="001A5E84"/>
    <w:rsid w:val="001A6E6B"/>
    <w:rsid w:val="001B40C6"/>
    <w:rsid w:val="001B6AB8"/>
    <w:rsid w:val="001B6BF4"/>
    <w:rsid w:val="001C2874"/>
    <w:rsid w:val="001C3790"/>
    <w:rsid w:val="001C5334"/>
    <w:rsid w:val="001D3D25"/>
    <w:rsid w:val="001D469F"/>
    <w:rsid w:val="001D6773"/>
    <w:rsid w:val="001D6D2D"/>
    <w:rsid w:val="001E0B53"/>
    <w:rsid w:val="001E30FB"/>
    <w:rsid w:val="001F0A9D"/>
    <w:rsid w:val="001F4FE6"/>
    <w:rsid w:val="001F5B61"/>
    <w:rsid w:val="001F683C"/>
    <w:rsid w:val="001F7925"/>
    <w:rsid w:val="00200E60"/>
    <w:rsid w:val="00207241"/>
    <w:rsid w:val="00212D30"/>
    <w:rsid w:val="002202B4"/>
    <w:rsid w:val="00224D04"/>
    <w:rsid w:val="00242A05"/>
    <w:rsid w:val="00244250"/>
    <w:rsid w:val="00244445"/>
    <w:rsid w:val="002517AE"/>
    <w:rsid w:val="00253076"/>
    <w:rsid w:val="00255123"/>
    <w:rsid w:val="00257930"/>
    <w:rsid w:val="00261CB9"/>
    <w:rsid w:val="00263C83"/>
    <w:rsid w:val="00270FF3"/>
    <w:rsid w:val="0027193D"/>
    <w:rsid w:val="002733A2"/>
    <w:rsid w:val="00277353"/>
    <w:rsid w:val="002804E8"/>
    <w:rsid w:val="00284ACB"/>
    <w:rsid w:val="00284EF1"/>
    <w:rsid w:val="00287BE7"/>
    <w:rsid w:val="00290DDC"/>
    <w:rsid w:val="00292317"/>
    <w:rsid w:val="0029494E"/>
    <w:rsid w:val="002B1953"/>
    <w:rsid w:val="002B28CE"/>
    <w:rsid w:val="002B30F0"/>
    <w:rsid w:val="002C07B7"/>
    <w:rsid w:val="002C3DD4"/>
    <w:rsid w:val="002D01FC"/>
    <w:rsid w:val="002D300E"/>
    <w:rsid w:val="002D3F5F"/>
    <w:rsid w:val="002D4B76"/>
    <w:rsid w:val="002E0B91"/>
    <w:rsid w:val="002E2E6B"/>
    <w:rsid w:val="002E5A20"/>
    <w:rsid w:val="002E5B28"/>
    <w:rsid w:val="002E729C"/>
    <w:rsid w:val="002F0A64"/>
    <w:rsid w:val="003043A7"/>
    <w:rsid w:val="0030484D"/>
    <w:rsid w:val="00304DB7"/>
    <w:rsid w:val="003216AE"/>
    <w:rsid w:val="0032501E"/>
    <w:rsid w:val="00333BEB"/>
    <w:rsid w:val="00336AD7"/>
    <w:rsid w:val="003400E2"/>
    <w:rsid w:val="00341B68"/>
    <w:rsid w:val="00366D6C"/>
    <w:rsid w:val="003672DC"/>
    <w:rsid w:val="00375F41"/>
    <w:rsid w:val="00385666"/>
    <w:rsid w:val="003924FE"/>
    <w:rsid w:val="00397A04"/>
    <w:rsid w:val="003A008A"/>
    <w:rsid w:val="003A4A04"/>
    <w:rsid w:val="003A7701"/>
    <w:rsid w:val="003B0ED5"/>
    <w:rsid w:val="003B3DB6"/>
    <w:rsid w:val="003B4405"/>
    <w:rsid w:val="003B45F9"/>
    <w:rsid w:val="003B4B00"/>
    <w:rsid w:val="003B5BE8"/>
    <w:rsid w:val="003B7EC0"/>
    <w:rsid w:val="003C42E0"/>
    <w:rsid w:val="003C49EF"/>
    <w:rsid w:val="003C666B"/>
    <w:rsid w:val="003C69FF"/>
    <w:rsid w:val="003D0724"/>
    <w:rsid w:val="003D5926"/>
    <w:rsid w:val="003D70E6"/>
    <w:rsid w:val="003E01F2"/>
    <w:rsid w:val="003E1A33"/>
    <w:rsid w:val="003E4ADD"/>
    <w:rsid w:val="003F78F7"/>
    <w:rsid w:val="004008BC"/>
    <w:rsid w:val="004014E2"/>
    <w:rsid w:val="00401B42"/>
    <w:rsid w:val="0040588F"/>
    <w:rsid w:val="00405A9F"/>
    <w:rsid w:val="00407F59"/>
    <w:rsid w:val="00417E46"/>
    <w:rsid w:val="004264B5"/>
    <w:rsid w:val="00426A17"/>
    <w:rsid w:val="00436898"/>
    <w:rsid w:val="00440C9A"/>
    <w:rsid w:val="0044669C"/>
    <w:rsid w:val="00462497"/>
    <w:rsid w:val="00463433"/>
    <w:rsid w:val="00467538"/>
    <w:rsid w:val="00467C6E"/>
    <w:rsid w:val="004700D7"/>
    <w:rsid w:val="00480958"/>
    <w:rsid w:val="0049500B"/>
    <w:rsid w:val="004A087A"/>
    <w:rsid w:val="004A2CBE"/>
    <w:rsid w:val="004A43BE"/>
    <w:rsid w:val="004C3479"/>
    <w:rsid w:val="004C69E1"/>
    <w:rsid w:val="004D19A7"/>
    <w:rsid w:val="004E1EE1"/>
    <w:rsid w:val="004E2BDF"/>
    <w:rsid w:val="004F0B5C"/>
    <w:rsid w:val="004F384D"/>
    <w:rsid w:val="004F4781"/>
    <w:rsid w:val="005077AA"/>
    <w:rsid w:val="00514946"/>
    <w:rsid w:val="00522AD3"/>
    <w:rsid w:val="0052498E"/>
    <w:rsid w:val="005256D6"/>
    <w:rsid w:val="0053066B"/>
    <w:rsid w:val="00531A2C"/>
    <w:rsid w:val="005639AE"/>
    <w:rsid w:val="00564679"/>
    <w:rsid w:val="00564E28"/>
    <w:rsid w:val="00565B4A"/>
    <w:rsid w:val="00577CDF"/>
    <w:rsid w:val="00582605"/>
    <w:rsid w:val="0058269E"/>
    <w:rsid w:val="005844C1"/>
    <w:rsid w:val="00594F84"/>
    <w:rsid w:val="005A6973"/>
    <w:rsid w:val="005A754A"/>
    <w:rsid w:val="005B4028"/>
    <w:rsid w:val="005B640D"/>
    <w:rsid w:val="005C1319"/>
    <w:rsid w:val="005C292F"/>
    <w:rsid w:val="005D6A60"/>
    <w:rsid w:val="005F12F8"/>
    <w:rsid w:val="005F6AEC"/>
    <w:rsid w:val="00601046"/>
    <w:rsid w:val="00606D0D"/>
    <w:rsid w:val="00615540"/>
    <w:rsid w:val="006178CA"/>
    <w:rsid w:val="00620701"/>
    <w:rsid w:val="00625421"/>
    <w:rsid w:val="00625D92"/>
    <w:rsid w:val="00633326"/>
    <w:rsid w:val="00635D7A"/>
    <w:rsid w:val="00636286"/>
    <w:rsid w:val="00651C4F"/>
    <w:rsid w:val="00653B7B"/>
    <w:rsid w:val="00655BF1"/>
    <w:rsid w:val="00660762"/>
    <w:rsid w:val="00663069"/>
    <w:rsid w:val="0066651C"/>
    <w:rsid w:val="00666CDD"/>
    <w:rsid w:val="0067574E"/>
    <w:rsid w:val="00684246"/>
    <w:rsid w:val="006846B2"/>
    <w:rsid w:val="0068568C"/>
    <w:rsid w:val="006866A2"/>
    <w:rsid w:val="00686D42"/>
    <w:rsid w:val="00687061"/>
    <w:rsid w:val="006939E1"/>
    <w:rsid w:val="00693A7E"/>
    <w:rsid w:val="00694756"/>
    <w:rsid w:val="006A1FA2"/>
    <w:rsid w:val="006A65F2"/>
    <w:rsid w:val="006B17AA"/>
    <w:rsid w:val="006C029E"/>
    <w:rsid w:val="006C2040"/>
    <w:rsid w:val="006C4D22"/>
    <w:rsid w:val="006E3919"/>
    <w:rsid w:val="006E5788"/>
    <w:rsid w:val="006E7EE1"/>
    <w:rsid w:val="006F0953"/>
    <w:rsid w:val="006F27E3"/>
    <w:rsid w:val="006F4550"/>
    <w:rsid w:val="00701B4A"/>
    <w:rsid w:val="007067AC"/>
    <w:rsid w:val="007079BB"/>
    <w:rsid w:val="00720327"/>
    <w:rsid w:val="00731FB2"/>
    <w:rsid w:val="007353B8"/>
    <w:rsid w:val="007371EF"/>
    <w:rsid w:val="00745025"/>
    <w:rsid w:val="00745FB4"/>
    <w:rsid w:val="007529A3"/>
    <w:rsid w:val="0075359C"/>
    <w:rsid w:val="007566B4"/>
    <w:rsid w:val="007653ED"/>
    <w:rsid w:val="00770F88"/>
    <w:rsid w:val="00773367"/>
    <w:rsid w:val="00774BEE"/>
    <w:rsid w:val="00775F96"/>
    <w:rsid w:val="00786A80"/>
    <w:rsid w:val="00792194"/>
    <w:rsid w:val="007952C8"/>
    <w:rsid w:val="007A3539"/>
    <w:rsid w:val="007B1D21"/>
    <w:rsid w:val="007D0937"/>
    <w:rsid w:val="007D2306"/>
    <w:rsid w:val="007D315A"/>
    <w:rsid w:val="007E3F82"/>
    <w:rsid w:val="007E768F"/>
    <w:rsid w:val="007F00E8"/>
    <w:rsid w:val="007F3180"/>
    <w:rsid w:val="007F4B94"/>
    <w:rsid w:val="007F722F"/>
    <w:rsid w:val="00800785"/>
    <w:rsid w:val="008030C1"/>
    <w:rsid w:val="00804BF8"/>
    <w:rsid w:val="0080616D"/>
    <w:rsid w:val="0081655D"/>
    <w:rsid w:val="00827A67"/>
    <w:rsid w:val="00830659"/>
    <w:rsid w:val="00833D9E"/>
    <w:rsid w:val="00844649"/>
    <w:rsid w:val="00846A8C"/>
    <w:rsid w:val="00855150"/>
    <w:rsid w:val="00863116"/>
    <w:rsid w:val="008638ED"/>
    <w:rsid w:val="008646E6"/>
    <w:rsid w:val="00865B3F"/>
    <w:rsid w:val="00871365"/>
    <w:rsid w:val="00872B5B"/>
    <w:rsid w:val="0087448F"/>
    <w:rsid w:val="008752EB"/>
    <w:rsid w:val="00885DD1"/>
    <w:rsid w:val="00892009"/>
    <w:rsid w:val="00892D17"/>
    <w:rsid w:val="008A48ED"/>
    <w:rsid w:val="008B0566"/>
    <w:rsid w:val="008B6F4B"/>
    <w:rsid w:val="008C0CAB"/>
    <w:rsid w:val="008C23AF"/>
    <w:rsid w:val="008E53DF"/>
    <w:rsid w:val="008E7696"/>
    <w:rsid w:val="008F3594"/>
    <w:rsid w:val="008F6FFF"/>
    <w:rsid w:val="008F7E82"/>
    <w:rsid w:val="00910A31"/>
    <w:rsid w:val="009125B3"/>
    <w:rsid w:val="00912664"/>
    <w:rsid w:val="009359DE"/>
    <w:rsid w:val="00951269"/>
    <w:rsid w:val="00957E87"/>
    <w:rsid w:val="00971601"/>
    <w:rsid w:val="00977FA9"/>
    <w:rsid w:val="009801D6"/>
    <w:rsid w:val="009802FE"/>
    <w:rsid w:val="009826B2"/>
    <w:rsid w:val="009857FC"/>
    <w:rsid w:val="00986037"/>
    <w:rsid w:val="009A1E7A"/>
    <w:rsid w:val="009A3945"/>
    <w:rsid w:val="009B484E"/>
    <w:rsid w:val="009C7ABB"/>
    <w:rsid w:val="009D5B42"/>
    <w:rsid w:val="009E2E20"/>
    <w:rsid w:val="009E3C69"/>
    <w:rsid w:val="009F2300"/>
    <w:rsid w:val="00A02879"/>
    <w:rsid w:val="00A11BEE"/>
    <w:rsid w:val="00A24F8D"/>
    <w:rsid w:val="00A26EB3"/>
    <w:rsid w:val="00A332CA"/>
    <w:rsid w:val="00A33F2B"/>
    <w:rsid w:val="00A35279"/>
    <w:rsid w:val="00A434D9"/>
    <w:rsid w:val="00A46417"/>
    <w:rsid w:val="00A52657"/>
    <w:rsid w:val="00A57413"/>
    <w:rsid w:val="00A621E0"/>
    <w:rsid w:val="00A628DB"/>
    <w:rsid w:val="00A63B13"/>
    <w:rsid w:val="00A67CF0"/>
    <w:rsid w:val="00A7017F"/>
    <w:rsid w:val="00A71B95"/>
    <w:rsid w:val="00A7220A"/>
    <w:rsid w:val="00A7684C"/>
    <w:rsid w:val="00A910E9"/>
    <w:rsid w:val="00A91D07"/>
    <w:rsid w:val="00A94391"/>
    <w:rsid w:val="00A94BB3"/>
    <w:rsid w:val="00AB7084"/>
    <w:rsid w:val="00AB7353"/>
    <w:rsid w:val="00AB7384"/>
    <w:rsid w:val="00AB7FE3"/>
    <w:rsid w:val="00AC5262"/>
    <w:rsid w:val="00AC53C8"/>
    <w:rsid w:val="00AC5BF1"/>
    <w:rsid w:val="00AE156D"/>
    <w:rsid w:val="00AE3AD7"/>
    <w:rsid w:val="00AE589F"/>
    <w:rsid w:val="00AF0B16"/>
    <w:rsid w:val="00AF4C2B"/>
    <w:rsid w:val="00B005F1"/>
    <w:rsid w:val="00B0142B"/>
    <w:rsid w:val="00B02A51"/>
    <w:rsid w:val="00B04F3B"/>
    <w:rsid w:val="00B100B0"/>
    <w:rsid w:val="00B11520"/>
    <w:rsid w:val="00B12AF0"/>
    <w:rsid w:val="00B15E08"/>
    <w:rsid w:val="00B21FF4"/>
    <w:rsid w:val="00B332B1"/>
    <w:rsid w:val="00B3559F"/>
    <w:rsid w:val="00B51BA0"/>
    <w:rsid w:val="00B65AF1"/>
    <w:rsid w:val="00B70B9C"/>
    <w:rsid w:val="00B7262A"/>
    <w:rsid w:val="00B75751"/>
    <w:rsid w:val="00B770FE"/>
    <w:rsid w:val="00B7747F"/>
    <w:rsid w:val="00B915D5"/>
    <w:rsid w:val="00B9491E"/>
    <w:rsid w:val="00B965E2"/>
    <w:rsid w:val="00BA0431"/>
    <w:rsid w:val="00BA0BF7"/>
    <w:rsid w:val="00BA1300"/>
    <w:rsid w:val="00BA40DF"/>
    <w:rsid w:val="00BB068A"/>
    <w:rsid w:val="00BB1D13"/>
    <w:rsid w:val="00BB28D4"/>
    <w:rsid w:val="00BB5D56"/>
    <w:rsid w:val="00BD4399"/>
    <w:rsid w:val="00BD5F8A"/>
    <w:rsid w:val="00BD6B96"/>
    <w:rsid w:val="00BE0F77"/>
    <w:rsid w:val="00BE1BA8"/>
    <w:rsid w:val="00BF4A86"/>
    <w:rsid w:val="00BF5175"/>
    <w:rsid w:val="00BF64D5"/>
    <w:rsid w:val="00BF7D78"/>
    <w:rsid w:val="00C014E4"/>
    <w:rsid w:val="00C01945"/>
    <w:rsid w:val="00C04A5B"/>
    <w:rsid w:val="00C07CC8"/>
    <w:rsid w:val="00C114DC"/>
    <w:rsid w:val="00C13019"/>
    <w:rsid w:val="00C15EE5"/>
    <w:rsid w:val="00C256D1"/>
    <w:rsid w:val="00C301E5"/>
    <w:rsid w:val="00C30648"/>
    <w:rsid w:val="00C309D1"/>
    <w:rsid w:val="00C51616"/>
    <w:rsid w:val="00C518CE"/>
    <w:rsid w:val="00C53D25"/>
    <w:rsid w:val="00C83273"/>
    <w:rsid w:val="00C92A53"/>
    <w:rsid w:val="00C92CCD"/>
    <w:rsid w:val="00C9429A"/>
    <w:rsid w:val="00C94624"/>
    <w:rsid w:val="00C956BB"/>
    <w:rsid w:val="00C973CA"/>
    <w:rsid w:val="00CB36D1"/>
    <w:rsid w:val="00CB6763"/>
    <w:rsid w:val="00CB705E"/>
    <w:rsid w:val="00CC1B5B"/>
    <w:rsid w:val="00CC65CE"/>
    <w:rsid w:val="00CD6AC7"/>
    <w:rsid w:val="00CD7400"/>
    <w:rsid w:val="00CE091E"/>
    <w:rsid w:val="00CE2337"/>
    <w:rsid w:val="00CE3A88"/>
    <w:rsid w:val="00CE7B9C"/>
    <w:rsid w:val="00CF4776"/>
    <w:rsid w:val="00CF68F3"/>
    <w:rsid w:val="00D12D92"/>
    <w:rsid w:val="00D14CBD"/>
    <w:rsid w:val="00D20CA2"/>
    <w:rsid w:val="00D264D6"/>
    <w:rsid w:val="00D3121D"/>
    <w:rsid w:val="00D34E4D"/>
    <w:rsid w:val="00D35233"/>
    <w:rsid w:val="00D40ADB"/>
    <w:rsid w:val="00D42059"/>
    <w:rsid w:val="00D42B9B"/>
    <w:rsid w:val="00D55970"/>
    <w:rsid w:val="00D74586"/>
    <w:rsid w:val="00D756D7"/>
    <w:rsid w:val="00D82CF3"/>
    <w:rsid w:val="00D96BE0"/>
    <w:rsid w:val="00DA3360"/>
    <w:rsid w:val="00DB2D09"/>
    <w:rsid w:val="00DB5C54"/>
    <w:rsid w:val="00DC060D"/>
    <w:rsid w:val="00DD32E9"/>
    <w:rsid w:val="00DD623E"/>
    <w:rsid w:val="00DE1165"/>
    <w:rsid w:val="00DE1987"/>
    <w:rsid w:val="00DE5B37"/>
    <w:rsid w:val="00DE695A"/>
    <w:rsid w:val="00DF2264"/>
    <w:rsid w:val="00DF46B4"/>
    <w:rsid w:val="00DF6D38"/>
    <w:rsid w:val="00E0446F"/>
    <w:rsid w:val="00E1401A"/>
    <w:rsid w:val="00E15428"/>
    <w:rsid w:val="00E15D3E"/>
    <w:rsid w:val="00E2101A"/>
    <w:rsid w:val="00E2259A"/>
    <w:rsid w:val="00E229DD"/>
    <w:rsid w:val="00E22DA8"/>
    <w:rsid w:val="00E23E1B"/>
    <w:rsid w:val="00E364F2"/>
    <w:rsid w:val="00E37061"/>
    <w:rsid w:val="00E40235"/>
    <w:rsid w:val="00E43DEC"/>
    <w:rsid w:val="00E44421"/>
    <w:rsid w:val="00E449D6"/>
    <w:rsid w:val="00E54BD3"/>
    <w:rsid w:val="00E60204"/>
    <w:rsid w:val="00E60AD4"/>
    <w:rsid w:val="00E70568"/>
    <w:rsid w:val="00E718B3"/>
    <w:rsid w:val="00E71A33"/>
    <w:rsid w:val="00E72ADF"/>
    <w:rsid w:val="00E77037"/>
    <w:rsid w:val="00E81E21"/>
    <w:rsid w:val="00E83A6F"/>
    <w:rsid w:val="00E8439E"/>
    <w:rsid w:val="00E979F4"/>
    <w:rsid w:val="00EA4CFB"/>
    <w:rsid w:val="00EA4F04"/>
    <w:rsid w:val="00EB72BF"/>
    <w:rsid w:val="00EC6540"/>
    <w:rsid w:val="00ED09E2"/>
    <w:rsid w:val="00ED4851"/>
    <w:rsid w:val="00ED4919"/>
    <w:rsid w:val="00ED6F6E"/>
    <w:rsid w:val="00EE00FC"/>
    <w:rsid w:val="00EE3EF8"/>
    <w:rsid w:val="00EF2443"/>
    <w:rsid w:val="00EF4A01"/>
    <w:rsid w:val="00EF556E"/>
    <w:rsid w:val="00F0504C"/>
    <w:rsid w:val="00F0611A"/>
    <w:rsid w:val="00F06CF0"/>
    <w:rsid w:val="00F1242A"/>
    <w:rsid w:val="00F2192B"/>
    <w:rsid w:val="00F24A47"/>
    <w:rsid w:val="00F27E95"/>
    <w:rsid w:val="00F34FA0"/>
    <w:rsid w:val="00F419B0"/>
    <w:rsid w:val="00F41C38"/>
    <w:rsid w:val="00F45A9F"/>
    <w:rsid w:val="00F51C75"/>
    <w:rsid w:val="00F52B02"/>
    <w:rsid w:val="00F66913"/>
    <w:rsid w:val="00F9093C"/>
    <w:rsid w:val="00FA1E62"/>
    <w:rsid w:val="00FA3C1B"/>
    <w:rsid w:val="00FA531C"/>
    <w:rsid w:val="00FA6392"/>
    <w:rsid w:val="00FB45FF"/>
    <w:rsid w:val="00FC3775"/>
    <w:rsid w:val="00FC49E1"/>
    <w:rsid w:val="00FC5A5A"/>
    <w:rsid w:val="00FE4D56"/>
    <w:rsid w:val="00FF2B9B"/>
    <w:rsid w:val="00FF3DFB"/>
    <w:rsid w:val="00FF45B1"/>
    <w:rsid w:val="00FF67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9DD"/>
    <w:pPr>
      <w:spacing w:after="120"/>
      <w:jc w:val="both"/>
    </w:pPr>
    <w:rPr>
      <w:rFonts w:ascii="Trebuchet MS" w:hAnsi="Trebuchet M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F722F"/>
    <w:rPr>
      <w:rFonts w:ascii="Tahoma" w:hAnsi="Tahoma" w:cs="Tahoma"/>
      <w:sz w:val="16"/>
      <w:szCs w:val="16"/>
    </w:rPr>
  </w:style>
  <w:style w:type="table" w:styleId="TableGrid">
    <w:name w:val="Table Grid"/>
    <w:basedOn w:val="TableNormal"/>
    <w:rsid w:val="00653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72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emf"/><Relationship Id="rId5" Type="http://schemas.openxmlformats.org/officeDocument/2006/relationships/image" Target="media/image1.wmf"/><Relationship Id="rId15" Type="http://schemas.openxmlformats.org/officeDocument/2006/relationships/oleObject" Target="embeddings/oleObject3.bin"/><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1227</Words>
  <Characters>6627</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Έλεγχος Ομογένειας Βροχομετρικών Δεδομένων (Ετήσιων Υψών Βροχής) με τη μέθοδο της Διπλής Αθροιστικής καμπύλης</vt:lpstr>
      <vt:lpstr>Έλεγχος Ομογένειας Βροχομετρικών Δεδομένων (Ετήσιων Υψών Βροχής) με τη μέθοδο της Διπλής Αθροιστικής καμπύλης</vt:lpstr>
    </vt:vector>
  </TitlesOfParts>
  <Company>UoA</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Έλεγχος Ομογένειας Βροχομετρικών Δεδομένων (Ετήσιων Υψών Βροχής) με τη μέθοδο της Διπλής Αθροιστικής καμπύλης</dc:title>
  <dc:creator>Andreadakis</dc:creator>
  <cp:lastModifiedBy>Manolis</cp:lastModifiedBy>
  <cp:revision>2</cp:revision>
  <cp:lastPrinted>2011-03-08T04:28:00Z</cp:lastPrinted>
  <dcterms:created xsi:type="dcterms:W3CDTF">2021-04-16T11:03:00Z</dcterms:created>
  <dcterms:modified xsi:type="dcterms:W3CDTF">2021-04-16T11:03:00Z</dcterms:modified>
</cp:coreProperties>
</file>