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63" w:rsidRDefault="00890A63"/>
    <w:p w:rsidR="00936D48" w:rsidRPr="007F3D86" w:rsidRDefault="00936D48">
      <w:pPr>
        <w:rPr>
          <w:sz w:val="24"/>
          <w:szCs w:val="24"/>
          <w:lang w:val="de-DE"/>
        </w:rPr>
      </w:pPr>
      <w:r w:rsidRPr="007F3D86">
        <w:rPr>
          <w:sz w:val="24"/>
          <w:szCs w:val="24"/>
          <w:lang w:val="de-DE"/>
        </w:rPr>
        <w:t>Arbeitsblatt 2</w:t>
      </w:r>
    </w:p>
    <w:p w:rsidR="00936D48" w:rsidRPr="007F3D86" w:rsidRDefault="007F3D86">
      <w:pPr>
        <w:rPr>
          <w:sz w:val="24"/>
          <w:szCs w:val="24"/>
          <w:lang w:val="de-DE"/>
        </w:rPr>
      </w:pPr>
      <w:r w:rsidRPr="007F3D86">
        <w:rPr>
          <w:sz w:val="24"/>
          <w:szCs w:val="24"/>
          <w:lang w:val="de-DE"/>
        </w:rPr>
        <w:t>Was passt zusammen?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4586"/>
        <w:gridCol w:w="517"/>
        <w:gridCol w:w="3686"/>
      </w:tblGrid>
      <w:tr w:rsidR="0031625E" w:rsidRPr="007F3D86" w:rsidTr="00397988">
        <w:tc>
          <w:tcPr>
            <w:tcW w:w="562" w:type="dxa"/>
            <w:vAlign w:val="center"/>
          </w:tcPr>
          <w:p w:rsidR="00A16B2A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4586" w:type="dxa"/>
            <w:vAlign w:val="center"/>
          </w:tcPr>
          <w:p w:rsidR="00A16B2A" w:rsidRDefault="00A16B2A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  <w:p w:rsidR="00A16B2A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Ein Kind erlernt eine Erstsprache</w:t>
            </w:r>
          </w:p>
          <w:p w:rsidR="00A16B2A" w:rsidRPr="007F3D86" w:rsidRDefault="00A16B2A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bookmarkStart w:id="0" w:name="_GoBack"/>
            <w:bookmarkEnd w:id="0"/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vAlign w:val="center"/>
          </w:tcPr>
          <w:p w:rsidR="0031625E" w:rsidRPr="007F3D86" w:rsidRDefault="007F3D86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g</w:t>
            </w:r>
            <w:r w:rsidR="0031625E" w:rsidRPr="007F3D86">
              <w:rPr>
                <w:sz w:val="24"/>
                <w:szCs w:val="24"/>
                <w:lang w:val="de-DE"/>
              </w:rPr>
              <w:t>esteuerter Zweitspracherwerb</w:t>
            </w:r>
          </w:p>
        </w:tc>
      </w:tr>
      <w:tr w:rsidR="0031625E" w:rsidRPr="007F3D86" w:rsidTr="00397988">
        <w:tc>
          <w:tcPr>
            <w:tcW w:w="562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4586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Erwerb einer zweiten Sprache, der in der alltäglichen Kommunikation geschieht.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bilingualer Erstspracherwerb</w:t>
            </w:r>
          </w:p>
        </w:tc>
      </w:tr>
      <w:tr w:rsidR="0031625E" w:rsidRPr="007F3D86" w:rsidTr="00397988">
        <w:tc>
          <w:tcPr>
            <w:tcW w:w="562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4586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Strukturen der Erstsprache, die nicht mit denen der Zweitsprache übereinstimmen, werden in die Zweitsprache übertragen</w:t>
            </w:r>
            <w:r w:rsidR="007F3D86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proofErr w:type="spellStart"/>
            <w:r w:rsidRPr="007F3D86">
              <w:rPr>
                <w:sz w:val="24"/>
                <w:szCs w:val="24"/>
                <w:lang w:val="de-DE"/>
              </w:rPr>
              <w:t>monolingualer</w:t>
            </w:r>
            <w:proofErr w:type="spellEnd"/>
            <w:r w:rsidRPr="007F3D86">
              <w:rPr>
                <w:sz w:val="24"/>
                <w:szCs w:val="24"/>
                <w:lang w:val="de-DE"/>
              </w:rPr>
              <w:t xml:space="preserve"> Erstspracherwerb</w:t>
            </w:r>
          </w:p>
        </w:tc>
      </w:tr>
      <w:tr w:rsidR="0031625E" w:rsidRPr="007F3D86" w:rsidTr="00397988">
        <w:trPr>
          <w:trHeight w:val="1752"/>
        </w:trPr>
        <w:tc>
          <w:tcPr>
            <w:tcW w:w="562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4586" w:type="dxa"/>
            <w:vAlign w:val="center"/>
          </w:tcPr>
          <w:p w:rsidR="00A16B2A" w:rsidRDefault="00A16B2A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  <w:p w:rsidR="00A16B2A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Erwerb einer Zweitsprache mit Hilfe von Unterricht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ungesteuerter Zweitspracherwerb</w:t>
            </w:r>
          </w:p>
        </w:tc>
      </w:tr>
      <w:tr w:rsidR="0031625E" w:rsidRPr="007F3D86" w:rsidTr="00397988">
        <w:tc>
          <w:tcPr>
            <w:tcW w:w="562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5.</w:t>
            </w:r>
          </w:p>
        </w:tc>
        <w:tc>
          <w:tcPr>
            <w:tcW w:w="4586" w:type="dxa"/>
            <w:vAlign w:val="center"/>
          </w:tcPr>
          <w:p w:rsidR="00A16B2A" w:rsidRDefault="00A16B2A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  <w:p w:rsidR="0031625E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Ein Kind erlernt zwei Erstsprachen</w:t>
            </w:r>
          </w:p>
          <w:p w:rsidR="00A16B2A" w:rsidRPr="007F3D86" w:rsidRDefault="00A16B2A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vAlign w:val="center"/>
          </w:tcPr>
          <w:p w:rsidR="0031625E" w:rsidRPr="007F3D86" w:rsidRDefault="007F3D86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</w:t>
            </w:r>
            <w:r w:rsidR="0031625E" w:rsidRPr="007F3D86">
              <w:rPr>
                <w:sz w:val="24"/>
                <w:szCs w:val="24"/>
                <w:lang w:val="de-DE"/>
              </w:rPr>
              <w:t>egativer Transfer</w:t>
            </w:r>
          </w:p>
        </w:tc>
      </w:tr>
      <w:tr w:rsidR="0031625E" w:rsidRPr="007F3D86" w:rsidTr="00397988">
        <w:tc>
          <w:tcPr>
            <w:tcW w:w="562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6.</w:t>
            </w:r>
          </w:p>
        </w:tc>
        <w:tc>
          <w:tcPr>
            <w:tcW w:w="4586" w:type="dxa"/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 w:rsidRPr="007F3D86">
              <w:rPr>
                <w:sz w:val="24"/>
                <w:szCs w:val="24"/>
                <w:lang w:val="de-DE"/>
              </w:rPr>
              <w:t>Strukturen der Erstsprache, die mit denen der Zweitsprache übereinstimmen, werden in die Zweitsprache übertragen und werden schnell und leicht gelernt</w:t>
            </w:r>
            <w:r w:rsidR="007F3D86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31625E" w:rsidRPr="007F3D86" w:rsidRDefault="0031625E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3686" w:type="dxa"/>
            <w:vAlign w:val="center"/>
          </w:tcPr>
          <w:p w:rsidR="0031625E" w:rsidRPr="007F3D86" w:rsidRDefault="007F3D86" w:rsidP="007F3D86">
            <w:pPr>
              <w:spacing w:after="120"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</w:t>
            </w:r>
            <w:r w:rsidRPr="007F3D86">
              <w:rPr>
                <w:sz w:val="24"/>
                <w:szCs w:val="24"/>
                <w:lang w:val="de-DE"/>
              </w:rPr>
              <w:t>ositiver Transfer</w:t>
            </w:r>
          </w:p>
        </w:tc>
      </w:tr>
    </w:tbl>
    <w:p w:rsidR="0031625E" w:rsidRPr="007F3D86" w:rsidRDefault="0031625E">
      <w:pPr>
        <w:rPr>
          <w:sz w:val="24"/>
          <w:szCs w:val="24"/>
          <w:lang w:val="de-DE"/>
        </w:rPr>
      </w:pPr>
    </w:p>
    <w:sectPr w:rsidR="0031625E" w:rsidRPr="007F3D8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20" w:rsidRDefault="00E77720" w:rsidP="00936D48">
      <w:pPr>
        <w:spacing w:after="0" w:line="240" w:lineRule="auto"/>
      </w:pPr>
      <w:r>
        <w:separator/>
      </w:r>
    </w:p>
  </w:endnote>
  <w:endnote w:type="continuationSeparator" w:id="0">
    <w:p w:rsidR="00E77720" w:rsidRDefault="00E77720" w:rsidP="0093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20" w:rsidRDefault="00E77720" w:rsidP="00936D48">
      <w:pPr>
        <w:spacing w:after="0" w:line="240" w:lineRule="auto"/>
      </w:pPr>
      <w:r>
        <w:separator/>
      </w:r>
    </w:p>
  </w:footnote>
  <w:footnote w:type="continuationSeparator" w:id="0">
    <w:p w:rsidR="00E77720" w:rsidRDefault="00E77720" w:rsidP="0093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48" w:rsidRPr="00B71A04" w:rsidRDefault="00936D48" w:rsidP="00936D48">
    <w:pPr>
      <w:pStyle w:val="NormalWeb"/>
      <w:spacing w:before="0" w:beforeAutospacing="0" w:after="0" w:afterAutospacing="0"/>
      <w:jc w:val="both"/>
      <w:rPr>
        <w:color w:val="000000" w:themeColor="text1"/>
        <w:sz w:val="22"/>
        <w:szCs w:val="22"/>
        <w:lang w:val="de-DE"/>
      </w:rPr>
    </w:pP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Universität Athen</w:t>
    </w:r>
    <w:r>
      <w:rPr>
        <w:color w:val="000000" w:themeColor="text1"/>
        <w:sz w:val="22"/>
        <w:szCs w:val="22"/>
        <w:lang w:val="de-DE"/>
      </w:rPr>
      <w:t xml:space="preserve"> -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Fachbereich für Deutsche Sprache und Literatur</w:t>
    </w:r>
  </w:p>
  <w:p w:rsidR="00936D48" w:rsidRPr="00476544" w:rsidRDefault="00936D48" w:rsidP="00936D48">
    <w:pPr>
      <w:pStyle w:val="NormalWeb"/>
      <w:spacing w:before="0" w:beforeAutospacing="0" w:after="0" w:afterAutospacing="0"/>
      <w:jc w:val="both"/>
      <w:rPr>
        <w:color w:val="000000" w:themeColor="text1"/>
        <w:sz w:val="22"/>
        <w:szCs w:val="22"/>
      </w:rPr>
    </w:pP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DGB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47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Εκμάθηση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Δεύτερης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/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Ξένης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Γλώσσας</w:t>
    </w:r>
  </w:p>
  <w:p w:rsidR="00936D48" w:rsidRDefault="00936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48"/>
    <w:rsid w:val="00055A2C"/>
    <w:rsid w:val="0031625E"/>
    <w:rsid w:val="00397988"/>
    <w:rsid w:val="005D08B5"/>
    <w:rsid w:val="00795F7A"/>
    <w:rsid w:val="007B4536"/>
    <w:rsid w:val="007F3D86"/>
    <w:rsid w:val="00890A63"/>
    <w:rsid w:val="008F3827"/>
    <w:rsid w:val="00936D48"/>
    <w:rsid w:val="00A16B2A"/>
    <w:rsid w:val="00B1641C"/>
    <w:rsid w:val="00BF5614"/>
    <w:rsid w:val="00D94E74"/>
    <w:rsid w:val="00E77720"/>
    <w:rsid w:val="00F3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48"/>
  </w:style>
  <w:style w:type="paragraph" w:styleId="NormalWeb">
    <w:name w:val="Normal (Web)"/>
    <w:basedOn w:val="Normal"/>
    <w:uiPriority w:val="99"/>
    <w:unhideWhenUsed/>
    <w:rsid w:val="0093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936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48"/>
  </w:style>
  <w:style w:type="table" w:styleId="TableGrid">
    <w:name w:val="Table Grid"/>
    <w:basedOn w:val="TableNormal"/>
    <w:uiPriority w:val="39"/>
    <w:rsid w:val="0031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48"/>
  </w:style>
  <w:style w:type="paragraph" w:styleId="NormalWeb">
    <w:name w:val="Normal (Web)"/>
    <w:basedOn w:val="Normal"/>
    <w:uiPriority w:val="99"/>
    <w:unhideWhenUsed/>
    <w:rsid w:val="0093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936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48"/>
  </w:style>
  <w:style w:type="table" w:styleId="TableGrid">
    <w:name w:val="Table Grid"/>
    <w:basedOn w:val="TableNormal"/>
    <w:uiPriority w:val="39"/>
    <w:rsid w:val="0031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Dafni</cp:lastModifiedBy>
  <cp:revision>2</cp:revision>
  <dcterms:created xsi:type="dcterms:W3CDTF">2020-01-17T11:30:00Z</dcterms:created>
  <dcterms:modified xsi:type="dcterms:W3CDTF">2020-01-17T11:30:00Z</dcterms:modified>
</cp:coreProperties>
</file>