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9A6D" w14:textId="18F539F1" w:rsidR="005453D8" w:rsidRPr="00A264F5" w:rsidRDefault="005453D8" w:rsidP="006D28CB">
      <w:pPr>
        <w:jc w:val="center"/>
        <w:rPr>
          <w:rFonts w:ascii="Palatino Linotype" w:hAnsi="Palatino Linotype" w:cs="Times New Roman"/>
          <w:b/>
          <w:sz w:val="28"/>
          <w:szCs w:val="28"/>
        </w:rPr>
      </w:pPr>
      <w:r w:rsidRPr="00A264F5">
        <w:rPr>
          <w:rFonts w:ascii="Palatino Linotype" w:hAnsi="Palatino Linotype" w:cs="Times New Roman"/>
          <w:b/>
          <w:sz w:val="28"/>
          <w:szCs w:val="28"/>
        </w:rPr>
        <w:t>ΠΡΟΓΡΑΜΜΑ ΜΕΤΑΠΤΥΧΙΑΚΩΝ ΣΠΟΥΔΩΝ ΝΟΜΙΚΗΣ ΣΧΟΛΗΣ 202</w:t>
      </w:r>
      <w:r w:rsidR="00672909" w:rsidRPr="00A264F5">
        <w:rPr>
          <w:rFonts w:ascii="Palatino Linotype" w:hAnsi="Palatino Linotype" w:cs="Times New Roman"/>
          <w:b/>
          <w:sz w:val="28"/>
          <w:szCs w:val="28"/>
        </w:rPr>
        <w:t>4</w:t>
      </w:r>
      <w:r w:rsidRPr="00A264F5">
        <w:rPr>
          <w:rFonts w:ascii="Palatino Linotype" w:hAnsi="Palatino Linotype" w:cs="Times New Roman"/>
          <w:b/>
          <w:sz w:val="28"/>
          <w:szCs w:val="28"/>
        </w:rPr>
        <w:t>-202</w:t>
      </w:r>
      <w:r w:rsidR="00672909" w:rsidRPr="00A264F5">
        <w:rPr>
          <w:rFonts w:ascii="Palatino Linotype" w:hAnsi="Palatino Linotype" w:cs="Times New Roman"/>
          <w:b/>
          <w:sz w:val="28"/>
          <w:szCs w:val="28"/>
        </w:rPr>
        <w:t>5</w:t>
      </w:r>
    </w:p>
    <w:p w14:paraId="50AD29D4" w14:textId="77777777" w:rsidR="005453D8" w:rsidRPr="00A264F5" w:rsidRDefault="005453D8" w:rsidP="006D28CB">
      <w:pPr>
        <w:jc w:val="center"/>
        <w:rPr>
          <w:rFonts w:ascii="Palatino Linotype" w:hAnsi="Palatino Linotype" w:cs="Times New Roman"/>
          <w:sz w:val="28"/>
          <w:szCs w:val="28"/>
        </w:rPr>
      </w:pPr>
      <w:r w:rsidRPr="00A264F5">
        <w:rPr>
          <w:rFonts w:ascii="Palatino Linotype" w:hAnsi="Palatino Linotype" w:cs="Times New Roman"/>
          <w:sz w:val="28"/>
          <w:szCs w:val="28"/>
        </w:rPr>
        <w:t xml:space="preserve">Κατεύθυνση: </w:t>
      </w:r>
      <w:r w:rsidRPr="00A264F5">
        <w:rPr>
          <w:rFonts w:ascii="Palatino Linotype" w:hAnsi="Palatino Linotype" w:cs="Times New Roman"/>
          <w:sz w:val="28"/>
          <w:szCs w:val="28"/>
          <w:lang w:val="de-DE"/>
        </w:rPr>
        <w:t>I</w:t>
      </w:r>
      <w:proofErr w:type="spellStart"/>
      <w:r w:rsidRPr="00A264F5">
        <w:rPr>
          <w:rFonts w:ascii="Palatino Linotype" w:hAnsi="Palatino Linotype" w:cs="Times New Roman"/>
          <w:sz w:val="28"/>
          <w:szCs w:val="28"/>
        </w:rPr>
        <w:t>στορία</w:t>
      </w:r>
      <w:proofErr w:type="spellEnd"/>
      <w:r w:rsidRPr="00A264F5">
        <w:rPr>
          <w:rFonts w:ascii="Palatino Linotype" w:hAnsi="Palatino Linotype" w:cs="Times New Roman"/>
          <w:sz w:val="28"/>
          <w:szCs w:val="28"/>
        </w:rPr>
        <w:t xml:space="preserve"> Δικαίου</w:t>
      </w:r>
    </w:p>
    <w:p w14:paraId="090F6F4B" w14:textId="31A12866" w:rsidR="00535AC9" w:rsidRPr="00A264F5" w:rsidRDefault="005453D8" w:rsidP="006D28CB">
      <w:pPr>
        <w:jc w:val="center"/>
        <w:rPr>
          <w:rFonts w:ascii="Palatino Linotype" w:hAnsi="Palatino Linotype" w:cstheme="minorHAnsi"/>
          <w:b/>
          <w:bCs/>
          <w:sz w:val="28"/>
          <w:szCs w:val="28"/>
          <w:lang w:eastAsia="en-GB"/>
        </w:rPr>
      </w:pPr>
      <w:r w:rsidRPr="00A264F5">
        <w:rPr>
          <w:rFonts w:ascii="Palatino Linotype" w:hAnsi="Palatino Linotype" w:cs="Times New Roman"/>
          <w:b/>
          <w:sz w:val="28"/>
          <w:szCs w:val="28"/>
        </w:rPr>
        <w:t xml:space="preserve">Μάθημα: </w:t>
      </w:r>
      <w:r w:rsidR="00672909" w:rsidRPr="00A264F5">
        <w:rPr>
          <w:rFonts w:ascii="Palatino Linotype" w:hAnsi="Palatino Linotype" w:cs="Times New Roman"/>
          <w:b/>
          <w:sz w:val="28"/>
          <w:szCs w:val="28"/>
        </w:rPr>
        <w:t>Θεσμοί</w:t>
      </w:r>
      <w:r w:rsidRPr="00A264F5">
        <w:rPr>
          <w:rFonts w:ascii="Palatino Linotype" w:hAnsi="Palatino Linotype" w:cs="Times New Roman"/>
          <w:b/>
          <w:sz w:val="28"/>
          <w:szCs w:val="28"/>
        </w:rPr>
        <w:t xml:space="preserve"> Ιδιωτικού/Δημοσίου Δικαίου</w:t>
      </w:r>
      <w:r w:rsidR="00765524" w:rsidRPr="00A264F5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765524" w:rsidRPr="00A264F5">
        <w:rPr>
          <w:rFonts w:ascii="Palatino Linotype" w:hAnsi="Palatino Linotype" w:cstheme="minorHAnsi"/>
          <w:b/>
          <w:bCs/>
          <w:sz w:val="28"/>
          <w:szCs w:val="28"/>
          <w:lang w:eastAsia="en-GB"/>
        </w:rPr>
        <w:t xml:space="preserve">στη </w:t>
      </w:r>
      <w:r w:rsidR="006D28CB" w:rsidRPr="00A264F5">
        <w:rPr>
          <w:rFonts w:ascii="Palatino Linotype" w:hAnsi="Palatino Linotype" w:cstheme="minorHAnsi"/>
          <w:b/>
          <w:bCs/>
          <w:sz w:val="28"/>
          <w:szCs w:val="28"/>
          <w:lang w:eastAsia="en-GB"/>
        </w:rPr>
        <w:t>Β</w:t>
      </w:r>
      <w:r w:rsidR="00765524" w:rsidRPr="00A264F5">
        <w:rPr>
          <w:rFonts w:ascii="Palatino Linotype" w:hAnsi="Palatino Linotype" w:cstheme="minorHAnsi"/>
          <w:b/>
          <w:bCs/>
          <w:sz w:val="28"/>
          <w:szCs w:val="28"/>
          <w:lang w:eastAsia="en-GB"/>
        </w:rPr>
        <w:t>υζαντινή Περίοδο</w:t>
      </w:r>
    </w:p>
    <w:p w14:paraId="69D3F0C1" w14:textId="1F897C30" w:rsidR="006D28CB" w:rsidRPr="00A264F5" w:rsidRDefault="006D28CB" w:rsidP="006D28CB">
      <w:pPr>
        <w:jc w:val="center"/>
        <w:rPr>
          <w:rFonts w:ascii="Palatino Linotype" w:hAnsi="Palatino Linotype" w:cs="Times New Roman"/>
          <w:b/>
          <w:sz w:val="28"/>
          <w:szCs w:val="28"/>
        </w:rPr>
      </w:pPr>
      <w:r w:rsidRPr="00A264F5">
        <w:rPr>
          <w:rFonts w:ascii="Palatino Linotype" w:hAnsi="Palatino Linotype" w:cstheme="minorHAnsi"/>
          <w:sz w:val="28"/>
          <w:szCs w:val="28"/>
          <w:lang w:eastAsia="en-GB"/>
        </w:rPr>
        <w:t>Θέμα εργασίας:</w:t>
      </w:r>
      <w:r w:rsidRPr="00A264F5">
        <w:rPr>
          <w:rFonts w:ascii="Palatino Linotype" w:hAnsi="Palatino Linotype" w:cstheme="minorHAnsi"/>
          <w:b/>
          <w:bCs/>
          <w:sz w:val="28"/>
          <w:szCs w:val="28"/>
          <w:lang w:eastAsia="en-GB"/>
        </w:rPr>
        <w:t xml:space="preserve">  Συγκριτική επισκόπηση του θεσμού της μνηστείας στο </w:t>
      </w:r>
      <w:r w:rsidRPr="00A264F5">
        <w:rPr>
          <w:rFonts w:ascii="Palatino Linotype" w:hAnsi="Palatino Linotype" w:cstheme="minorHAnsi"/>
          <w:b/>
          <w:bCs/>
          <w:i/>
          <w:iCs/>
          <w:sz w:val="28"/>
          <w:szCs w:val="28"/>
          <w:lang w:eastAsia="en-GB"/>
        </w:rPr>
        <w:t>Σύνταγμα</w:t>
      </w:r>
      <w:r w:rsidRPr="00A264F5">
        <w:rPr>
          <w:rFonts w:ascii="Palatino Linotype" w:hAnsi="Palatino Linotype" w:cstheme="minorHAnsi"/>
          <w:b/>
          <w:bCs/>
          <w:sz w:val="28"/>
          <w:szCs w:val="28"/>
          <w:lang w:eastAsia="en-GB"/>
        </w:rPr>
        <w:t xml:space="preserve"> του Ματθαίου Βλάσταρη και στην </w:t>
      </w:r>
      <w:proofErr w:type="spellStart"/>
      <w:r w:rsidRPr="00A264F5">
        <w:rPr>
          <w:rFonts w:ascii="Palatino Linotype" w:hAnsi="Palatino Linotype" w:cstheme="minorHAnsi"/>
          <w:b/>
          <w:bCs/>
          <w:i/>
          <w:iCs/>
          <w:sz w:val="28"/>
          <w:szCs w:val="28"/>
          <w:lang w:eastAsia="en-GB"/>
        </w:rPr>
        <w:t>Εξάβιβλο</w:t>
      </w:r>
      <w:proofErr w:type="spellEnd"/>
      <w:r w:rsidRPr="00A264F5">
        <w:rPr>
          <w:rFonts w:ascii="Palatino Linotype" w:hAnsi="Palatino Linotype" w:cstheme="minorHAnsi"/>
          <w:b/>
          <w:bCs/>
          <w:sz w:val="28"/>
          <w:szCs w:val="28"/>
          <w:lang w:eastAsia="en-GB"/>
        </w:rPr>
        <w:t xml:space="preserve"> του Κωνσταντίνου </w:t>
      </w:r>
      <w:proofErr w:type="spellStart"/>
      <w:r w:rsidRPr="00A264F5">
        <w:rPr>
          <w:rFonts w:ascii="Palatino Linotype" w:hAnsi="Palatino Linotype" w:cstheme="minorHAnsi"/>
          <w:b/>
          <w:bCs/>
          <w:sz w:val="28"/>
          <w:szCs w:val="28"/>
          <w:lang w:eastAsia="en-GB"/>
        </w:rPr>
        <w:t>Αρμενοπούλου</w:t>
      </w:r>
      <w:proofErr w:type="spellEnd"/>
    </w:p>
    <w:p w14:paraId="62F20BCD" w14:textId="77777777" w:rsidR="00672909" w:rsidRDefault="00672909" w:rsidP="006D28CB">
      <w:pPr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11D30FD9" w14:textId="6D8B1675" w:rsidR="00833761" w:rsidRPr="00326BDF" w:rsidRDefault="006D28CB" w:rsidP="006D28CB">
      <w:pPr>
        <w:jc w:val="center"/>
        <w:rPr>
          <w:rFonts w:ascii="Palatino Linotype" w:hAnsi="Palatino Linotype" w:cs="Times New Roman"/>
          <w:b/>
          <w:sz w:val="28"/>
          <w:szCs w:val="28"/>
        </w:rPr>
      </w:pPr>
      <w:r w:rsidRPr="00326BDF">
        <w:rPr>
          <w:rFonts w:ascii="Palatino Linotype" w:hAnsi="Palatino Linotype" w:cs="Times New Roman"/>
          <w:b/>
          <w:sz w:val="28"/>
          <w:szCs w:val="28"/>
        </w:rPr>
        <w:t>ΕΝΔΕΙΚΤΙΚΗ ΒΙΒΛΙΟΓΡΑΦΙΑ</w:t>
      </w:r>
    </w:p>
    <w:p w14:paraId="17F02A5E" w14:textId="77777777" w:rsidR="006D28CB" w:rsidRPr="0049413D" w:rsidRDefault="006D28CB" w:rsidP="006D28CB">
      <w:pPr>
        <w:rPr>
          <w:rFonts w:ascii="Palatino Linotype" w:hAnsi="Palatino Linotype" w:cs="Times New Roman"/>
          <w:bCs/>
          <w:sz w:val="24"/>
          <w:szCs w:val="24"/>
        </w:rPr>
      </w:pPr>
    </w:p>
    <w:p w14:paraId="6319A1CD" w14:textId="6D6885C7" w:rsidR="0049413D" w:rsidRDefault="0049413D" w:rsidP="006D28CB">
      <w:pPr>
        <w:jc w:val="both"/>
        <w:rPr>
          <w:rFonts w:ascii="Palatino Linotype" w:hAnsi="Palatino Linotype" w:cs="Times New Roman"/>
          <w:bCs/>
          <w:i/>
          <w:iCs/>
          <w:sz w:val="28"/>
          <w:szCs w:val="28"/>
        </w:rPr>
      </w:pPr>
      <w:r>
        <w:rPr>
          <w:rFonts w:ascii="Palatino Linotype" w:hAnsi="Palatino Linotype" w:cs="Times New Roman"/>
          <w:bCs/>
          <w:i/>
          <w:iCs/>
          <w:sz w:val="28"/>
          <w:szCs w:val="28"/>
        </w:rPr>
        <w:t xml:space="preserve">Ε. Παπαγιάννη, </w:t>
      </w:r>
      <w:r w:rsidRPr="00404029">
        <w:rPr>
          <w:rFonts w:ascii="Palatino Linotype" w:hAnsi="Palatino Linotype" w:cs="Times New Roman"/>
          <w:bCs/>
          <w:i/>
          <w:iCs/>
          <w:sz w:val="28"/>
          <w:szCs w:val="28"/>
        </w:rPr>
        <w:t>Η νομολογία των εκκλησιαστικών δικαστηρίων της βυζαντινής και μεταβυζαντινής περιόδου σε θέματα περιουσιακού δικαίου ΙΙ. Οικογενειακό Δίκαιο</w:t>
      </w:r>
      <w:r w:rsidR="00404029">
        <w:rPr>
          <w:rFonts w:ascii="Palatino Linotype" w:hAnsi="Palatino Linotype" w:cs="Times New Roman"/>
          <w:bCs/>
          <w:i/>
          <w:iCs/>
          <w:sz w:val="28"/>
          <w:szCs w:val="28"/>
        </w:rPr>
        <w:t xml:space="preserve">, Αθήνα-Κομοτηνή 1997, </w:t>
      </w:r>
      <w:r w:rsidR="00404029" w:rsidRPr="00404029">
        <w:rPr>
          <w:rFonts w:ascii="Palatino Linotype" w:hAnsi="Palatino Linotype" w:cs="Times New Roman"/>
          <w:bCs/>
          <w:sz w:val="28"/>
          <w:szCs w:val="28"/>
        </w:rPr>
        <w:t>1-31</w:t>
      </w:r>
    </w:p>
    <w:p w14:paraId="5F655DFE" w14:textId="7D9BF52C" w:rsidR="006D28CB" w:rsidRDefault="006D28CB" w:rsidP="006D28CB">
      <w:pPr>
        <w:jc w:val="both"/>
        <w:rPr>
          <w:rFonts w:ascii="Palatino Linotype" w:hAnsi="Palatino Linotype" w:cs="Times New Roman"/>
          <w:bCs/>
          <w:i/>
          <w:iCs/>
          <w:sz w:val="28"/>
          <w:szCs w:val="28"/>
        </w:rPr>
      </w:pPr>
      <w:r w:rsidRPr="0049413D">
        <w:rPr>
          <w:rFonts w:ascii="Palatino Linotype" w:hAnsi="Palatino Linotype" w:cs="Times New Roman"/>
          <w:bCs/>
          <w:i/>
          <w:iCs/>
          <w:sz w:val="28"/>
          <w:szCs w:val="28"/>
        </w:rPr>
        <w:t>Σ. Π</w:t>
      </w:r>
      <w:proofErr w:type="spellStart"/>
      <w:r w:rsidRPr="0049413D">
        <w:rPr>
          <w:rFonts w:ascii="Palatino Linotype" w:hAnsi="Palatino Linotype" w:cs="Times New Roman"/>
          <w:bCs/>
          <w:i/>
          <w:iCs/>
          <w:sz w:val="28"/>
          <w:szCs w:val="28"/>
        </w:rPr>
        <w:t>απαδάτος</w:t>
      </w:r>
      <w:proofErr w:type="spellEnd"/>
      <w:r w:rsidRPr="0049413D">
        <w:rPr>
          <w:rFonts w:ascii="Palatino Linotype" w:hAnsi="Palatino Linotype" w:cs="Times New Roman"/>
          <w:bCs/>
          <w:i/>
          <w:iCs/>
          <w:sz w:val="28"/>
          <w:szCs w:val="28"/>
        </w:rPr>
        <w:t xml:space="preserve">, Περί της μνηστείας εις το </w:t>
      </w:r>
      <w:proofErr w:type="spellStart"/>
      <w:r w:rsidRPr="0049413D">
        <w:rPr>
          <w:rFonts w:ascii="Palatino Linotype" w:hAnsi="Palatino Linotype" w:cs="Times New Roman"/>
          <w:bCs/>
          <w:i/>
          <w:iCs/>
          <w:sz w:val="28"/>
          <w:szCs w:val="28"/>
        </w:rPr>
        <w:t>βυζαντινόν</w:t>
      </w:r>
      <w:proofErr w:type="spellEnd"/>
      <w:r w:rsidRPr="0049413D">
        <w:rPr>
          <w:rFonts w:ascii="Palatino Linotype" w:hAnsi="Palatino Linotype" w:cs="Times New Roman"/>
          <w:bCs/>
          <w:i/>
          <w:iCs/>
          <w:sz w:val="28"/>
          <w:szCs w:val="28"/>
        </w:rPr>
        <w:t xml:space="preserve"> δίκαιον [</w:t>
      </w:r>
      <w:proofErr w:type="spellStart"/>
      <w:r w:rsidRPr="0049413D">
        <w:rPr>
          <w:rFonts w:ascii="Palatino Linotype" w:hAnsi="Palatino Linotype" w:cs="Times New Roman"/>
          <w:bCs/>
          <w:i/>
          <w:iCs/>
          <w:sz w:val="28"/>
          <w:szCs w:val="28"/>
        </w:rPr>
        <w:t>Πραγματείαι</w:t>
      </w:r>
      <w:proofErr w:type="spellEnd"/>
      <w:r w:rsidRPr="0049413D">
        <w:rPr>
          <w:rFonts w:ascii="Palatino Linotype" w:hAnsi="Palatino Linotype" w:cs="Times New Roman"/>
          <w:bCs/>
          <w:i/>
          <w:iCs/>
          <w:sz w:val="28"/>
          <w:szCs w:val="28"/>
        </w:rPr>
        <w:t xml:space="preserve"> της Ακαδημίας Αθηνών, 50.],  </w:t>
      </w:r>
      <w:r w:rsidR="0049413D">
        <w:rPr>
          <w:rFonts w:ascii="Palatino Linotype" w:hAnsi="Palatino Linotype" w:cs="Times New Roman"/>
          <w:bCs/>
          <w:i/>
          <w:iCs/>
          <w:sz w:val="28"/>
          <w:szCs w:val="28"/>
        </w:rPr>
        <w:t>Αθήνα 1984</w:t>
      </w:r>
    </w:p>
    <w:p w14:paraId="217D4C7D" w14:textId="7E7D9230" w:rsidR="00404029" w:rsidRDefault="00404029" w:rsidP="006D28CB">
      <w:pPr>
        <w:jc w:val="both"/>
        <w:rPr>
          <w:rFonts w:ascii="Palatino Linotype" w:hAnsi="Palatino Linotype" w:cs="Times New Roman"/>
          <w:bCs/>
          <w:i/>
          <w:iCs/>
          <w:sz w:val="28"/>
          <w:szCs w:val="28"/>
        </w:rPr>
      </w:pPr>
      <w:r>
        <w:rPr>
          <w:rFonts w:ascii="Palatino Linotype" w:hAnsi="Palatino Linotype" w:cs="Times New Roman"/>
          <w:bCs/>
          <w:i/>
          <w:iCs/>
          <w:sz w:val="28"/>
          <w:szCs w:val="28"/>
        </w:rPr>
        <w:t xml:space="preserve">Σ. </w:t>
      </w:r>
      <w:proofErr w:type="spellStart"/>
      <w:r>
        <w:rPr>
          <w:rFonts w:ascii="Palatino Linotype" w:hAnsi="Palatino Linotype" w:cs="Times New Roman"/>
          <w:bCs/>
          <w:i/>
          <w:iCs/>
          <w:sz w:val="28"/>
          <w:szCs w:val="28"/>
        </w:rPr>
        <w:t>Τρωιάνος</w:t>
      </w:r>
      <w:proofErr w:type="spellEnd"/>
      <w:r>
        <w:rPr>
          <w:rFonts w:ascii="Palatino Linotype" w:hAnsi="Palatino Linotype" w:cs="Times New Roman"/>
          <w:bCs/>
          <w:i/>
          <w:iCs/>
          <w:sz w:val="28"/>
          <w:szCs w:val="28"/>
        </w:rPr>
        <w:t xml:space="preserve">, Εισηγήσεις Βυζαντινού Δικαίου, </w:t>
      </w:r>
      <w:r w:rsidR="00326BDF">
        <w:rPr>
          <w:rFonts w:ascii="Palatino Linotype" w:hAnsi="Palatino Linotype" w:cs="Times New Roman"/>
          <w:bCs/>
          <w:i/>
          <w:iCs/>
          <w:sz w:val="28"/>
          <w:szCs w:val="28"/>
        </w:rPr>
        <w:t>Αθήνα 2014,</w:t>
      </w:r>
      <w:r>
        <w:rPr>
          <w:rFonts w:ascii="Palatino Linotype" w:hAnsi="Palatino Linotype" w:cs="Times New Roman"/>
          <w:bCs/>
          <w:i/>
          <w:iCs/>
          <w:sz w:val="28"/>
          <w:szCs w:val="28"/>
        </w:rPr>
        <w:t xml:space="preserve"> 86-89</w:t>
      </w:r>
    </w:p>
    <w:p w14:paraId="0AD7386A" w14:textId="5005CCF2" w:rsidR="0049413D" w:rsidRPr="0049413D" w:rsidRDefault="004757C1" w:rsidP="006D28CB">
      <w:pPr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</w:p>
    <w:sectPr w:rsidR="0049413D" w:rsidRPr="0049413D" w:rsidSect="00AB650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4AF8" w14:textId="77777777" w:rsidR="00614927" w:rsidRDefault="00614927" w:rsidP="002F3C70">
      <w:pPr>
        <w:spacing w:after="0" w:line="240" w:lineRule="auto"/>
      </w:pPr>
      <w:r>
        <w:separator/>
      </w:r>
    </w:p>
  </w:endnote>
  <w:endnote w:type="continuationSeparator" w:id="0">
    <w:p w14:paraId="250D82B0" w14:textId="77777777" w:rsidR="00614927" w:rsidRDefault="00614927" w:rsidP="002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A8A9" w14:textId="77777777" w:rsidR="00614927" w:rsidRDefault="00614927" w:rsidP="002F3C70">
      <w:pPr>
        <w:spacing w:after="0" w:line="240" w:lineRule="auto"/>
      </w:pPr>
      <w:r>
        <w:separator/>
      </w:r>
    </w:p>
  </w:footnote>
  <w:footnote w:type="continuationSeparator" w:id="0">
    <w:p w14:paraId="17BD75FA" w14:textId="77777777" w:rsidR="00614927" w:rsidRDefault="00614927" w:rsidP="002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46266"/>
      <w:docPartObj>
        <w:docPartGallery w:val="Page Numbers (Top of Page)"/>
        <w:docPartUnique/>
      </w:docPartObj>
    </w:sdtPr>
    <w:sdtContent>
      <w:p w14:paraId="08327111" w14:textId="77777777" w:rsidR="002F3C70" w:rsidRDefault="0097680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2285C17" w14:textId="77777777" w:rsidR="002F3C70" w:rsidRDefault="002F3C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A5221"/>
    <w:multiLevelType w:val="hybridMultilevel"/>
    <w:tmpl w:val="0BC61FA6"/>
    <w:lvl w:ilvl="0" w:tplc="945C28D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3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1C"/>
    <w:rsid w:val="00021DA2"/>
    <w:rsid w:val="000312A0"/>
    <w:rsid w:val="00073699"/>
    <w:rsid w:val="000E079F"/>
    <w:rsid w:val="000E07B0"/>
    <w:rsid w:val="00205F39"/>
    <w:rsid w:val="00230760"/>
    <w:rsid w:val="002349D8"/>
    <w:rsid w:val="0025131C"/>
    <w:rsid w:val="002559CA"/>
    <w:rsid w:val="00280760"/>
    <w:rsid w:val="002B7101"/>
    <w:rsid w:val="002E016C"/>
    <w:rsid w:val="002F3C70"/>
    <w:rsid w:val="00317282"/>
    <w:rsid w:val="00326BDF"/>
    <w:rsid w:val="00404029"/>
    <w:rsid w:val="004757C1"/>
    <w:rsid w:val="00493388"/>
    <w:rsid w:val="0049413D"/>
    <w:rsid w:val="004E019F"/>
    <w:rsid w:val="004F0DAF"/>
    <w:rsid w:val="0050772A"/>
    <w:rsid w:val="00535AC9"/>
    <w:rsid w:val="00540659"/>
    <w:rsid w:val="005453D8"/>
    <w:rsid w:val="005807E6"/>
    <w:rsid w:val="00592B7E"/>
    <w:rsid w:val="005E77D1"/>
    <w:rsid w:val="00605EC3"/>
    <w:rsid w:val="00614927"/>
    <w:rsid w:val="00672909"/>
    <w:rsid w:val="00680051"/>
    <w:rsid w:val="006935B6"/>
    <w:rsid w:val="006D28CB"/>
    <w:rsid w:val="006D38B0"/>
    <w:rsid w:val="006E3915"/>
    <w:rsid w:val="006F75A6"/>
    <w:rsid w:val="00714919"/>
    <w:rsid w:val="00753BD0"/>
    <w:rsid w:val="00765524"/>
    <w:rsid w:val="007B75AC"/>
    <w:rsid w:val="007D73E9"/>
    <w:rsid w:val="008237A5"/>
    <w:rsid w:val="00833761"/>
    <w:rsid w:val="00841091"/>
    <w:rsid w:val="00845659"/>
    <w:rsid w:val="008826A9"/>
    <w:rsid w:val="008E1264"/>
    <w:rsid w:val="009465E4"/>
    <w:rsid w:val="0097680E"/>
    <w:rsid w:val="009B7958"/>
    <w:rsid w:val="009D7AAF"/>
    <w:rsid w:val="009E164C"/>
    <w:rsid w:val="00A264F5"/>
    <w:rsid w:val="00A3765F"/>
    <w:rsid w:val="00A91ADB"/>
    <w:rsid w:val="00AB650F"/>
    <w:rsid w:val="00B615D6"/>
    <w:rsid w:val="00B753B1"/>
    <w:rsid w:val="00B97AE0"/>
    <w:rsid w:val="00BB1531"/>
    <w:rsid w:val="00CB0EAA"/>
    <w:rsid w:val="00D32EDE"/>
    <w:rsid w:val="00D478DD"/>
    <w:rsid w:val="00E13738"/>
    <w:rsid w:val="00EA1735"/>
    <w:rsid w:val="00EB438B"/>
    <w:rsid w:val="00EE41AA"/>
    <w:rsid w:val="00FA0406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620E"/>
  <w15:docId w15:val="{A0B58E0D-4CC8-4B50-A07D-A2FD7695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9C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59CA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2559CA"/>
    <w:pPr>
      <w:spacing w:line="240" w:lineRule="auto"/>
    </w:pPr>
    <w:rPr>
      <w:rFonts w:eastAsiaTheme="minorEastAsia"/>
      <w:sz w:val="20"/>
      <w:szCs w:val="20"/>
      <w:lang w:eastAsia="el-GR"/>
    </w:rPr>
  </w:style>
  <w:style w:type="character" w:customStyle="1" w:styleId="Char">
    <w:name w:val="Κείμενο σχολίου Char"/>
    <w:basedOn w:val="a0"/>
    <w:link w:val="a5"/>
    <w:uiPriority w:val="99"/>
    <w:semiHidden/>
    <w:rsid w:val="002559CA"/>
    <w:rPr>
      <w:rFonts w:eastAsiaTheme="minorEastAsia"/>
      <w:sz w:val="20"/>
      <w:szCs w:val="20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25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2559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2F3C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2F3C70"/>
  </w:style>
  <w:style w:type="paragraph" w:styleId="a8">
    <w:name w:val="footer"/>
    <w:basedOn w:val="a"/>
    <w:link w:val="Char2"/>
    <w:uiPriority w:val="99"/>
    <w:semiHidden/>
    <w:unhideWhenUsed/>
    <w:rsid w:val="002F3C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2F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</dc:creator>
  <cp:lastModifiedBy>Marios Tantalos</cp:lastModifiedBy>
  <cp:revision>10</cp:revision>
  <dcterms:created xsi:type="dcterms:W3CDTF">2025-03-11T11:52:00Z</dcterms:created>
  <dcterms:modified xsi:type="dcterms:W3CDTF">2025-03-11T12:21:00Z</dcterms:modified>
</cp:coreProperties>
</file>