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BA0" w:rsidRPr="00C73A67" w:rsidRDefault="001B0BA0" w:rsidP="001B0BA0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Book Antiqua" w:eastAsia="Times New Roman" w:hAnsi="Book Antiqua" w:cs="Times New Roman"/>
        </w:rPr>
      </w:pPr>
      <w:r w:rsidRPr="00C73A67">
        <w:rPr>
          <w:rFonts w:ascii="Book Antiqua" w:hAnsi="Book Antiqua"/>
          <w:lang w:val="el-GR"/>
        </w:rPr>
        <w:t xml:space="preserve">Α. Παπαϊωάννου, </w:t>
      </w:r>
      <w:r w:rsidRPr="00C73A67">
        <w:rPr>
          <w:rFonts w:ascii="Book Antiqua" w:hAnsi="Book Antiqua"/>
          <w:i/>
          <w:lang w:val="el-GR"/>
        </w:rPr>
        <w:t xml:space="preserve">Πολιτική και δικαιοσύνη στη δίνη του </w:t>
      </w:r>
      <w:r w:rsidRPr="00C73A67">
        <w:rPr>
          <w:rFonts w:ascii="Book Antiqua" w:hAnsi="Book Antiqua"/>
          <w:i/>
        </w:rPr>
        <w:t>Brexit</w:t>
      </w:r>
      <w:r w:rsidRPr="00C73A67">
        <w:rPr>
          <w:rFonts w:ascii="Book Antiqua" w:hAnsi="Book Antiqua"/>
          <w:i/>
          <w:lang w:val="el-GR"/>
        </w:rPr>
        <w:t>,</w:t>
      </w:r>
      <w:r w:rsidRPr="00C73A67">
        <w:rPr>
          <w:rFonts w:ascii="Book Antiqua" w:hAnsi="Book Antiqua"/>
          <w:lang w:val="el-GR"/>
        </w:rPr>
        <w:t xml:space="preserve"> </w:t>
      </w:r>
      <w:proofErr w:type="spellStart"/>
      <w:r w:rsidRPr="00C73A67">
        <w:rPr>
          <w:rFonts w:ascii="Book Antiqua" w:hAnsi="Book Antiqua"/>
          <w:lang w:val="el-GR"/>
        </w:rPr>
        <w:t>Σάκκουλας</w:t>
      </w:r>
      <w:proofErr w:type="spellEnd"/>
      <w:r w:rsidRPr="00C73A67">
        <w:rPr>
          <w:rFonts w:ascii="Book Antiqua" w:hAnsi="Book Antiqua"/>
          <w:lang w:val="el-GR"/>
        </w:rPr>
        <w:t xml:space="preserve"> 2018</w:t>
      </w:r>
      <w:r w:rsidRPr="00C73A67">
        <w:rPr>
          <w:rFonts w:ascii="Book Antiqua" w:eastAsia="Times New Roman" w:hAnsi="Book Antiqua" w:cs="Times New Roman"/>
          <w:bCs/>
          <w:kern w:val="36"/>
          <w:lang w:val="el-GR"/>
        </w:rPr>
        <w:t xml:space="preserve"> </w:t>
      </w:r>
    </w:p>
    <w:p w:rsidR="00C73A67" w:rsidRPr="00C73A67" w:rsidRDefault="001B0BA0" w:rsidP="00C73A6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Book Antiqua" w:eastAsia="Times New Roman" w:hAnsi="Book Antiqua" w:cs="Times New Roman"/>
        </w:rPr>
      </w:pPr>
      <w:r w:rsidRPr="00C73A67">
        <w:rPr>
          <w:rFonts w:ascii="Book Antiqua" w:eastAsia="Times New Roman" w:hAnsi="Book Antiqua" w:cs="Times New Roman"/>
          <w:bCs/>
          <w:kern w:val="36"/>
          <w:lang w:val="el-GR"/>
        </w:rPr>
        <w:t xml:space="preserve">Η </w:t>
      </w:r>
      <w:r w:rsidRPr="00C73A67">
        <w:rPr>
          <w:rFonts w:ascii="Book Antiqua" w:eastAsia="Times New Roman" w:hAnsi="Book Antiqua" w:cs="Times New Roman"/>
          <w:bCs/>
          <w:kern w:val="36"/>
          <w:lang w:val="el-GR"/>
        </w:rPr>
        <w:t>Λευκή Βίβλος</w:t>
      </w:r>
      <w:r w:rsidRPr="00C73A67">
        <w:rPr>
          <w:rFonts w:ascii="Book Antiqua" w:eastAsia="Times New Roman" w:hAnsi="Book Antiqua" w:cs="Times New Roman"/>
          <w:bCs/>
          <w:kern w:val="36"/>
          <w:lang w:val="el-GR"/>
        </w:rPr>
        <w:t xml:space="preserve"> για το ΒΡΕΧΙΤ. </w:t>
      </w:r>
      <w:r w:rsidRPr="00C73A67">
        <w:rPr>
          <w:rFonts w:ascii="Book Antiqua" w:eastAsia="Times New Roman" w:hAnsi="Book Antiqua" w:cs="Times New Roman"/>
          <w:bCs/>
          <w:kern w:val="36"/>
        </w:rPr>
        <w:t xml:space="preserve">The United Kingdom’s exit from and new partnership with the European Union Presented to Parliament by the Prime Minister by Command of Her Majesty February 2017, </w:t>
      </w:r>
      <w:r w:rsidRPr="00C73A67">
        <w:rPr>
          <w:rFonts w:ascii="Book Antiqua" w:eastAsia="Times New Roman" w:hAnsi="Book Antiqua" w:cs="Times New Roman"/>
          <w:bCs/>
          <w:kern w:val="36"/>
          <w:lang w:val="el-GR"/>
        </w:rPr>
        <w:t>Ποιότητα</w:t>
      </w:r>
      <w:r w:rsidRPr="00C73A67">
        <w:rPr>
          <w:rFonts w:ascii="Book Antiqua" w:eastAsia="Times New Roman" w:hAnsi="Book Antiqua" w:cs="Times New Roman"/>
          <w:bCs/>
          <w:kern w:val="36"/>
        </w:rPr>
        <w:t xml:space="preserve"> 2017</w:t>
      </w:r>
    </w:p>
    <w:p w:rsidR="002874D2" w:rsidRDefault="00C73A67" w:rsidP="002874D2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40" w:lineRule="auto"/>
        <w:outlineLvl w:val="0"/>
        <w:rPr>
          <w:rFonts w:ascii="Book Antiqua" w:hAnsi="Book Antiqua" w:cs="Century Gothic"/>
          <w:color w:val="000000"/>
          <w:lang w:val="el-GR"/>
        </w:rPr>
      </w:pPr>
      <w:r w:rsidRPr="00C73A67">
        <w:rPr>
          <w:rFonts w:ascii="Book Antiqua" w:hAnsi="Book Antiqua" w:cs="Century Gothic"/>
          <w:color w:val="000000"/>
          <w:lang w:val="el-GR"/>
        </w:rPr>
        <w:t>Φ.</w:t>
      </w:r>
      <w:r w:rsidRPr="00C73A67">
        <w:rPr>
          <w:rFonts w:ascii="Book Antiqua" w:hAnsi="Book Antiqua" w:cs="Century Gothic"/>
          <w:color w:val="000000"/>
          <w:lang w:val="el-GR"/>
        </w:rPr>
        <w:t xml:space="preserve"> </w:t>
      </w:r>
      <w:proofErr w:type="spellStart"/>
      <w:r w:rsidRPr="00C73A67">
        <w:rPr>
          <w:rFonts w:ascii="Book Antiqua" w:hAnsi="Book Antiqua" w:cs="Century Gothic"/>
          <w:color w:val="000000"/>
          <w:lang w:val="el-GR"/>
        </w:rPr>
        <w:t>Χατζησταύρου</w:t>
      </w:r>
      <w:proofErr w:type="spellEnd"/>
      <w:r w:rsidRPr="00C73A67">
        <w:rPr>
          <w:rFonts w:ascii="Book Antiqua" w:hAnsi="Book Antiqua" w:cs="Century Gothic"/>
          <w:color w:val="000000"/>
          <w:lang w:val="el-GR"/>
        </w:rPr>
        <w:t xml:space="preserve"> </w:t>
      </w:r>
      <w:r w:rsidRPr="00C73A67">
        <w:rPr>
          <w:rFonts w:ascii="Book Antiqua" w:hAnsi="Book Antiqua" w:cs="Century Gothic"/>
          <w:color w:val="000000"/>
          <w:lang w:val="el-GR"/>
        </w:rPr>
        <w:t>και</w:t>
      </w:r>
      <w:r w:rsidRPr="00C73A67">
        <w:rPr>
          <w:rFonts w:ascii="Book Antiqua" w:hAnsi="Book Antiqua" w:cs="Century Gothic"/>
          <w:color w:val="000000"/>
          <w:lang w:val="el-GR"/>
        </w:rPr>
        <w:t xml:space="preserve"> </w:t>
      </w:r>
      <w:r w:rsidRPr="00C73A67">
        <w:rPr>
          <w:rFonts w:ascii="Book Antiqua" w:hAnsi="Book Antiqua" w:cs="Century Gothic"/>
          <w:color w:val="000000"/>
          <w:lang w:val="el-GR"/>
        </w:rPr>
        <w:t>Γ.</w:t>
      </w:r>
      <w:r w:rsidRPr="00C73A67">
        <w:rPr>
          <w:rFonts w:ascii="Book Antiqua" w:hAnsi="Book Antiqua" w:cs="Century Gothic"/>
          <w:color w:val="000000"/>
          <w:lang w:val="el-GR"/>
        </w:rPr>
        <w:t xml:space="preserve"> Δικαίος</w:t>
      </w:r>
      <w:r w:rsidRPr="00C73A67">
        <w:rPr>
          <w:rFonts w:ascii="Book Antiqua" w:hAnsi="Book Antiqua" w:cs="Century Gothic"/>
          <w:color w:val="000000"/>
          <w:lang w:val="el-GR"/>
        </w:rPr>
        <w:t>,</w:t>
      </w:r>
      <w:r w:rsidRPr="00C73A67">
        <w:rPr>
          <w:rFonts w:ascii="Book Antiqua" w:hAnsi="Book Antiqua" w:cs="Century Gothic"/>
          <w:color w:val="000000"/>
          <w:lang w:val="el-GR"/>
        </w:rPr>
        <w:t xml:space="preserve"> Ο Βρετανικός</w:t>
      </w:r>
      <w:r w:rsidRPr="00C73A67">
        <w:rPr>
          <w:rFonts w:ascii="Book Antiqua" w:hAnsi="Book Antiqua" w:cs="Century Gothic"/>
          <w:color w:val="000000"/>
          <w:lang w:val="el-GR"/>
        </w:rPr>
        <w:t xml:space="preserve"> </w:t>
      </w:r>
      <w:proofErr w:type="spellStart"/>
      <w:r w:rsidRPr="00C73A67">
        <w:rPr>
          <w:rFonts w:ascii="Book Antiqua" w:hAnsi="Book Antiqua" w:cs="Century Gothic"/>
          <w:color w:val="000000"/>
          <w:lang w:val="el-GR"/>
        </w:rPr>
        <w:t>Νεο-Ευρωσκεπτικισμός</w:t>
      </w:r>
      <w:proofErr w:type="spellEnd"/>
      <w:r w:rsidRPr="00C73A67">
        <w:rPr>
          <w:rFonts w:ascii="Book Antiqua" w:hAnsi="Book Antiqua" w:cs="Century Gothic"/>
          <w:color w:val="000000"/>
          <w:lang w:val="el-GR"/>
        </w:rPr>
        <w:t xml:space="preserve"> </w:t>
      </w:r>
      <w:r>
        <w:rPr>
          <w:rFonts w:ascii="Book Antiqua" w:hAnsi="Book Antiqua" w:cs="Century Gothic"/>
          <w:color w:val="000000"/>
          <w:lang w:val="el-GR"/>
        </w:rPr>
        <w:t>στην Ευρωπαϊκή Διακυβέρνηση</w:t>
      </w:r>
      <w:r w:rsidR="002874D2" w:rsidRPr="002874D2">
        <w:rPr>
          <w:rFonts w:ascii="Book Antiqua" w:hAnsi="Book Antiqua" w:cs="Century Gothic"/>
          <w:color w:val="000000"/>
          <w:lang w:val="el-GR"/>
        </w:rPr>
        <w:t xml:space="preserve">. </w:t>
      </w:r>
      <w:r w:rsidR="002874D2" w:rsidRPr="00C73A67">
        <w:rPr>
          <w:rFonts w:ascii="Book Antiqua" w:hAnsi="Book Antiqua" w:cs="Century Gothic"/>
          <w:color w:val="000000"/>
          <w:lang w:val="el-GR"/>
        </w:rPr>
        <w:t xml:space="preserve">Η Ρητορεία του </w:t>
      </w:r>
      <w:r w:rsidR="002874D2" w:rsidRPr="00C73A67">
        <w:rPr>
          <w:rFonts w:ascii="Book Antiqua" w:hAnsi="Book Antiqua" w:cs="Century Gothic"/>
          <w:color w:val="000000"/>
        </w:rPr>
        <w:t>Brexit</w:t>
      </w:r>
      <w:r w:rsidR="002874D2" w:rsidRPr="00C73A67">
        <w:rPr>
          <w:rFonts w:ascii="Book Antiqua" w:hAnsi="Book Antiqua" w:cs="Century Gothic"/>
          <w:color w:val="000000"/>
          <w:lang w:val="el-GR"/>
        </w:rPr>
        <w:t xml:space="preserve"> και η Στρατηγική του </w:t>
      </w:r>
      <w:proofErr w:type="spellStart"/>
      <w:r w:rsidR="002874D2" w:rsidRPr="00C73A67">
        <w:rPr>
          <w:rFonts w:ascii="Book Antiqua" w:hAnsi="Book Antiqua" w:cs="Century Gothic"/>
          <w:color w:val="000000"/>
        </w:rPr>
        <w:t>Brexin</w:t>
      </w:r>
      <w:proofErr w:type="spellEnd"/>
      <w:r>
        <w:rPr>
          <w:rFonts w:ascii="Book Antiqua" w:hAnsi="Book Antiqua" w:cs="Century Gothic"/>
          <w:color w:val="000000"/>
          <w:lang w:val="el-GR"/>
        </w:rPr>
        <w:t>, ΕΛΙΑΜΕΠ 2015</w:t>
      </w:r>
      <w:r w:rsidR="002874D2" w:rsidRPr="002874D2">
        <w:rPr>
          <w:rFonts w:ascii="Book Antiqua" w:hAnsi="Book Antiqua" w:cs="Century Gothic"/>
          <w:color w:val="000000"/>
          <w:lang w:val="el-GR"/>
        </w:rPr>
        <w:t xml:space="preserve">, </w:t>
      </w:r>
      <w:hyperlink r:id="rId5" w:history="1">
        <w:r w:rsidR="002874D2" w:rsidRPr="00C73A67">
          <w:rPr>
            <w:rStyle w:val="-"/>
            <w:rFonts w:ascii="Book Antiqua" w:hAnsi="Book Antiqua" w:cs="Century Gothic"/>
            <w:lang w:val="el-GR"/>
          </w:rPr>
          <w:t>https://www.eliamep.gr/publication</w:t>
        </w:r>
      </w:hyperlink>
    </w:p>
    <w:p w:rsidR="002874D2" w:rsidRPr="002874D2" w:rsidRDefault="002874D2" w:rsidP="002874D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Century Gothic"/>
          <w:color w:val="000000"/>
          <w:lang w:val="el-GR"/>
        </w:rPr>
      </w:pPr>
      <w:r w:rsidRPr="002874D2">
        <w:rPr>
          <w:rFonts w:ascii="Book Antiqua" w:hAnsi="Book Antiqua" w:cs="Century Gothic"/>
          <w:color w:val="000000"/>
          <w:lang w:val="el-GR"/>
        </w:rPr>
        <w:t xml:space="preserve">Π. Ήφαιστος, Περί </w:t>
      </w:r>
      <w:proofErr w:type="spellStart"/>
      <w:r w:rsidRPr="002874D2">
        <w:rPr>
          <w:rFonts w:ascii="Book Antiqua" w:hAnsi="Book Antiqua" w:cs="Century Gothic"/>
          <w:color w:val="000000"/>
          <w:lang w:val="el-GR"/>
        </w:rPr>
        <w:t>ευρωσπετικισμού</w:t>
      </w:r>
      <w:proofErr w:type="spellEnd"/>
      <w:r w:rsidRPr="002874D2">
        <w:rPr>
          <w:rFonts w:ascii="Book Antiqua" w:hAnsi="Book Antiqua" w:cs="Century Gothic"/>
          <w:color w:val="000000"/>
          <w:lang w:val="el-GR"/>
        </w:rPr>
        <w:t xml:space="preserve"> το ανάγνωσμα, Ποιότητα 2016</w:t>
      </w:r>
    </w:p>
    <w:p w:rsidR="002874D2" w:rsidRPr="002874D2" w:rsidRDefault="002874D2" w:rsidP="002874D2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40" w:lineRule="auto"/>
        <w:outlineLvl w:val="0"/>
        <w:rPr>
          <w:rFonts w:ascii="Book Antiqua" w:hAnsi="Book Antiqua" w:cs="Century Gothic"/>
          <w:color w:val="000000"/>
        </w:rPr>
      </w:pPr>
      <w:r w:rsidRPr="002874D2">
        <w:rPr>
          <w:rFonts w:ascii="Book Antiqua" w:hAnsi="Book Antiqua"/>
          <w:bCs/>
        </w:rPr>
        <w:t>R. Hogarth, Brexit and the European Court of Justice, 2017, https://www.instituteforgovernment.org.uk/sites/default/files/publications/IfG_Brexit_Euro_Court_Justice_WEB.pdf</w:t>
      </w:r>
      <w:r w:rsidRPr="002874D2">
        <w:rPr>
          <w:rFonts w:ascii="Book Antiqua" w:hAnsi="Book Antiqua"/>
        </w:rPr>
        <w:t xml:space="preserve"> </w:t>
      </w:r>
    </w:p>
    <w:p w:rsidR="002874D2" w:rsidRPr="002874D2" w:rsidRDefault="002874D2" w:rsidP="002874D2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40" w:lineRule="auto"/>
        <w:outlineLvl w:val="0"/>
        <w:rPr>
          <w:rFonts w:ascii="Book Antiqua" w:hAnsi="Book Antiqua" w:cs="Century Gothic"/>
          <w:color w:val="000000"/>
        </w:rPr>
      </w:pPr>
      <w:r w:rsidRPr="002874D2">
        <w:rPr>
          <w:rFonts w:ascii="Book Antiqua" w:hAnsi="Book Antiqua"/>
        </w:rPr>
        <w:t xml:space="preserve">European Parliament, </w:t>
      </w:r>
      <w:r w:rsidRPr="002874D2">
        <w:rPr>
          <w:rFonts w:ascii="Book Antiqua" w:eastAsia="Times New Roman" w:hAnsi="Book Antiqua" w:cs="Arial"/>
        </w:rPr>
        <w:t xml:space="preserve">Article 50 TEU: Withdrawal of a Member State from the EU, </w:t>
      </w:r>
      <w:hyperlink r:id="rId6" w:history="1">
        <w:r w:rsidRPr="00C36F9E">
          <w:rPr>
            <w:rStyle w:val="-"/>
            <w:rFonts w:ascii="Book Antiqua" w:hAnsi="Book Antiqua"/>
          </w:rPr>
          <w:t>http://www.europarl.europa.eu/RegData/etudes/BRIE/2016/577971/EPRS_BRI(2016)577971_EN.pdf</w:t>
        </w:r>
      </w:hyperlink>
    </w:p>
    <w:p w:rsidR="002874D2" w:rsidRPr="00327B0D" w:rsidRDefault="001B0BA0" w:rsidP="00327B0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Book Antiqua" w:hAnsi="Book Antiqua"/>
          <w:b/>
          <w:bCs/>
          <w:i/>
        </w:rPr>
      </w:pPr>
      <w:r w:rsidRPr="002874D2">
        <w:rPr>
          <w:rFonts w:ascii="Book Antiqua" w:hAnsi="Book Antiqua"/>
          <w:lang w:val="el-GR"/>
        </w:rPr>
        <w:t>Ε</w:t>
      </w:r>
      <w:r w:rsidR="002874D2" w:rsidRPr="002874D2">
        <w:rPr>
          <w:rFonts w:ascii="Book Antiqua" w:hAnsi="Book Antiqua"/>
          <w:lang w:val="el-GR"/>
        </w:rPr>
        <w:t>ρευνητικό</w:t>
      </w:r>
      <w:r w:rsidR="002874D2" w:rsidRPr="00327B0D">
        <w:rPr>
          <w:rFonts w:ascii="Book Antiqua" w:hAnsi="Book Antiqua"/>
        </w:rPr>
        <w:t xml:space="preserve"> I</w:t>
      </w:r>
      <w:proofErr w:type="spellStart"/>
      <w:r w:rsidRPr="002874D2">
        <w:rPr>
          <w:rFonts w:ascii="Book Antiqua" w:hAnsi="Book Antiqua"/>
          <w:lang w:val="el-GR"/>
        </w:rPr>
        <w:t>νστιτούτο</w:t>
      </w:r>
      <w:proofErr w:type="spellEnd"/>
      <w:r w:rsidRPr="00327B0D">
        <w:rPr>
          <w:rFonts w:ascii="Book Antiqua" w:hAnsi="Book Antiqua"/>
        </w:rPr>
        <w:t xml:space="preserve"> </w:t>
      </w:r>
      <w:r w:rsidRPr="002874D2">
        <w:rPr>
          <w:rFonts w:ascii="Book Antiqua" w:hAnsi="Book Antiqua"/>
        </w:rPr>
        <w:t>Pew</w:t>
      </w:r>
      <w:r w:rsidRPr="00327B0D">
        <w:rPr>
          <w:rFonts w:ascii="Book Antiqua" w:hAnsi="Book Antiqua"/>
        </w:rPr>
        <w:t xml:space="preserve">, </w:t>
      </w:r>
      <w:proofErr w:type="spellStart"/>
      <w:r w:rsidR="00327B0D" w:rsidRPr="00327B0D">
        <w:rPr>
          <w:rFonts w:ascii="Book Antiqua" w:hAnsi="Book Antiqua"/>
          <w:bCs/>
        </w:rPr>
        <w:t>Euroskepticism</w:t>
      </w:r>
      <w:proofErr w:type="spellEnd"/>
      <w:r w:rsidR="00327B0D" w:rsidRPr="00327B0D">
        <w:rPr>
          <w:rFonts w:ascii="Book Antiqua" w:hAnsi="Book Antiqua"/>
          <w:bCs/>
        </w:rPr>
        <w:t xml:space="preserve"> Beyond Brexit</w:t>
      </w:r>
      <w:r w:rsidRPr="00327B0D">
        <w:rPr>
          <w:rFonts w:ascii="Book Antiqua" w:hAnsi="Book Antiqua"/>
        </w:rPr>
        <w:t xml:space="preserve">, </w:t>
      </w:r>
      <w:hyperlink r:id="rId7" w:history="1">
        <w:r w:rsidR="00327B0D" w:rsidRPr="00327B0D">
          <w:rPr>
            <w:rStyle w:val="-"/>
            <w:rFonts w:ascii="Book Antiqua" w:hAnsi="Book Antiqua"/>
          </w:rPr>
          <w:t>http://www.pewglobal.org/2016/06/07/euroskepticism-beyond-brexit/#an-ever-closer-europe-or-not</w:t>
        </w:r>
      </w:hyperlink>
      <w:r w:rsidR="00327B0D" w:rsidRPr="00327B0D">
        <w:rPr>
          <w:rFonts w:ascii="Book Antiqua" w:hAnsi="Book Antiqua"/>
        </w:rPr>
        <w:t xml:space="preserve"> </w:t>
      </w:r>
      <w:r w:rsidR="00327B0D" w:rsidRPr="00327B0D">
        <w:rPr>
          <w:rFonts w:ascii="Book Antiqua" w:hAnsi="Book Antiqua"/>
          <w:lang w:val="el-GR"/>
        </w:rPr>
        <w:t>και</w:t>
      </w:r>
      <w:r w:rsidR="00327B0D" w:rsidRPr="00327B0D">
        <w:rPr>
          <w:rFonts w:ascii="Book Antiqua" w:hAnsi="Book Antiqua"/>
        </w:rPr>
        <w:t xml:space="preserve"> </w:t>
      </w:r>
      <w:hyperlink r:id="rId8" w:history="1">
        <w:r w:rsidR="00C73A67" w:rsidRPr="00327B0D">
          <w:rPr>
            <w:rStyle w:val="-"/>
            <w:rFonts w:ascii="Book Antiqua" w:hAnsi="Book Antiqua"/>
          </w:rPr>
          <w:t>https://www.dianeosis.org/2016/06/o-eyroskeptikismos-pera-apo-to-brexit/</w:t>
        </w:r>
      </w:hyperlink>
      <w:r w:rsidR="002874D2" w:rsidRPr="00327B0D">
        <w:rPr>
          <w:rFonts w:ascii="Book Antiqua" w:hAnsi="Book Antiqua" w:cs="Century Gothic"/>
          <w:color w:val="000000"/>
        </w:rPr>
        <w:t xml:space="preserve"> </w:t>
      </w:r>
    </w:p>
    <w:p w:rsidR="002874D2" w:rsidRPr="00327B0D" w:rsidRDefault="002874D2">
      <w:pPr>
        <w:autoSpaceDE w:val="0"/>
        <w:autoSpaceDN w:val="0"/>
        <w:adjustRightInd w:val="0"/>
        <w:spacing w:after="0" w:line="240" w:lineRule="auto"/>
        <w:rPr>
          <w:rFonts w:ascii="Book Antiqua" w:hAnsi="Book Antiqua" w:cs="Century Gothic"/>
          <w:color w:val="000000"/>
        </w:rPr>
      </w:pPr>
      <w:bookmarkStart w:id="0" w:name="_GoBack"/>
      <w:bookmarkEnd w:id="0"/>
    </w:p>
    <w:sectPr w:rsidR="002874D2" w:rsidRPr="00327B0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63B70"/>
    <w:multiLevelType w:val="hybridMultilevel"/>
    <w:tmpl w:val="C340225E"/>
    <w:lvl w:ilvl="0" w:tplc="F3EC5F3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A0"/>
    <w:rsid w:val="001B0BA0"/>
    <w:rsid w:val="002874D2"/>
    <w:rsid w:val="00327B0D"/>
    <w:rsid w:val="00717497"/>
    <w:rsid w:val="008E63DA"/>
    <w:rsid w:val="00C7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0CBD0-0471-44AE-8953-2F1DC34F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1B0B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0B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ostmetadata">
    <w:name w:val="postmetadata"/>
    <w:basedOn w:val="a"/>
    <w:rsid w:val="001B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yline">
    <w:name w:val="byline"/>
    <w:basedOn w:val="a0"/>
    <w:rsid w:val="001B0BA0"/>
  </w:style>
  <w:style w:type="character" w:customStyle="1" w:styleId="author">
    <w:name w:val="author"/>
    <w:basedOn w:val="a0"/>
    <w:rsid w:val="001B0BA0"/>
  </w:style>
  <w:style w:type="character" w:styleId="-">
    <w:name w:val="Hyperlink"/>
    <w:basedOn w:val="a0"/>
    <w:uiPriority w:val="99"/>
    <w:unhideWhenUsed/>
    <w:rsid w:val="001B0BA0"/>
    <w:rPr>
      <w:color w:val="0000FF"/>
      <w:u w:val="single"/>
    </w:rPr>
  </w:style>
  <w:style w:type="character" w:styleId="a3">
    <w:name w:val="Emphasis"/>
    <w:basedOn w:val="a0"/>
    <w:uiPriority w:val="20"/>
    <w:qFormat/>
    <w:rsid w:val="001B0BA0"/>
    <w:rPr>
      <w:i/>
      <w:iCs/>
    </w:rPr>
  </w:style>
  <w:style w:type="paragraph" w:styleId="a4">
    <w:name w:val="List Paragraph"/>
    <w:basedOn w:val="a"/>
    <w:uiPriority w:val="34"/>
    <w:qFormat/>
    <w:rsid w:val="001B0BA0"/>
    <w:pPr>
      <w:ind w:left="720"/>
      <w:contextualSpacing/>
    </w:pPr>
  </w:style>
  <w:style w:type="character" w:styleId="a5">
    <w:name w:val="Strong"/>
    <w:basedOn w:val="a0"/>
    <w:uiPriority w:val="22"/>
    <w:qFormat/>
    <w:rsid w:val="001B0BA0"/>
    <w:rPr>
      <w:b/>
      <w:bCs/>
    </w:rPr>
  </w:style>
  <w:style w:type="paragraph" w:customStyle="1" w:styleId="Default">
    <w:name w:val="Default"/>
    <w:rsid w:val="00C73A6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neosis.org/2016/06/o-eyroskeptikismos-pera-apo-to-brex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wglobal.org/2016/06/07/euroskepticism-beyond-brexit/#an-ever-closer-europe-or-n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uroparl.europa.eu/RegData/etudes/BRIE/2016/577971/EPRS_BRI(2016)577971_EN.pdf" TargetMode="External"/><Relationship Id="rId5" Type="http://schemas.openxmlformats.org/officeDocument/2006/relationships/hyperlink" Target="https://www.eliamep.gr/publicati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 Γεραπετρίτης</dc:creator>
  <cp:keywords/>
  <dc:description/>
  <cp:lastModifiedBy>Γιώργος Γεραπετρίτης</cp:lastModifiedBy>
  <cp:revision>3</cp:revision>
  <dcterms:created xsi:type="dcterms:W3CDTF">2018-11-02T07:46:00Z</dcterms:created>
  <dcterms:modified xsi:type="dcterms:W3CDTF">2018-11-02T09:22:00Z</dcterms:modified>
</cp:coreProperties>
</file>