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7235" w14:textId="77777777" w:rsidR="001F6DA3" w:rsidRPr="0014170F" w:rsidRDefault="001F6DA3" w:rsidP="0014170F">
      <w:pPr>
        <w:rPr>
          <w:lang w:val="en-US"/>
        </w:rPr>
      </w:pPr>
      <w:r w:rsidRPr="0014170F">
        <w:rPr>
          <w:lang w:val="en-US"/>
        </w:rPr>
        <w:t>COURT</w:t>
      </w:r>
      <w:r w:rsidR="00CB20B7">
        <w:rPr>
          <w:lang w:val="en-US"/>
        </w:rPr>
        <w:t xml:space="preserve"> DECISIONS ON THE CONCEPT OF</w:t>
      </w:r>
      <w:r w:rsidRPr="0014170F">
        <w:rPr>
          <w:lang w:val="en-US"/>
        </w:rPr>
        <w:t xml:space="preserve"> “INVENTIVE STEP”</w:t>
      </w:r>
    </w:p>
    <w:p w14:paraId="05A9474E" w14:textId="77777777" w:rsidR="001F6DA3" w:rsidRPr="0014170F" w:rsidRDefault="001F6DA3" w:rsidP="0014170F">
      <w:pPr>
        <w:rPr>
          <w:lang w:val="en-US"/>
        </w:rPr>
      </w:pPr>
    </w:p>
    <w:p w14:paraId="4A212BF7" w14:textId="77777777" w:rsidR="00640493" w:rsidRPr="000E34B2" w:rsidRDefault="001F6DA3" w:rsidP="0014170F">
      <w:pPr>
        <w:rPr>
          <w:lang w:val="en-US"/>
        </w:rPr>
      </w:pPr>
      <w:r w:rsidRPr="000E34B2">
        <w:rPr>
          <w:i/>
          <w:u w:val="single"/>
          <w:lang w:val="en-US"/>
        </w:rPr>
        <w:t>Graham vs. John Deere Co</w:t>
      </w:r>
      <w:r w:rsidRPr="000E34B2">
        <w:rPr>
          <w:lang w:val="en-US"/>
        </w:rPr>
        <w:t>.,</w:t>
      </w:r>
      <w:r w:rsidR="00C55159" w:rsidRPr="000E34B2">
        <w:rPr>
          <w:lang w:val="en-US"/>
        </w:rPr>
        <w:t xml:space="preserve"> 383 U.S. 1, 86 S. Ct. 684</w:t>
      </w:r>
      <w:r w:rsidR="00E35A0D" w:rsidRPr="000E34B2">
        <w:rPr>
          <w:lang w:val="en-US"/>
        </w:rPr>
        <w:t xml:space="preserve"> </w:t>
      </w:r>
      <w:r w:rsidR="00C55159" w:rsidRPr="000E34B2">
        <w:rPr>
          <w:lang w:val="en-US"/>
        </w:rPr>
        <w:t>(</w:t>
      </w:r>
      <w:r w:rsidR="00E35A0D" w:rsidRPr="000E34B2">
        <w:rPr>
          <w:lang w:val="en-US"/>
        </w:rPr>
        <w:t>1966</w:t>
      </w:r>
      <w:r w:rsidR="00C55159" w:rsidRPr="000E34B2">
        <w:rPr>
          <w:lang w:val="en-US"/>
        </w:rPr>
        <w:t xml:space="preserve">) </w:t>
      </w:r>
    </w:p>
    <w:p w14:paraId="75A07825" w14:textId="77777777" w:rsidR="00A07ED3" w:rsidRPr="0014170F" w:rsidRDefault="00C55159" w:rsidP="0014170F">
      <w:pPr>
        <w:rPr>
          <w:rFonts w:cs="Arial"/>
          <w:color w:val="202122"/>
          <w:shd w:val="clear" w:color="auto" w:fill="FFFFFF"/>
          <w:lang w:val="en-US"/>
        </w:rPr>
      </w:pPr>
      <w:r w:rsidRPr="000E34B2">
        <w:rPr>
          <w:lang w:val="en-US"/>
        </w:rPr>
        <w:t xml:space="preserve">It </w:t>
      </w:r>
      <w:r w:rsidR="00E35A0D" w:rsidRPr="0014170F">
        <w:rPr>
          <w:lang w:val="en-US"/>
        </w:rPr>
        <w:t>concerned a</w:t>
      </w:r>
      <w:r w:rsidRPr="0014170F">
        <w:rPr>
          <w:lang w:val="en-US"/>
        </w:rPr>
        <w:t xml:space="preserve"> set of</w:t>
      </w:r>
      <w:r w:rsidRPr="0014170F">
        <w:rPr>
          <w:rFonts w:cs="Arial"/>
          <w:color w:val="202122"/>
          <w:shd w:val="clear" w:color="auto" w:fill="FFFFFF"/>
          <w:lang w:val="en-US"/>
        </w:rPr>
        <w:t xml:space="preserve"> </w:t>
      </w:r>
      <w:r w:rsidRPr="0014170F">
        <w:rPr>
          <w:rFonts w:cs="Arial"/>
          <w:shd w:val="clear" w:color="auto" w:fill="FFFFFF"/>
          <w:lang w:val="en-US"/>
        </w:rPr>
        <w:t>consolidated </w:t>
      </w:r>
      <w:hyperlink r:id="rId7" w:tooltip="Appeal" w:history="1">
        <w:r w:rsidRPr="0014170F">
          <w:rPr>
            <w:rStyle w:val="-"/>
            <w:rFonts w:cs="Arial"/>
            <w:color w:val="auto"/>
            <w:u w:val="none"/>
            <w:shd w:val="clear" w:color="auto" w:fill="FFFFFF"/>
            <w:lang w:val="en-US"/>
          </w:rPr>
          <w:t>appeals</w:t>
        </w:r>
      </w:hyperlink>
      <w:r w:rsidRPr="0014170F">
        <w:rPr>
          <w:rFonts w:cs="Arial"/>
          <w:shd w:val="clear" w:color="auto" w:fill="FFFFFF"/>
          <w:lang w:val="en-US"/>
        </w:rPr>
        <w:t xml:space="preserve"> of </w:t>
      </w:r>
      <w:r w:rsidRPr="0014170F">
        <w:rPr>
          <w:rFonts w:cs="Arial"/>
          <w:color w:val="202122"/>
          <w:shd w:val="clear" w:color="auto" w:fill="FFFFFF"/>
          <w:lang w:val="en-US"/>
        </w:rPr>
        <w:t xml:space="preserve">two cases, originating in the same court and dealing with similar issues. </w:t>
      </w:r>
      <w:r w:rsidR="00A07ED3" w:rsidRPr="0014170F">
        <w:rPr>
          <w:rFonts w:cs="Arial"/>
          <w:color w:val="202122"/>
          <w:shd w:val="clear" w:color="auto" w:fill="FFFFFF"/>
          <w:lang w:val="en-US"/>
        </w:rPr>
        <w:t>The patents in question held to be invalid due to absence of operative mechanical distinctions in the first case and in the second case</w:t>
      </w:r>
      <w:r w:rsidR="00382C1C" w:rsidRPr="0014170F">
        <w:rPr>
          <w:rFonts w:cs="Arial"/>
          <w:color w:val="202122"/>
          <w:shd w:val="clear" w:color="auto" w:fill="FFFFFF"/>
          <w:lang w:val="en-US"/>
        </w:rPr>
        <w:t>s</w:t>
      </w:r>
      <w:r w:rsidR="00A07ED3" w:rsidRPr="0014170F">
        <w:rPr>
          <w:rFonts w:cs="Arial"/>
          <w:color w:val="202122"/>
          <w:shd w:val="clear" w:color="auto" w:fill="FFFFFF"/>
          <w:lang w:val="en-US"/>
        </w:rPr>
        <w:t xml:space="preserve"> because the invention was based on small, non-technical differences in a device that was otherwise old in the art.</w:t>
      </w:r>
    </w:p>
    <w:p w14:paraId="282E2658" w14:textId="77777777" w:rsidR="00C55159" w:rsidRPr="0014170F" w:rsidRDefault="00C55159" w:rsidP="0014170F">
      <w:pPr>
        <w:rPr>
          <w:lang w:val="en-US"/>
        </w:rPr>
      </w:pPr>
      <w:r w:rsidRPr="0014170F">
        <w:rPr>
          <w:rFonts w:cs="Arial"/>
          <w:shd w:val="clear" w:color="auto" w:fill="FFFFFF"/>
          <w:lang w:val="en-US"/>
        </w:rPr>
        <w:t xml:space="preserve">The </w:t>
      </w:r>
      <w:hyperlink r:id="rId8" w:tooltip="Supreme Court of the United States" w:history="1">
        <w:r w:rsidRPr="0014170F">
          <w:rPr>
            <w:rStyle w:val="-"/>
            <w:rFonts w:cs="Arial"/>
            <w:color w:val="auto"/>
            <w:u w:val="none"/>
            <w:shd w:val="clear" w:color="auto" w:fill="FFFFFF"/>
            <w:lang w:val="en-US"/>
          </w:rPr>
          <w:t>United States Supreme Court</w:t>
        </w:r>
      </w:hyperlink>
      <w:r w:rsidRPr="0014170F">
        <w:rPr>
          <w:rFonts w:cs="Arial"/>
          <w:shd w:val="clear" w:color="auto" w:fill="FFFFFF"/>
          <w:lang w:val="en-US"/>
        </w:rPr>
        <w:t> clarified</w:t>
      </w:r>
      <w:r w:rsidR="00547976" w:rsidRPr="0014170F">
        <w:rPr>
          <w:rFonts w:cs="Arial"/>
          <w:shd w:val="clear" w:color="auto" w:fill="FFFFFF"/>
          <w:lang w:val="en-US"/>
        </w:rPr>
        <w:t xml:space="preserve"> that</w:t>
      </w:r>
      <w:r w:rsidRPr="0014170F">
        <w:rPr>
          <w:rFonts w:cs="Arial"/>
          <w:shd w:val="clear" w:color="auto" w:fill="FFFFFF"/>
          <w:lang w:val="en-US"/>
        </w:rPr>
        <w:t xml:space="preserve"> the </w:t>
      </w:r>
      <w:hyperlink r:id="rId9" w:history="1">
        <w:r w:rsidRPr="0014170F">
          <w:rPr>
            <w:rStyle w:val="-"/>
            <w:rFonts w:cs="Arial"/>
            <w:color w:val="auto"/>
            <w:u w:val="none"/>
            <w:shd w:val="clear" w:color="auto" w:fill="FFFFFF"/>
            <w:lang w:val="en-US"/>
          </w:rPr>
          <w:t>non-obviousness requiremen</w:t>
        </w:r>
      </w:hyperlink>
      <w:r w:rsidRPr="0014170F">
        <w:rPr>
          <w:lang w:val="en-US"/>
        </w:rPr>
        <w:t>t</w:t>
      </w:r>
      <w:r w:rsidR="00547976" w:rsidRPr="0014170F">
        <w:rPr>
          <w:lang w:val="en-US"/>
        </w:rPr>
        <w:t xml:space="preserve"> is a question of law but it </w:t>
      </w:r>
      <w:r w:rsidR="00547976" w:rsidRPr="0014170F">
        <w:rPr>
          <w:rFonts w:cs="Arial"/>
          <w:shd w:val="clear" w:color="auto" w:fill="FFFFFF"/>
          <w:lang w:val="en-US"/>
        </w:rPr>
        <w:t>required a determination of the following </w:t>
      </w:r>
      <w:hyperlink r:id="rId10" w:tooltip="Questions of fact" w:history="1">
        <w:r w:rsidR="00547976" w:rsidRPr="0014170F">
          <w:rPr>
            <w:rStyle w:val="-"/>
            <w:rFonts w:cs="Arial"/>
            <w:color w:val="auto"/>
            <w:u w:val="none"/>
            <w:shd w:val="clear" w:color="auto" w:fill="FFFFFF"/>
            <w:lang w:val="en-US"/>
          </w:rPr>
          <w:t>questions of fact</w:t>
        </w:r>
      </w:hyperlink>
      <w:r w:rsidR="00547976" w:rsidRPr="0014170F">
        <w:rPr>
          <w:rFonts w:cs="Arial"/>
          <w:shd w:val="clear" w:color="auto" w:fill="FFFFFF"/>
          <w:lang w:val="en-US"/>
        </w:rPr>
        <w:t> to resolve the issue of obviousness:</w:t>
      </w:r>
    </w:p>
    <w:p w14:paraId="0D81BE09" w14:textId="77777777" w:rsidR="001B45F8" w:rsidRPr="0014170F" w:rsidRDefault="001B45F8" w:rsidP="0014170F">
      <w:pPr>
        <w:pStyle w:val="a3"/>
        <w:numPr>
          <w:ilvl w:val="0"/>
          <w:numId w:val="1"/>
        </w:numPr>
        <w:rPr>
          <w:lang w:val="en-US"/>
        </w:rPr>
      </w:pPr>
      <w:r w:rsidRPr="0014170F">
        <w:rPr>
          <w:lang w:val="en-US"/>
        </w:rPr>
        <w:t xml:space="preserve">scope and content of the prior art, </w:t>
      </w:r>
    </w:p>
    <w:p w14:paraId="45641E5C" w14:textId="77777777" w:rsidR="001B45F8" w:rsidRPr="0014170F" w:rsidRDefault="001B45F8" w:rsidP="0014170F">
      <w:pPr>
        <w:pStyle w:val="a3"/>
        <w:numPr>
          <w:ilvl w:val="0"/>
          <w:numId w:val="1"/>
        </w:numPr>
        <w:rPr>
          <w:lang w:val="en-US"/>
        </w:rPr>
      </w:pPr>
      <w:r w:rsidRPr="0014170F">
        <w:rPr>
          <w:lang w:val="en-US"/>
        </w:rPr>
        <w:t>the differences between the prior art and the claims at issue, and</w:t>
      </w:r>
    </w:p>
    <w:p w14:paraId="2CED8704" w14:textId="77777777" w:rsidR="006164AE" w:rsidRPr="0014170F" w:rsidRDefault="001B45F8" w:rsidP="0014170F">
      <w:pPr>
        <w:pStyle w:val="a3"/>
        <w:numPr>
          <w:ilvl w:val="0"/>
          <w:numId w:val="1"/>
        </w:numPr>
        <w:rPr>
          <w:lang w:val="en-US"/>
        </w:rPr>
      </w:pPr>
      <w:r w:rsidRPr="0014170F">
        <w:rPr>
          <w:lang w:val="en-US"/>
        </w:rPr>
        <w:t>the level of ordinary skill in the applicable art to determine the non-obviousness of a claimed invention as to prior art</w:t>
      </w:r>
      <w:r w:rsidR="00640493" w:rsidRPr="0014170F">
        <w:rPr>
          <w:lang w:val="en-US"/>
        </w:rPr>
        <w:t>.</w:t>
      </w:r>
    </w:p>
    <w:p w14:paraId="2F6164E5" w14:textId="77777777" w:rsidR="00547976" w:rsidRPr="00547976" w:rsidRDefault="006164AE" w:rsidP="0014170F">
      <w:pPr>
        <w:ind w:firstLine="408"/>
        <w:rPr>
          <w:lang w:val="en-US"/>
        </w:rPr>
      </w:pPr>
      <w:r w:rsidRPr="0014170F">
        <w:rPr>
          <w:rFonts w:eastAsia="Times New Roman" w:cs="Arial"/>
          <w:color w:val="202122"/>
          <w:lang w:val="en-US" w:bidi="ar-SA"/>
        </w:rPr>
        <w:t>T</w:t>
      </w:r>
      <w:r w:rsidR="00547976" w:rsidRPr="0014170F">
        <w:rPr>
          <w:rFonts w:eastAsia="Times New Roman" w:cs="Arial"/>
          <w:color w:val="202122"/>
          <w:lang w:val="en-US" w:bidi="ar-SA"/>
        </w:rPr>
        <w:t xml:space="preserve">he Court </w:t>
      </w:r>
      <w:r w:rsidRPr="0014170F">
        <w:rPr>
          <w:rFonts w:eastAsia="Times New Roman" w:cs="Arial"/>
          <w:color w:val="202122"/>
          <w:lang w:val="en-US" w:bidi="ar-SA"/>
        </w:rPr>
        <w:t xml:space="preserve">also </w:t>
      </w:r>
      <w:r w:rsidR="00547976" w:rsidRPr="0014170F">
        <w:rPr>
          <w:rFonts w:eastAsia="Times New Roman" w:cs="Arial"/>
          <w:color w:val="202122"/>
          <w:lang w:val="en-US" w:bidi="ar-SA"/>
        </w:rPr>
        <w:t>mentioned "secondary considerations"</w:t>
      </w:r>
      <w:r w:rsidRPr="0014170F">
        <w:rPr>
          <w:rFonts w:eastAsia="Times New Roman" w:cs="Arial"/>
          <w:color w:val="202122"/>
          <w:lang w:val="en-US" w:bidi="ar-SA"/>
        </w:rPr>
        <w:t>,</w:t>
      </w:r>
      <w:r w:rsidR="00547976" w:rsidRPr="0014170F">
        <w:rPr>
          <w:rFonts w:eastAsia="Times New Roman" w:cs="Arial"/>
          <w:color w:val="202122"/>
          <w:lang w:val="en-US" w:bidi="ar-SA"/>
        </w:rPr>
        <w:t xml:space="preserve"> which could serve as evidence of non</w:t>
      </w:r>
      <w:r w:rsidR="00BD2115" w:rsidRPr="0014170F">
        <w:rPr>
          <w:rFonts w:eastAsia="Times New Roman" w:cs="Arial"/>
          <w:color w:val="202122"/>
          <w:lang w:val="en-US" w:bidi="ar-SA"/>
        </w:rPr>
        <w:t>-</w:t>
      </w:r>
      <w:r w:rsidRPr="0014170F">
        <w:rPr>
          <w:rFonts w:eastAsia="Times New Roman" w:cs="Arial"/>
          <w:color w:val="202122"/>
          <w:lang w:val="en-US" w:bidi="ar-SA"/>
        </w:rPr>
        <w:t xml:space="preserve">obviousness - </w:t>
      </w:r>
      <w:r w:rsidR="00547976" w:rsidRPr="0014170F">
        <w:rPr>
          <w:rFonts w:eastAsia="Times New Roman" w:cs="Arial"/>
          <w:color w:val="202122"/>
          <w:lang w:val="en-US" w:bidi="ar-SA"/>
        </w:rPr>
        <w:t>known as "Graham's factors":</w:t>
      </w:r>
      <w:r w:rsidRPr="0014170F">
        <w:rPr>
          <w:rFonts w:eastAsia="Times New Roman" w:cs="Arial"/>
          <w:color w:val="202122"/>
          <w:lang w:val="en-US" w:bidi="ar-SA"/>
        </w:rPr>
        <w:t xml:space="preserve"> 1.</w:t>
      </w:r>
      <w:r w:rsidR="00547976" w:rsidRPr="00547976">
        <w:rPr>
          <w:rFonts w:eastAsia="Times New Roman" w:cs="Arial"/>
          <w:color w:val="202122"/>
          <w:lang w:val="en-US" w:bidi="ar-SA"/>
        </w:rPr>
        <w:t>Commercial success</w:t>
      </w:r>
      <w:r w:rsidRPr="0014170F">
        <w:rPr>
          <w:lang w:val="en-US"/>
        </w:rPr>
        <w:t xml:space="preserve">, 2. </w:t>
      </w:r>
      <w:r w:rsidR="00547976" w:rsidRPr="00547976">
        <w:rPr>
          <w:rFonts w:eastAsia="Times New Roman" w:cs="Arial"/>
          <w:color w:val="202122"/>
          <w:lang w:val="en-US" w:bidi="ar-SA"/>
        </w:rPr>
        <w:t>Long felt but unsolved needs</w:t>
      </w:r>
      <w:r w:rsidRPr="0014170F">
        <w:rPr>
          <w:rFonts w:eastAsia="Times New Roman" w:cs="Arial"/>
          <w:color w:val="202122"/>
          <w:lang w:val="en-US" w:bidi="ar-SA"/>
        </w:rPr>
        <w:t>, 3.</w:t>
      </w:r>
      <w:r w:rsidRPr="0014170F">
        <w:rPr>
          <w:lang w:val="en-US"/>
        </w:rPr>
        <w:t xml:space="preserve"> </w:t>
      </w:r>
      <w:r w:rsidR="00547976" w:rsidRPr="00547976">
        <w:rPr>
          <w:rFonts w:eastAsia="Times New Roman" w:cs="Arial"/>
          <w:color w:val="202122"/>
          <w:lang w:val="en-US" w:bidi="ar-SA"/>
        </w:rPr>
        <w:t>Failure of others</w:t>
      </w:r>
      <w:r w:rsidRPr="0014170F">
        <w:rPr>
          <w:rFonts w:eastAsia="Times New Roman" w:cs="Arial"/>
          <w:color w:val="202122"/>
          <w:lang w:val="en-US" w:bidi="ar-SA"/>
        </w:rPr>
        <w:t>, 4.</w:t>
      </w:r>
      <w:r w:rsidRPr="0014170F">
        <w:rPr>
          <w:lang w:val="en-US"/>
        </w:rPr>
        <w:t xml:space="preserve"> </w:t>
      </w:r>
      <w:r w:rsidR="00547976" w:rsidRPr="00547976">
        <w:rPr>
          <w:rFonts w:eastAsia="Times New Roman" w:cs="Arial"/>
          <w:color w:val="202122"/>
          <w:lang w:val="en-US" w:bidi="ar-SA"/>
        </w:rPr>
        <w:t>Unexpected results</w:t>
      </w:r>
      <w:r w:rsidR="00F006A5" w:rsidRPr="0014170F">
        <w:rPr>
          <w:rFonts w:eastAsia="Times New Roman" w:cs="Arial"/>
          <w:color w:val="202122"/>
          <w:lang w:val="en-US" w:bidi="ar-SA"/>
        </w:rPr>
        <w:t>.</w:t>
      </w:r>
    </w:p>
    <w:p w14:paraId="466860C2" w14:textId="77777777" w:rsidR="00547976" w:rsidRPr="0014170F" w:rsidRDefault="00547976" w:rsidP="0014170F">
      <w:pPr>
        <w:shd w:val="clear" w:color="auto" w:fill="FFFFFF"/>
        <w:ind w:firstLine="403"/>
        <w:rPr>
          <w:rFonts w:eastAsia="Times New Roman" w:cs="Arial"/>
          <w:color w:val="202122"/>
          <w:lang w:val="en-US" w:bidi="ar-SA"/>
        </w:rPr>
      </w:pPr>
      <w:r w:rsidRPr="00547976">
        <w:rPr>
          <w:rFonts w:eastAsia="Times New Roman" w:cs="Arial"/>
          <w:color w:val="202122"/>
          <w:lang w:val="en-US" w:bidi="ar-SA"/>
        </w:rPr>
        <w:t>The Co</w:t>
      </w:r>
      <w:r w:rsidR="006164AE" w:rsidRPr="0014170F">
        <w:rPr>
          <w:rFonts w:eastAsia="Times New Roman" w:cs="Arial"/>
          <w:color w:val="202122"/>
          <w:lang w:val="en-US" w:bidi="ar-SA"/>
        </w:rPr>
        <w:t>urt stated that these factors</w:t>
      </w:r>
      <w:r w:rsidRPr="00547976">
        <w:rPr>
          <w:rFonts w:eastAsia="Times New Roman" w:cs="Arial"/>
          <w:color w:val="202122"/>
          <w:lang w:val="en-US" w:bidi="ar-SA"/>
        </w:rPr>
        <w:t xml:space="preserve"> "guard against slipping into use of hindsight" when making a determination of obviousness</w:t>
      </w:r>
      <w:r w:rsidR="00BD2115" w:rsidRPr="0014170F">
        <w:rPr>
          <w:rFonts w:eastAsia="Times New Roman" w:cs="Arial"/>
          <w:color w:val="202122"/>
          <w:lang w:val="en-US" w:bidi="ar-SA"/>
        </w:rPr>
        <w:t>; so, they may be utilized to give light to the conditions surrounding the origin of the subject matter to be patented.</w:t>
      </w:r>
    </w:p>
    <w:p w14:paraId="2D54DBD4" w14:textId="77777777" w:rsidR="00EC46B6" w:rsidRDefault="00BD2115" w:rsidP="0014170F">
      <w:pPr>
        <w:shd w:val="clear" w:color="auto" w:fill="FFFFFF"/>
        <w:ind w:firstLine="403"/>
        <w:rPr>
          <w:rFonts w:cs="Arial"/>
          <w:shd w:val="clear" w:color="auto" w:fill="FFFFFF"/>
          <w:lang w:val="en-US"/>
        </w:rPr>
      </w:pPr>
      <w:r w:rsidRPr="0014170F">
        <w:rPr>
          <w:rFonts w:cs="Arial"/>
          <w:shd w:val="clear" w:color="auto" w:fill="FFFFFF"/>
          <w:lang w:val="en-US"/>
        </w:rPr>
        <w:t>The "non-obviousness criteria"</w:t>
      </w:r>
      <w:r w:rsidR="00EC46B6">
        <w:rPr>
          <w:rFonts w:cs="Arial"/>
          <w:shd w:val="clear" w:color="auto" w:fill="FFFFFF"/>
          <w:lang w:val="en-US"/>
        </w:rPr>
        <w:t>,</w:t>
      </w:r>
      <w:r w:rsidRPr="0014170F">
        <w:rPr>
          <w:rFonts w:cs="Arial"/>
          <w:shd w:val="clear" w:color="auto" w:fill="FFFFFF"/>
          <w:lang w:val="en-US"/>
        </w:rPr>
        <w:t xml:space="preserve"> laid out in Graham, were complimented in 2007 by "obviousness criteria" in anoth</w:t>
      </w:r>
      <w:r w:rsidR="00EC46B6">
        <w:rPr>
          <w:rFonts w:cs="Arial"/>
          <w:shd w:val="clear" w:color="auto" w:fill="FFFFFF"/>
          <w:lang w:val="en-US"/>
        </w:rPr>
        <w:t>er</w:t>
      </w:r>
      <w:r w:rsidRPr="0014170F">
        <w:rPr>
          <w:rFonts w:cs="Arial"/>
          <w:shd w:val="clear" w:color="auto" w:fill="FFFFFF"/>
          <w:lang w:val="en-US"/>
        </w:rPr>
        <w:t xml:space="preserve"> US Supreme Court case </w:t>
      </w:r>
    </w:p>
    <w:p w14:paraId="2B821654" w14:textId="77777777" w:rsidR="00BD2115" w:rsidRPr="0014170F" w:rsidRDefault="00BD2115" w:rsidP="00EC46B6">
      <w:pPr>
        <w:shd w:val="clear" w:color="auto" w:fill="FFFFFF"/>
        <w:ind w:firstLine="0"/>
        <w:rPr>
          <w:rFonts w:cs="Arial"/>
          <w:shd w:val="clear" w:color="auto" w:fill="FFFFFF"/>
          <w:lang w:val="en-US"/>
        </w:rPr>
      </w:pPr>
      <w:r w:rsidRPr="0014170F">
        <w:rPr>
          <w:rFonts w:cs="Arial"/>
          <w:shd w:val="clear" w:color="auto" w:fill="FFFFFF"/>
          <w:lang w:val="en-US"/>
        </w:rPr>
        <w:t>(see </w:t>
      </w:r>
      <w:hyperlink r:id="rId11" w:tooltip="KSR v. Teleflex" w:history="1">
        <w:r w:rsidRPr="0014170F">
          <w:rPr>
            <w:rStyle w:val="-"/>
            <w:rFonts w:cs="Arial"/>
            <w:i/>
            <w:iCs/>
            <w:color w:val="auto"/>
            <w:shd w:val="clear" w:color="auto" w:fill="FFFFFF"/>
            <w:lang w:val="en-US"/>
          </w:rPr>
          <w:t>KSR v. Teleflex</w:t>
        </w:r>
      </w:hyperlink>
      <w:r w:rsidRPr="0014170F">
        <w:rPr>
          <w:rFonts w:cs="Arial"/>
          <w:shd w:val="clear" w:color="auto" w:fill="FFFFFF"/>
          <w:lang w:val="en-US"/>
        </w:rPr>
        <w:t>).</w:t>
      </w:r>
    </w:p>
    <w:p w14:paraId="389F64D7" w14:textId="77777777" w:rsidR="00C01C83" w:rsidRPr="0014170F" w:rsidRDefault="00C01C83" w:rsidP="0014170F">
      <w:pPr>
        <w:pStyle w:val="Web"/>
        <w:shd w:val="clear" w:color="auto" w:fill="FFFFFF"/>
        <w:spacing w:before="0" w:beforeAutospacing="0" w:after="0" w:afterAutospacing="0" w:line="360" w:lineRule="auto"/>
        <w:rPr>
          <w:rStyle w:val="a4"/>
          <w:rFonts w:ascii="Bookman Old Style" w:hAnsi="Bookman Old Style"/>
          <w:color w:val="141412"/>
        </w:rPr>
      </w:pPr>
    </w:p>
    <w:p w14:paraId="55EC5B27" w14:textId="77777777" w:rsidR="00C01C83" w:rsidRPr="0014170F" w:rsidRDefault="00C01C83" w:rsidP="0014170F">
      <w:pPr>
        <w:pStyle w:val="Web"/>
        <w:shd w:val="clear" w:color="auto" w:fill="FFFFFF"/>
        <w:spacing w:before="0" w:beforeAutospacing="0" w:after="0" w:afterAutospacing="0" w:line="360" w:lineRule="auto"/>
        <w:rPr>
          <w:rStyle w:val="a4"/>
          <w:rFonts w:ascii="Bookman Old Style" w:hAnsi="Bookman Old Style"/>
          <w:color w:val="141412"/>
        </w:rPr>
      </w:pPr>
    </w:p>
    <w:p w14:paraId="6771D935" w14:textId="77777777" w:rsidR="00C01C83" w:rsidRPr="0014170F" w:rsidRDefault="00C01C83" w:rsidP="0014170F">
      <w:pPr>
        <w:pStyle w:val="Web"/>
        <w:shd w:val="clear" w:color="auto" w:fill="FFFFFF"/>
        <w:spacing w:before="0" w:beforeAutospacing="0" w:after="0" w:afterAutospacing="0" w:line="360" w:lineRule="auto"/>
        <w:rPr>
          <w:rStyle w:val="a4"/>
          <w:rFonts w:ascii="Bookman Old Style" w:hAnsi="Bookman Old Style"/>
          <w:color w:val="141412"/>
        </w:rPr>
      </w:pPr>
    </w:p>
    <w:p w14:paraId="15A6B1A1" w14:textId="77777777" w:rsidR="002446E1" w:rsidRDefault="002446E1" w:rsidP="0014170F">
      <w:pPr>
        <w:pStyle w:val="Web"/>
        <w:shd w:val="clear" w:color="auto" w:fill="FFFFFF"/>
        <w:spacing w:before="0" w:beforeAutospacing="0" w:after="0" w:afterAutospacing="0" w:line="360" w:lineRule="auto"/>
        <w:ind w:firstLine="403"/>
        <w:rPr>
          <w:rStyle w:val="a4"/>
          <w:rFonts w:ascii="Bookman Old Style" w:hAnsi="Bookman Old Style"/>
          <w:color w:val="141412"/>
          <w:u w:val="single"/>
        </w:rPr>
      </w:pPr>
    </w:p>
    <w:p w14:paraId="36F92C21" w14:textId="77777777" w:rsidR="002446E1" w:rsidRDefault="002446E1" w:rsidP="0014170F">
      <w:pPr>
        <w:pStyle w:val="Web"/>
        <w:shd w:val="clear" w:color="auto" w:fill="FFFFFF"/>
        <w:spacing w:before="0" w:beforeAutospacing="0" w:after="0" w:afterAutospacing="0" w:line="360" w:lineRule="auto"/>
        <w:ind w:firstLine="403"/>
        <w:rPr>
          <w:rStyle w:val="a4"/>
          <w:rFonts w:ascii="Bookman Old Style" w:hAnsi="Bookman Old Style"/>
          <w:color w:val="141412"/>
          <w:u w:val="single"/>
        </w:rPr>
      </w:pPr>
    </w:p>
    <w:p w14:paraId="101EC223" w14:textId="77777777" w:rsidR="00E57306" w:rsidRPr="0014170F" w:rsidRDefault="00C01C83" w:rsidP="0014170F">
      <w:pPr>
        <w:pStyle w:val="Web"/>
        <w:shd w:val="clear" w:color="auto" w:fill="FFFFFF"/>
        <w:spacing w:before="0" w:beforeAutospacing="0" w:after="0" w:afterAutospacing="0" w:line="360" w:lineRule="auto"/>
        <w:ind w:firstLine="403"/>
        <w:rPr>
          <w:rFonts w:ascii="Bookman Old Style" w:hAnsi="Bookman Old Style"/>
          <w:color w:val="141412"/>
        </w:rPr>
      </w:pPr>
      <w:r w:rsidRPr="0014170F">
        <w:rPr>
          <w:rStyle w:val="a4"/>
          <w:rFonts w:ascii="Bookman Old Style" w:hAnsi="Bookman Old Style"/>
          <w:color w:val="141412"/>
          <w:u w:val="single"/>
        </w:rPr>
        <w:lastRenderedPageBreak/>
        <w:t>Iron Grip Barbell v. USA Sports</w:t>
      </w:r>
      <w:r w:rsidRPr="0014170F">
        <w:rPr>
          <w:rStyle w:val="a4"/>
          <w:rFonts w:ascii="Bookman Old Style" w:hAnsi="Bookman Old Style"/>
          <w:color w:val="141412"/>
        </w:rPr>
        <w:t> </w:t>
      </w:r>
      <w:r w:rsidRPr="0014170F">
        <w:rPr>
          <w:rFonts w:ascii="Bookman Old Style" w:hAnsi="Bookman Old Style"/>
          <w:color w:val="141412"/>
        </w:rPr>
        <w:t>(Fed. Cir. 2004)</w:t>
      </w:r>
    </w:p>
    <w:p w14:paraId="070A6B85" w14:textId="77777777" w:rsidR="00C01C83" w:rsidRPr="0014170F" w:rsidRDefault="00C01C83" w:rsidP="0014170F">
      <w:pPr>
        <w:shd w:val="clear" w:color="auto" w:fill="FFFFFF"/>
        <w:ind w:firstLine="403"/>
        <w:rPr>
          <w:lang w:val="en-US"/>
        </w:rPr>
      </w:pPr>
      <w:r w:rsidRPr="0014170F">
        <w:rPr>
          <w:lang w:val="en-US"/>
        </w:rPr>
        <w:t>Iron Grip owned</w:t>
      </w:r>
      <w:r w:rsidR="00E57306" w:rsidRPr="0014170F">
        <w:rPr>
          <w:lang w:val="en-US"/>
        </w:rPr>
        <w:t xml:space="preserve"> U.S. Pat</w:t>
      </w:r>
      <w:r w:rsidRPr="0014170F">
        <w:rPr>
          <w:lang w:val="en-US"/>
        </w:rPr>
        <w:t>ent</w:t>
      </w:r>
      <w:r w:rsidR="00E57306" w:rsidRPr="0014170F">
        <w:rPr>
          <w:lang w:val="en-US"/>
        </w:rPr>
        <w:t>. No. 6,43</w:t>
      </w:r>
      <w:r w:rsidRPr="0014170F">
        <w:rPr>
          <w:lang w:val="en-US"/>
        </w:rPr>
        <w:t>6,015, which disclosed</w:t>
      </w:r>
      <w:r w:rsidR="00E57306" w:rsidRPr="0014170F">
        <w:rPr>
          <w:lang w:val="en-US"/>
        </w:rPr>
        <w:t xml:space="preserve"> a weight plate with three elongated openings near the periphery of the plate that function effectively as handles. </w:t>
      </w:r>
    </w:p>
    <w:p w14:paraId="35CB86A3" w14:textId="77777777" w:rsidR="00C01C83" w:rsidRPr="0014170F" w:rsidRDefault="00C01C83" w:rsidP="0014170F">
      <w:pPr>
        <w:shd w:val="clear" w:color="auto" w:fill="FFFFFF"/>
        <w:ind w:firstLine="403"/>
        <w:rPr>
          <w:lang w:val="en-US"/>
        </w:rPr>
      </w:pPr>
      <w:r w:rsidRPr="0014170F">
        <w:rPr>
          <w:lang w:val="en-US"/>
        </w:rPr>
        <w:t xml:space="preserve">USA Sports also made </w:t>
      </w:r>
      <w:r w:rsidR="00E57306" w:rsidRPr="0014170F">
        <w:rPr>
          <w:lang w:val="en-US"/>
        </w:rPr>
        <w:t xml:space="preserve">a three-grip plate. </w:t>
      </w:r>
    </w:p>
    <w:p w14:paraId="5BF8F354" w14:textId="77777777" w:rsidR="00C01C83" w:rsidRPr="0014170F" w:rsidRDefault="00C01C83" w:rsidP="0014170F">
      <w:pPr>
        <w:shd w:val="clear" w:color="auto" w:fill="FFFFFF"/>
        <w:ind w:firstLine="403"/>
        <w:rPr>
          <w:lang w:val="en-US"/>
        </w:rPr>
      </w:pPr>
      <w:r w:rsidRPr="0014170F">
        <w:rPr>
          <w:lang w:val="en-US"/>
        </w:rPr>
        <w:t>The court affirmed the district court’s determination that certain claims in Iron Grip’s patent for barbell plat</w:t>
      </w:r>
      <w:r w:rsidR="000062CA" w:rsidRPr="0014170F">
        <w:rPr>
          <w:lang w:val="en-US"/>
        </w:rPr>
        <w:t>es with three built-in handles we</w:t>
      </w:r>
      <w:r w:rsidRPr="0014170F">
        <w:rPr>
          <w:lang w:val="en-US"/>
        </w:rPr>
        <w:t>re obvious. However, the court corrected the district court’s “overall picture” and “common sense” approach as inappropriately subject to hindsight. Various prior art showed plates with one, two and four handles. The three-grip plate fell within a range disclosed by the prior art, which raised a presumption of obviousness that was not overcome.</w:t>
      </w:r>
    </w:p>
    <w:p w14:paraId="789BCEBB" w14:textId="77777777" w:rsidR="009D6B77" w:rsidRPr="0014170F" w:rsidRDefault="009D6B77" w:rsidP="0014170F">
      <w:pPr>
        <w:shd w:val="clear" w:color="auto" w:fill="FFFFFF"/>
        <w:ind w:firstLine="403"/>
        <w:rPr>
          <w:lang w:val="en-US"/>
        </w:rPr>
      </w:pPr>
    </w:p>
    <w:p w14:paraId="0C56C762" w14:textId="77777777" w:rsidR="009D6B77" w:rsidRPr="0014170F" w:rsidRDefault="009D6B77" w:rsidP="0014170F">
      <w:pPr>
        <w:shd w:val="clear" w:color="auto" w:fill="FFFFFF"/>
        <w:ind w:firstLine="403"/>
        <w:outlineLvl w:val="3"/>
        <w:rPr>
          <w:rFonts w:eastAsia="Times New Roman" w:cs="Times New Roman"/>
          <w:lang w:val="en-US" w:bidi="ar-SA"/>
        </w:rPr>
      </w:pPr>
      <w:r w:rsidRPr="0014170F">
        <w:rPr>
          <w:rFonts w:eastAsia="Times New Roman" w:cs="Times New Roman"/>
          <w:i/>
          <w:u w:val="single"/>
          <w:lang w:val="en-US" w:bidi="ar-SA"/>
        </w:rPr>
        <w:t xml:space="preserve">DAIICHI SANKYO CO., LTD. </w:t>
      </w:r>
      <w:r w:rsidRPr="009D6B77">
        <w:rPr>
          <w:rFonts w:eastAsia="Times New Roman" w:cs="Times New Roman"/>
          <w:i/>
          <w:u w:val="single"/>
          <w:lang w:val="en-US" w:bidi="ar-SA"/>
        </w:rPr>
        <w:t>and Daiichi Sankyo, Inc.</w:t>
      </w:r>
      <w:r w:rsidRPr="009D6B77">
        <w:rPr>
          <w:rFonts w:eastAsia="Times New Roman" w:cs="Times New Roman"/>
          <w:u w:val="single"/>
          <w:lang w:val="en-US" w:bidi="ar-SA"/>
        </w:rPr>
        <w:t xml:space="preserve"> </w:t>
      </w:r>
      <w:r w:rsidRPr="009D6B77">
        <w:rPr>
          <w:rFonts w:eastAsia="Times New Roman" w:cs="Times New Roman"/>
          <w:i/>
          <w:u w:val="single"/>
          <w:lang w:val="en-US" w:bidi="ar-SA"/>
        </w:rPr>
        <w:t>v</w:t>
      </w:r>
      <w:r w:rsidRPr="0014170F">
        <w:rPr>
          <w:rFonts w:eastAsia="Times New Roman" w:cs="Times New Roman"/>
          <w:i/>
          <w:u w:val="single"/>
          <w:lang w:val="en-US" w:bidi="ar-SA"/>
        </w:rPr>
        <w:t>s</w:t>
      </w:r>
      <w:r w:rsidRPr="009D6B77">
        <w:rPr>
          <w:rFonts w:eastAsia="Times New Roman" w:cs="Times New Roman"/>
          <w:i/>
          <w:u w:val="single"/>
          <w:lang w:val="en-US" w:bidi="ar-SA"/>
        </w:rPr>
        <w:t>. APOTEX, INC. and Apot</w:t>
      </w:r>
      <w:r w:rsidRPr="0014170F">
        <w:rPr>
          <w:rFonts w:eastAsia="Times New Roman" w:cs="Times New Roman"/>
          <w:i/>
          <w:u w:val="single"/>
          <w:lang w:val="en-US" w:bidi="ar-SA"/>
        </w:rPr>
        <w:t>ex Corp.</w:t>
      </w:r>
      <w:r w:rsidRPr="0014170F">
        <w:rPr>
          <w:rFonts w:eastAsia="Times New Roman" w:cs="Times New Roman"/>
          <w:lang w:val="en-US" w:bidi="ar-SA"/>
        </w:rPr>
        <w:t xml:space="preserve">, </w:t>
      </w:r>
      <w:r w:rsidRPr="009D6B77">
        <w:rPr>
          <w:rFonts w:eastAsia="Times New Roman" w:cs="Times New Roman"/>
          <w:lang w:val="en-US" w:bidi="ar-SA"/>
        </w:rPr>
        <w:t>No.</w:t>
      </w:r>
      <w:r w:rsidRPr="009D6B77">
        <w:rPr>
          <w:rFonts w:eastAsia="Times New Roman" w:cs="Times New Roman"/>
          <w:lang w:val="en-US" w:bidi="ar-SA"/>
        </w:rPr>
        <w:t> </w:t>
      </w:r>
      <w:r w:rsidRPr="0014170F">
        <w:rPr>
          <w:rFonts w:eastAsia="Times New Roman" w:cs="Times New Roman"/>
          <w:lang w:val="en-US" w:bidi="ar-SA"/>
        </w:rPr>
        <w:t xml:space="preserve">2006-1564 (decided on </w:t>
      </w:r>
      <w:r w:rsidRPr="009D6B77">
        <w:rPr>
          <w:rFonts w:eastAsia="Times New Roman" w:cs="Times New Roman"/>
          <w:lang w:val="en-US" w:bidi="ar-SA"/>
        </w:rPr>
        <w:t>12</w:t>
      </w:r>
      <w:r w:rsidRPr="0014170F">
        <w:rPr>
          <w:rFonts w:eastAsia="Times New Roman" w:cs="Times New Roman"/>
          <w:lang w:val="en-US" w:bidi="ar-SA"/>
        </w:rPr>
        <w:t>-09-</w:t>
      </w:r>
      <w:r w:rsidRPr="009D6B77">
        <w:rPr>
          <w:rFonts w:eastAsia="Times New Roman" w:cs="Times New Roman"/>
          <w:lang w:val="en-US" w:bidi="ar-SA"/>
        </w:rPr>
        <w:t>2007</w:t>
      </w:r>
      <w:r w:rsidRPr="0014170F">
        <w:rPr>
          <w:rFonts w:eastAsia="Times New Roman" w:cs="Times New Roman"/>
          <w:lang w:val="en-US" w:bidi="ar-SA"/>
        </w:rPr>
        <w:t>)</w:t>
      </w:r>
    </w:p>
    <w:p w14:paraId="782BC05B" w14:textId="77777777" w:rsidR="009D6B77" w:rsidRPr="0014170F" w:rsidRDefault="009D6B77" w:rsidP="0014170F">
      <w:pPr>
        <w:shd w:val="clear" w:color="auto" w:fill="FFFFFF"/>
        <w:ind w:firstLine="403"/>
        <w:rPr>
          <w:shd w:val="clear" w:color="auto" w:fill="FFFFFF"/>
          <w:lang w:val="en-US"/>
        </w:rPr>
      </w:pPr>
      <w:r w:rsidRPr="0014170F">
        <w:rPr>
          <w:rFonts w:eastAsia="Times New Roman" w:cs="Times New Roman"/>
          <w:lang w:val="en-US" w:bidi="ar-SA"/>
        </w:rPr>
        <w:t>Daiichi Sankyo Co</w:t>
      </w:r>
      <w:r w:rsidR="005108FC" w:rsidRPr="0014170F">
        <w:rPr>
          <w:rFonts w:eastAsia="Times New Roman" w:cs="Times New Roman"/>
          <w:lang w:val="en-US" w:bidi="ar-SA"/>
        </w:rPr>
        <w:t>. wa</w:t>
      </w:r>
      <w:r w:rsidR="00C93D90" w:rsidRPr="0014170F">
        <w:rPr>
          <w:rFonts w:eastAsia="Times New Roman" w:cs="Times New Roman"/>
          <w:lang w:val="en-US" w:bidi="ar-SA"/>
        </w:rPr>
        <w:t xml:space="preserve">s the </w:t>
      </w:r>
      <w:r w:rsidRPr="0014170F">
        <w:rPr>
          <w:rFonts w:cs="Segoe UI"/>
          <w:color w:val="333333"/>
          <w:shd w:val="clear" w:color="auto" w:fill="FFFFFF"/>
          <w:lang w:val="en-US"/>
        </w:rPr>
        <w:t>owner of the '741 patent,</w:t>
      </w:r>
      <w:r w:rsidRPr="0014170F">
        <w:rPr>
          <w:shd w:val="clear" w:color="auto" w:fill="FFFFFF"/>
          <w:lang w:val="en-US"/>
        </w:rPr>
        <w:t xml:space="preserve"> relating to a method for treating bacterial ear infections by topically administering the antibiotic ofloxacin into the ear</w:t>
      </w:r>
      <w:r w:rsidR="00C93D90" w:rsidRPr="0014170F">
        <w:rPr>
          <w:shd w:val="clear" w:color="auto" w:fill="FFFFFF"/>
          <w:lang w:val="en-US"/>
        </w:rPr>
        <w:t>.</w:t>
      </w:r>
    </w:p>
    <w:p w14:paraId="417F6762" w14:textId="77777777" w:rsidR="00C93D90" w:rsidRPr="0014170F" w:rsidRDefault="00C93D90" w:rsidP="0014170F">
      <w:pPr>
        <w:shd w:val="clear" w:color="auto" w:fill="FFFFFF"/>
        <w:ind w:firstLine="403"/>
        <w:rPr>
          <w:rFonts w:eastAsia="Times New Roman" w:cs="Helvetica"/>
          <w:lang w:val="en-US"/>
        </w:rPr>
      </w:pPr>
      <w:r w:rsidRPr="0014170F">
        <w:rPr>
          <w:rFonts w:eastAsia="Times New Roman" w:cs="Helvetica"/>
          <w:lang w:val="en-US"/>
        </w:rPr>
        <w:t>Apotex filed an Abbreviated New Drug Application (“ANDA”) seeking approval to manufacture a generic ofloxacin ear drop</w:t>
      </w:r>
      <w:r w:rsidR="005108FC" w:rsidRPr="0014170F">
        <w:rPr>
          <w:rFonts w:eastAsia="Times New Roman" w:cs="Helvetica"/>
          <w:lang w:val="en-US"/>
        </w:rPr>
        <w:t>.</w:t>
      </w:r>
      <w:r w:rsidR="00F04F11" w:rsidRPr="0014170F">
        <w:rPr>
          <w:rFonts w:eastAsia="Times New Roman" w:cs="Helvetica"/>
          <w:lang w:val="en-US"/>
        </w:rPr>
        <w:t xml:space="preserve"> Following receipt of the ANDA, Daiichi sued Apotex for infringement.</w:t>
      </w:r>
    </w:p>
    <w:p w14:paraId="4FADEC0C" w14:textId="77777777" w:rsidR="000B72D1" w:rsidRPr="0014170F" w:rsidRDefault="005108FC" w:rsidP="0014170F">
      <w:pPr>
        <w:shd w:val="clear" w:color="auto" w:fill="FFFFFF"/>
        <w:ind w:firstLine="403"/>
        <w:rPr>
          <w:rFonts w:eastAsia="Times New Roman" w:cs="Helvetica"/>
          <w:lang w:val="en-US"/>
        </w:rPr>
      </w:pPr>
      <w:r w:rsidRPr="0014170F">
        <w:rPr>
          <w:rFonts w:eastAsia="Times New Roman" w:cs="Helvetica"/>
          <w:lang w:val="en-US"/>
        </w:rPr>
        <w:t xml:space="preserve">The </w:t>
      </w:r>
      <w:r w:rsidR="000B72D1" w:rsidRPr="0014170F">
        <w:rPr>
          <w:rFonts w:eastAsia="Times New Roman" w:cs="Helvetica"/>
          <w:lang w:val="en-US"/>
        </w:rPr>
        <w:t>Appeal C</w:t>
      </w:r>
      <w:r w:rsidRPr="0014170F">
        <w:rPr>
          <w:rFonts w:eastAsia="Times New Roman" w:cs="Helvetica"/>
          <w:lang w:val="en-US"/>
        </w:rPr>
        <w:t xml:space="preserve">ourt had to determine the level </w:t>
      </w:r>
      <w:r w:rsidR="006D2DDE" w:rsidRPr="0014170F">
        <w:rPr>
          <w:rFonts w:eastAsia="Times New Roman" w:cs="Helvetica"/>
          <w:lang w:val="en-US"/>
        </w:rPr>
        <w:t>of skill in</w:t>
      </w:r>
      <w:r w:rsidRPr="0014170F">
        <w:rPr>
          <w:rFonts w:eastAsia="Times New Roman" w:cs="Helvetica"/>
          <w:lang w:val="en-US"/>
        </w:rPr>
        <w:t xml:space="preserve"> the art, meaning</w:t>
      </w:r>
      <w:r w:rsidR="006D2DDE" w:rsidRPr="0014170F">
        <w:rPr>
          <w:rFonts w:eastAsia="Times New Roman" w:cs="Helvetica"/>
          <w:lang w:val="en-US"/>
        </w:rPr>
        <w:t xml:space="preserve"> which</w:t>
      </w:r>
      <w:r w:rsidR="00545935" w:rsidRPr="0014170F">
        <w:rPr>
          <w:rFonts w:eastAsia="Times New Roman" w:cs="Helvetica"/>
          <w:lang w:val="en-US"/>
        </w:rPr>
        <w:t xml:space="preserve"> </w:t>
      </w:r>
      <w:r w:rsidRPr="0014170F">
        <w:rPr>
          <w:rFonts w:eastAsia="Times New Roman" w:cs="Helvetica"/>
          <w:lang w:val="en-US"/>
        </w:rPr>
        <w:t>person</w:t>
      </w:r>
      <w:r w:rsidR="006D2DDE" w:rsidRPr="0014170F">
        <w:rPr>
          <w:rFonts w:eastAsia="Times New Roman" w:cs="Helvetica"/>
          <w:lang w:val="en-US"/>
        </w:rPr>
        <w:t xml:space="preserve"> has the</w:t>
      </w:r>
      <w:r w:rsidRPr="0014170F">
        <w:rPr>
          <w:rFonts w:eastAsia="Times New Roman" w:cs="Helvetica"/>
          <w:lang w:val="en-US"/>
        </w:rPr>
        <w:t xml:space="preserve"> ordinary skill</w:t>
      </w:r>
      <w:r w:rsidR="006D2DDE" w:rsidRPr="0014170F">
        <w:rPr>
          <w:rFonts w:eastAsia="Times New Roman" w:cs="Helvetica"/>
          <w:lang w:val="en-US"/>
        </w:rPr>
        <w:t>. It concluded that the level of ordinary skill in the art of the ’741 patent is that of a person engaged in developing pharmaceutical formulations and treatment methods for the ear or a specialist in ear treatments such as an otologist, otolaryngologist, or otorhinolaryngologist</w:t>
      </w:r>
      <w:r w:rsidR="000B72D1" w:rsidRPr="0014170F">
        <w:rPr>
          <w:rFonts w:eastAsia="Times New Roman" w:cs="Helvetica"/>
          <w:lang w:val="en-US"/>
        </w:rPr>
        <w:t>,</w:t>
      </w:r>
      <w:r w:rsidR="006D2DDE" w:rsidRPr="0014170F">
        <w:rPr>
          <w:rFonts w:eastAsia="Times New Roman" w:cs="Helvetica"/>
          <w:lang w:val="en-US"/>
        </w:rPr>
        <w:t xml:space="preserve"> who also has training in pharmaceutical formulations</w:t>
      </w:r>
      <w:r w:rsidR="006E50FA" w:rsidRPr="0014170F">
        <w:rPr>
          <w:rFonts w:eastAsia="Times New Roman" w:cs="Helvetica"/>
          <w:lang w:val="en-US"/>
        </w:rPr>
        <w:t xml:space="preserve">; </w:t>
      </w:r>
      <w:r w:rsidR="006D2DDE" w:rsidRPr="0014170F">
        <w:rPr>
          <w:rFonts w:eastAsia="Times New Roman" w:cs="Helvetica"/>
          <w:lang w:val="en-US"/>
        </w:rPr>
        <w:t xml:space="preserve">thus, </w:t>
      </w:r>
      <w:r w:rsidR="006E50FA" w:rsidRPr="0014170F">
        <w:rPr>
          <w:rFonts w:eastAsia="Times New Roman" w:cs="Helvetica"/>
          <w:lang w:val="en-US"/>
        </w:rPr>
        <w:t>a general medical practitioner would not suffice and the district court</w:t>
      </w:r>
      <w:r w:rsidR="006D2DDE" w:rsidRPr="0014170F">
        <w:rPr>
          <w:rFonts w:eastAsia="Times New Roman" w:cs="Helvetica"/>
          <w:lang w:val="en-US"/>
        </w:rPr>
        <w:t xml:space="preserve"> </w:t>
      </w:r>
      <w:r w:rsidR="006E50FA" w:rsidRPr="0014170F">
        <w:rPr>
          <w:rFonts w:eastAsia="Times New Roman" w:cs="Helvetica"/>
          <w:lang w:val="en-US"/>
        </w:rPr>
        <w:t xml:space="preserve">had </w:t>
      </w:r>
      <w:r w:rsidR="006D2DDE" w:rsidRPr="0014170F">
        <w:rPr>
          <w:rFonts w:eastAsia="Times New Roman" w:cs="Helvetica"/>
          <w:lang w:val="en-US"/>
        </w:rPr>
        <w:t xml:space="preserve">erred in finding otherwise. </w:t>
      </w:r>
    </w:p>
    <w:p w14:paraId="5E457335" w14:textId="77777777" w:rsidR="000758D0" w:rsidRDefault="006E50FA" w:rsidP="0039248F">
      <w:pPr>
        <w:shd w:val="clear" w:color="auto" w:fill="FFFFFF"/>
        <w:rPr>
          <w:rFonts w:eastAsia="Times New Roman" w:cs="Helvetica"/>
          <w:lang w:val="en-US"/>
        </w:rPr>
      </w:pPr>
      <w:r w:rsidRPr="0014170F">
        <w:rPr>
          <w:lang w:val="en-US"/>
        </w:rPr>
        <w:t xml:space="preserve">Concluding, due to the fact that </w:t>
      </w:r>
      <w:r w:rsidR="008F380F" w:rsidRPr="0014170F">
        <w:rPr>
          <w:lang w:val="en-US"/>
        </w:rPr>
        <w:t>the ’741 patent would h</w:t>
      </w:r>
      <w:r w:rsidR="0014170F">
        <w:rPr>
          <w:lang w:val="en-US"/>
        </w:rPr>
        <w:t xml:space="preserve">ave been obvious to one </w:t>
      </w:r>
      <w:r w:rsidRPr="0014170F">
        <w:rPr>
          <w:lang w:val="en-US"/>
        </w:rPr>
        <w:t xml:space="preserve">having </w:t>
      </w:r>
      <w:r w:rsidR="008F380F" w:rsidRPr="0014170F">
        <w:rPr>
          <w:lang w:val="en-US"/>
        </w:rPr>
        <w:t>ordinary skill in the art at the time of the invention, the judgment of the district court was reversed.</w:t>
      </w:r>
    </w:p>
    <w:p w14:paraId="296192D8" w14:textId="77777777" w:rsidR="00FE51CE" w:rsidRPr="000758D0" w:rsidRDefault="00FE51CE" w:rsidP="000758D0">
      <w:pPr>
        <w:shd w:val="clear" w:color="auto" w:fill="FFFFFF"/>
        <w:ind w:left="360" w:firstLine="360"/>
        <w:rPr>
          <w:rFonts w:eastAsia="Times New Roman" w:cs="Helvetica"/>
          <w:lang w:val="en-US"/>
        </w:rPr>
      </w:pPr>
      <w:r w:rsidRPr="00FE51CE">
        <w:rPr>
          <w:rFonts w:eastAsia="Times New Roman" w:cs="Helvetica"/>
          <w:i/>
          <w:kern w:val="36"/>
          <w:u w:val="single"/>
          <w:lang w:val="en-US" w:bidi="ar-SA"/>
        </w:rPr>
        <w:lastRenderedPageBreak/>
        <w:t>KSR Int'l Co. v. Teleflex Inc.</w:t>
      </w:r>
      <w:r w:rsidRPr="00FE51CE">
        <w:rPr>
          <w:rFonts w:eastAsia="Times New Roman" w:cs="Helvetica"/>
          <w:kern w:val="36"/>
          <w:u w:val="single"/>
          <w:lang w:val="en-US" w:bidi="ar-SA"/>
        </w:rPr>
        <w:t xml:space="preserve"> </w:t>
      </w:r>
      <w:r w:rsidRPr="00FE51CE">
        <w:rPr>
          <w:rFonts w:eastAsia="Times New Roman" w:cs="Helvetica"/>
          <w:kern w:val="36"/>
          <w:lang w:val="en-US" w:bidi="ar-SA"/>
        </w:rPr>
        <w:t>- 550 U.S. 398, 127 S. Ct. 1727 (2007)</w:t>
      </w:r>
    </w:p>
    <w:p w14:paraId="1F4B331A" w14:textId="44C3A332" w:rsidR="00FE51CE" w:rsidRDefault="00FE51CE" w:rsidP="00697ABE">
      <w:pPr>
        <w:shd w:val="clear" w:color="auto" w:fill="FFFFFF"/>
        <w:ind w:firstLine="0"/>
        <w:outlineLvl w:val="0"/>
        <w:rPr>
          <w:rFonts w:eastAsia="Times New Roman" w:cs="Helvetica"/>
          <w:kern w:val="36"/>
          <w:lang w:val="en-US" w:bidi="ar-SA"/>
        </w:rPr>
      </w:pPr>
      <w:r w:rsidRPr="0014170F">
        <w:rPr>
          <w:rFonts w:eastAsia="Times New Roman" w:cs="Helvetica"/>
          <w:kern w:val="36"/>
          <w:lang w:val="en-US" w:bidi="ar-SA"/>
        </w:rPr>
        <w:tab/>
      </w:r>
      <w:r w:rsidR="0014170F" w:rsidRPr="0014170F">
        <w:rPr>
          <w:rFonts w:eastAsia="Times New Roman" w:cs="Helvetica"/>
          <w:kern w:val="36"/>
          <w:lang w:val="en-US" w:bidi="ar-SA"/>
        </w:rPr>
        <w:t>Teleflex sued KSR International, claiming that KSR had infringed on its patent for an adjustable gas-pedal system. KSR counter</w:t>
      </w:r>
      <w:r w:rsidR="000E34B2">
        <w:rPr>
          <w:rFonts w:eastAsia="Times New Roman" w:cs="Helvetica"/>
          <w:kern w:val="36"/>
          <w:lang w:val="en-US" w:bidi="ar-SA"/>
        </w:rPr>
        <w:t>argu</w:t>
      </w:r>
      <w:r w:rsidR="0014170F" w:rsidRPr="0014170F">
        <w:rPr>
          <w:rFonts w:eastAsia="Times New Roman" w:cs="Helvetica"/>
          <w:kern w:val="36"/>
          <w:lang w:val="en-US" w:bidi="ar-SA"/>
        </w:rPr>
        <w:t>ed that the patent was obvious and hence unenforceable.</w:t>
      </w:r>
      <w:r w:rsidR="00DC0BFE">
        <w:rPr>
          <w:rFonts w:eastAsia="Times New Roman" w:cs="Helvetica"/>
          <w:kern w:val="36"/>
          <w:lang w:val="en-US" w:bidi="ar-SA"/>
        </w:rPr>
        <w:t xml:space="preserve"> District Court accepted KSR’s argument t</w:t>
      </w:r>
      <w:r w:rsidR="00697ABE">
        <w:rPr>
          <w:rFonts w:eastAsia="Times New Roman" w:cs="Helvetica"/>
          <w:kern w:val="36"/>
          <w:lang w:val="en-US" w:bidi="ar-SA"/>
        </w:rPr>
        <w:t>hat the invention was obvious because</w:t>
      </w:r>
      <w:r w:rsidR="00DC0BFE">
        <w:rPr>
          <w:rFonts w:eastAsia="Times New Roman" w:cs="Helvetica"/>
          <w:kern w:val="36"/>
          <w:lang w:val="en-US" w:bidi="ar-SA"/>
        </w:rPr>
        <w:t xml:space="preserve"> many of its elements already existed in previous patents and a person with the ordinary skill could combine them. Teleflex successfully appealed; the Circuit Court decided that the lo</w:t>
      </w:r>
      <w:r w:rsidR="00697ABE">
        <w:rPr>
          <w:rFonts w:eastAsia="Times New Roman" w:cs="Helvetica"/>
          <w:kern w:val="36"/>
          <w:lang w:val="en-US" w:bidi="ar-SA"/>
        </w:rPr>
        <w:t>wer court should have applied</w:t>
      </w:r>
      <w:r w:rsidR="00DC0BFE">
        <w:rPr>
          <w:rFonts w:eastAsia="Times New Roman" w:cs="Helvetica"/>
          <w:kern w:val="36"/>
          <w:lang w:val="en-US" w:bidi="ar-SA"/>
        </w:rPr>
        <w:t xml:space="preserve"> the </w:t>
      </w:r>
      <w:r w:rsidR="00DC0BFE" w:rsidRPr="00697ABE">
        <w:rPr>
          <w:rFonts w:eastAsia="Times New Roman" w:cs="Helvetica"/>
          <w:i/>
          <w:kern w:val="36"/>
          <w:lang w:val="en-US" w:bidi="ar-SA"/>
        </w:rPr>
        <w:t>specific</w:t>
      </w:r>
      <w:r w:rsidR="00DC0BFE">
        <w:rPr>
          <w:rFonts w:eastAsia="Times New Roman" w:cs="Helvetica"/>
          <w:kern w:val="36"/>
          <w:lang w:val="en-US" w:bidi="ar-SA"/>
        </w:rPr>
        <w:t xml:space="preserve"> “teaching, suggestion or motivation” test that could have led a person with ordinary skill to combine two elements that already existed. KSR </w:t>
      </w:r>
      <w:r w:rsidR="00697ABE">
        <w:rPr>
          <w:rFonts w:eastAsia="Times New Roman" w:cs="Helvetica"/>
          <w:kern w:val="36"/>
          <w:lang w:val="en-US" w:bidi="ar-SA"/>
        </w:rPr>
        <w:t xml:space="preserve">successfully </w:t>
      </w:r>
      <w:r w:rsidR="00DC0BFE">
        <w:rPr>
          <w:rFonts w:eastAsia="Times New Roman" w:cs="Helvetica"/>
          <w:kern w:val="36"/>
          <w:lang w:val="en-US" w:bidi="ar-SA"/>
        </w:rPr>
        <w:t xml:space="preserve">appealed to the Supreme Court on the basis that such approach would lead to conflicting decisions and </w:t>
      </w:r>
      <w:r w:rsidR="00697ABE">
        <w:rPr>
          <w:rFonts w:eastAsia="Times New Roman" w:cs="Helvetica"/>
          <w:kern w:val="36"/>
          <w:lang w:val="en-US" w:bidi="ar-SA"/>
        </w:rPr>
        <w:t xml:space="preserve">allow obvious inventions to be patented. </w:t>
      </w:r>
    </w:p>
    <w:p w14:paraId="22F41CA0" w14:textId="77777777" w:rsidR="00865769" w:rsidRPr="00865769" w:rsidRDefault="00697ABE" w:rsidP="00865769">
      <w:pPr>
        <w:rPr>
          <w:lang w:val="en-US" w:bidi="ar-SA"/>
        </w:rPr>
      </w:pPr>
      <w:r>
        <w:rPr>
          <w:rFonts w:eastAsia="Times New Roman" w:cs="Helvetica"/>
          <w:kern w:val="36"/>
          <w:lang w:val="en-US" w:bidi="ar-SA"/>
        </w:rPr>
        <w:t>It was held that the “teaching, suggestion or motivation” test for determining obviousness was not a mandatory one</w:t>
      </w:r>
      <w:r w:rsidR="00865769">
        <w:rPr>
          <w:rFonts w:eastAsia="Times New Roman" w:cs="Helvetica"/>
          <w:kern w:val="36"/>
          <w:lang w:val="en-US" w:bidi="ar-SA"/>
        </w:rPr>
        <w:t xml:space="preserve">. </w:t>
      </w:r>
      <w:r w:rsidR="00865769" w:rsidRPr="00865769">
        <w:rPr>
          <w:rFonts w:cs="Arial"/>
          <w:color w:val="222222"/>
          <w:shd w:val="clear" w:color="auto" w:fill="F8F8F8"/>
          <w:lang w:val="en-US" w:bidi="ar-SA"/>
        </w:rPr>
        <w:t>Teleflex's gas pedal patent was inspired by previous inventions aimed at different problems. Even though no one had combined the pre-existing adjustable gas pedal and electronic sensor technology in the precise way Teleflex's patent did, the Court held that the existence of the technology would have caused any person of ordinary skill to see the obvious benefit of</w:t>
      </w:r>
      <w:r w:rsidR="00865769">
        <w:rPr>
          <w:rFonts w:cs="Arial"/>
          <w:color w:val="222222"/>
          <w:shd w:val="clear" w:color="auto" w:fill="F8F8F8"/>
          <w:lang w:val="en-US" w:bidi="ar-SA"/>
        </w:rPr>
        <w:t xml:space="preserve"> combining the two. So</w:t>
      </w:r>
      <w:r w:rsidR="00865769" w:rsidRPr="00865769">
        <w:rPr>
          <w:rFonts w:cs="Arial"/>
          <w:color w:val="222222"/>
          <w:shd w:val="clear" w:color="auto" w:fill="F8F8F8"/>
          <w:lang w:val="en-US" w:bidi="ar-SA"/>
        </w:rPr>
        <w:t>, Teleflex's patent was obvious and therefore invalid.</w:t>
      </w:r>
    </w:p>
    <w:p w14:paraId="09FAF81A" w14:textId="77777777" w:rsidR="00697ABE" w:rsidRDefault="00010C35" w:rsidP="00697ABE">
      <w:pPr>
        <w:shd w:val="clear" w:color="auto" w:fill="FFFFFF"/>
        <w:ind w:firstLine="0"/>
        <w:outlineLvl w:val="0"/>
        <w:rPr>
          <w:rFonts w:eastAsia="Times New Roman" w:cs="Helvetica"/>
          <w:kern w:val="36"/>
          <w:lang w:val="en-US" w:bidi="ar-SA"/>
        </w:rPr>
      </w:pPr>
      <w:r>
        <w:rPr>
          <w:rFonts w:eastAsia="Times New Roman" w:cs="Helvetica"/>
          <w:kern w:val="36"/>
          <w:lang w:val="en-US" w:bidi="ar-SA"/>
        </w:rPr>
        <w:tab/>
        <w:t>It is important to note that the opinion acknowledged that a patent is not necessarily obvious because it combines two previously-existing elements; it could be of assistance to examine why a knowledgeable person w</w:t>
      </w:r>
      <w:r w:rsidR="00481971">
        <w:rPr>
          <w:rFonts w:eastAsia="Times New Roman" w:cs="Helvetica"/>
          <w:kern w:val="36"/>
          <w:lang w:val="en-US" w:bidi="ar-SA"/>
        </w:rPr>
        <w:t>ould be motivated to combine those</w:t>
      </w:r>
      <w:r>
        <w:rPr>
          <w:rFonts w:eastAsia="Times New Roman" w:cs="Helvetica"/>
          <w:kern w:val="36"/>
          <w:lang w:val="en-US" w:bidi="ar-SA"/>
        </w:rPr>
        <w:t xml:space="preserve"> components.</w:t>
      </w:r>
    </w:p>
    <w:p w14:paraId="7C0CA5FA" w14:textId="77777777" w:rsidR="00E80FDA" w:rsidRDefault="00E80FDA" w:rsidP="00697ABE">
      <w:pPr>
        <w:shd w:val="clear" w:color="auto" w:fill="FFFFFF"/>
        <w:ind w:firstLine="0"/>
        <w:outlineLvl w:val="0"/>
        <w:rPr>
          <w:rFonts w:eastAsia="Times New Roman" w:cs="Helvetica"/>
          <w:kern w:val="36"/>
          <w:lang w:val="en-US" w:bidi="ar-SA"/>
        </w:rPr>
      </w:pPr>
    </w:p>
    <w:p w14:paraId="0C48724B" w14:textId="77777777" w:rsidR="00E80FDA" w:rsidRDefault="00E80FDA" w:rsidP="00B73A87">
      <w:pPr>
        <w:shd w:val="clear" w:color="auto" w:fill="FFFFFF"/>
        <w:spacing w:line="240" w:lineRule="auto"/>
        <w:jc w:val="left"/>
        <w:outlineLvl w:val="1"/>
        <w:rPr>
          <w:rFonts w:eastAsia="Times New Roman" w:cs="Arial"/>
          <w:bCs/>
          <w:i/>
          <w:color w:val="161619"/>
          <w:u w:val="single"/>
          <w:lang w:val="en-US" w:bidi="ar-SA"/>
        </w:rPr>
      </w:pPr>
      <w:r w:rsidRPr="00E80FDA">
        <w:rPr>
          <w:rFonts w:eastAsia="Times New Roman" w:cs="Arial"/>
          <w:bCs/>
          <w:i/>
          <w:color w:val="161619"/>
          <w:u w:val="single"/>
          <w:lang w:val="en-US" w:bidi="ar-SA"/>
        </w:rPr>
        <w:t>Stratoflex, Inc. v. Aeroquip Corp.</w:t>
      </w:r>
    </w:p>
    <w:p w14:paraId="52554E22" w14:textId="77777777" w:rsidR="00E80FDA" w:rsidRPr="00E80FDA" w:rsidRDefault="00E80FDA" w:rsidP="00E80FDA">
      <w:pPr>
        <w:shd w:val="clear" w:color="auto" w:fill="FFFFFF"/>
        <w:spacing w:line="240" w:lineRule="auto"/>
        <w:ind w:firstLine="0"/>
        <w:jc w:val="left"/>
        <w:outlineLvl w:val="1"/>
        <w:rPr>
          <w:rFonts w:eastAsia="Times New Roman" w:cs="Arial"/>
          <w:bCs/>
          <w:color w:val="161619"/>
          <w:lang w:val="en-US" w:bidi="ar-SA"/>
        </w:rPr>
      </w:pPr>
    </w:p>
    <w:p w14:paraId="2DA3529B" w14:textId="77777777" w:rsidR="00E80FDA" w:rsidRDefault="00E80FDA" w:rsidP="000E0758">
      <w:pPr>
        <w:shd w:val="clear" w:color="auto" w:fill="FFFFFF"/>
        <w:outlineLvl w:val="0"/>
        <w:rPr>
          <w:rFonts w:cs="Arial"/>
          <w:color w:val="161619"/>
          <w:spacing w:val="-5"/>
          <w:shd w:val="clear" w:color="auto" w:fill="FFFFFF"/>
          <w:lang w:val="en-US"/>
        </w:rPr>
      </w:pPr>
      <w:r w:rsidRPr="00E80FDA">
        <w:rPr>
          <w:rFonts w:cs="Arial"/>
          <w:color w:val="161619"/>
          <w:spacing w:val="-5"/>
          <w:shd w:val="clear" w:color="auto" w:fill="FFFFFF"/>
          <w:lang w:val="en-US"/>
        </w:rPr>
        <w:t xml:space="preserve">Aeroquip and Stratoflex were competitors in the business for polytetraflouroethylene (PTFE) tubing. </w:t>
      </w:r>
      <w:r>
        <w:rPr>
          <w:rFonts w:cs="Arial"/>
          <w:color w:val="161619"/>
          <w:spacing w:val="-5"/>
          <w:shd w:val="clear" w:color="auto" w:fill="FFFFFF"/>
          <w:lang w:val="en-US"/>
        </w:rPr>
        <w:t xml:space="preserve">In </w:t>
      </w:r>
      <w:r w:rsidRPr="00E80FDA">
        <w:rPr>
          <w:rFonts w:cs="Arial"/>
          <w:color w:val="161619"/>
          <w:spacing w:val="-5"/>
          <w:shd w:val="clear" w:color="auto" w:fill="FFFFFF"/>
          <w:lang w:val="en-US"/>
        </w:rPr>
        <w:t>practice</w:t>
      </w:r>
      <w:r>
        <w:rPr>
          <w:rFonts w:cs="Arial"/>
          <w:color w:val="161619"/>
          <w:spacing w:val="-5"/>
          <w:shd w:val="clear" w:color="auto" w:fill="FFFFFF"/>
          <w:lang w:val="en-US"/>
        </w:rPr>
        <w:t>, problem with</w:t>
      </w:r>
      <w:r w:rsidRPr="00E80FDA">
        <w:rPr>
          <w:rFonts w:cs="Arial"/>
          <w:color w:val="161619"/>
          <w:spacing w:val="-5"/>
          <w:shd w:val="clear" w:color="auto" w:fill="FFFFFF"/>
          <w:lang w:val="en-US"/>
        </w:rPr>
        <w:t xml:space="preserve"> leaking </w:t>
      </w:r>
      <w:r>
        <w:rPr>
          <w:rFonts w:cs="Arial"/>
          <w:color w:val="161619"/>
          <w:spacing w:val="-5"/>
          <w:shd w:val="clear" w:color="auto" w:fill="FFFFFF"/>
          <w:lang w:val="en-US"/>
        </w:rPr>
        <w:t xml:space="preserve">became </w:t>
      </w:r>
      <w:r w:rsidR="0055530B">
        <w:rPr>
          <w:rFonts w:cs="Arial"/>
          <w:color w:val="161619"/>
          <w:spacing w:val="-5"/>
          <w:shd w:val="clear" w:color="auto" w:fill="FFFFFF"/>
          <w:lang w:val="en-US"/>
        </w:rPr>
        <w:t>more obvious</w:t>
      </w:r>
      <w:r w:rsidRPr="00E80FDA">
        <w:rPr>
          <w:rFonts w:cs="Arial"/>
          <w:color w:val="161619"/>
          <w:spacing w:val="-5"/>
          <w:shd w:val="clear" w:color="auto" w:fill="FFFFFF"/>
          <w:lang w:val="en-US"/>
        </w:rPr>
        <w:t xml:space="preserve"> due to the emergence of gaps between filler</w:t>
      </w:r>
      <w:r w:rsidR="008C2E3E">
        <w:rPr>
          <w:rFonts w:cs="Arial"/>
          <w:color w:val="161619"/>
          <w:spacing w:val="-5"/>
          <w:shd w:val="clear" w:color="auto" w:fill="FFFFFF"/>
          <w:lang w:val="en-US"/>
        </w:rPr>
        <w:t xml:space="preserve"> particles and the PTFE material. Aiming to resolve it</w:t>
      </w:r>
      <w:r w:rsidRPr="00E80FDA">
        <w:rPr>
          <w:rFonts w:cs="Arial"/>
          <w:color w:val="161619"/>
          <w:spacing w:val="-5"/>
          <w:shd w:val="clear" w:color="auto" w:fill="FFFFFF"/>
          <w:lang w:val="en-US"/>
        </w:rPr>
        <w:t xml:space="preserve">, Aeroquip developed a composite tube and obtained a </w:t>
      </w:r>
      <w:r w:rsidRPr="00E80FDA">
        <w:rPr>
          <w:rFonts w:cs="Arial"/>
          <w:color w:val="161619"/>
          <w:spacing w:val="-5"/>
          <w:shd w:val="clear" w:color="auto" w:fill="FFFFFF"/>
          <w:lang w:val="en-US"/>
        </w:rPr>
        <w:lastRenderedPageBreak/>
        <w:t xml:space="preserve">patent for </w:t>
      </w:r>
      <w:r w:rsidR="008C2E3E">
        <w:rPr>
          <w:rFonts w:cs="Arial"/>
          <w:color w:val="161619"/>
          <w:spacing w:val="-5"/>
          <w:shd w:val="clear" w:color="auto" w:fill="FFFFFF"/>
          <w:lang w:val="en-US"/>
        </w:rPr>
        <w:t xml:space="preserve">it </w:t>
      </w:r>
      <w:r w:rsidRPr="00E80FDA">
        <w:rPr>
          <w:rFonts w:cs="Arial"/>
          <w:color w:val="161619"/>
          <w:spacing w:val="-5"/>
          <w:shd w:val="clear" w:color="auto" w:fill="FFFFFF"/>
          <w:lang w:val="en-US"/>
        </w:rPr>
        <w:t xml:space="preserve">(the ‘087 patent). Stratoflex </w:t>
      </w:r>
      <w:r w:rsidR="008C2E3E">
        <w:rPr>
          <w:rFonts w:cs="Arial"/>
          <w:color w:val="161619"/>
          <w:spacing w:val="-5"/>
          <w:shd w:val="clear" w:color="auto" w:fill="FFFFFF"/>
          <w:lang w:val="en-US"/>
        </w:rPr>
        <w:t xml:space="preserve">also manufactured </w:t>
      </w:r>
      <w:r w:rsidRPr="00E80FDA">
        <w:rPr>
          <w:rFonts w:cs="Arial"/>
          <w:color w:val="161619"/>
          <w:spacing w:val="-5"/>
          <w:shd w:val="clear" w:color="auto" w:fill="FFFFFF"/>
          <w:lang w:val="en-US"/>
        </w:rPr>
        <w:t xml:space="preserve">its own version of composite tubing. Aeroquip </w:t>
      </w:r>
      <w:r w:rsidR="0055530B">
        <w:rPr>
          <w:rFonts w:cs="Arial"/>
          <w:color w:val="161619"/>
          <w:spacing w:val="-5"/>
          <w:shd w:val="clear" w:color="auto" w:fill="FFFFFF"/>
          <w:lang w:val="en-US"/>
        </w:rPr>
        <w:t xml:space="preserve">sued Stratoflex because it considered the </w:t>
      </w:r>
      <w:r w:rsidRPr="00E80FDA">
        <w:rPr>
          <w:rFonts w:cs="Arial"/>
          <w:color w:val="161619"/>
          <w:spacing w:val="-5"/>
          <w:shd w:val="clear" w:color="auto" w:fill="FFFFFF"/>
          <w:lang w:val="en-US"/>
        </w:rPr>
        <w:t xml:space="preserve">use of the composite tubing </w:t>
      </w:r>
      <w:r w:rsidR="008C2E3E">
        <w:rPr>
          <w:rFonts w:cs="Arial"/>
          <w:color w:val="161619"/>
          <w:spacing w:val="-5"/>
          <w:shd w:val="clear" w:color="auto" w:fill="FFFFFF"/>
          <w:lang w:val="en-US"/>
        </w:rPr>
        <w:t>amo</w:t>
      </w:r>
      <w:r w:rsidR="0055530B">
        <w:rPr>
          <w:rFonts w:cs="Arial"/>
          <w:color w:val="161619"/>
          <w:spacing w:val="-5"/>
          <w:shd w:val="clear" w:color="auto" w:fill="FFFFFF"/>
          <w:lang w:val="en-US"/>
        </w:rPr>
        <w:t>unted to patent infringement. The</w:t>
      </w:r>
      <w:r w:rsidRPr="00E80FDA">
        <w:rPr>
          <w:rFonts w:cs="Arial"/>
          <w:color w:val="161619"/>
          <w:spacing w:val="-5"/>
          <w:shd w:val="clear" w:color="auto" w:fill="FFFFFF"/>
          <w:lang w:val="en-US"/>
        </w:rPr>
        <w:t xml:space="preserve"> district court held that several claims of the ‘087 patent were obvious in light of prior art and that Stratoflex had not infringed upon the only non-obvious claim of the ‘087 patent. </w:t>
      </w:r>
      <w:r w:rsidRPr="0055530B">
        <w:rPr>
          <w:rFonts w:cs="Arial"/>
          <w:color w:val="161619"/>
          <w:spacing w:val="-5"/>
          <w:shd w:val="clear" w:color="auto" w:fill="FFFFFF"/>
          <w:lang w:val="en-US"/>
        </w:rPr>
        <w:t>Aeroflex appealed the findings of invalidity and non-infringement.</w:t>
      </w:r>
    </w:p>
    <w:p w14:paraId="6DA4DF7E" w14:textId="77777777" w:rsidR="00FA4996" w:rsidRDefault="00FA4996"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 xml:space="preserve">The Court had to examine the question of whether </w:t>
      </w:r>
      <w:r w:rsidR="002E2981" w:rsidRPr="00FA4996">
        <w:rPr>
          <w:rFonts w:cs="Arial"/>
          <w:i/>
          <w:color w:val="161619"/>
          <w:spacing w:val="-5"/>
          <w:shd w:val="clear" w:color="auto" w:fill="FFFFFF"/>
          <w:lang w:val="en-US"/>
        </w:rPr>
        <w:t>all</w:t>
      </w:r>
      <w:r w:rsidRPr="00FA4996">
        <w:rPr>
          <w:rFonts w:cs="Arial"/>
          <w:i/>
          <w:color w:val="161619"/>
          <w:spacing w:val="-5"/>
          <w:shd w:val="clear" w:color="auto" w:fill="FFFFFF"/>
          <w:lang w:val="en-US"/>
        </w:rPr>
        <w:t xml:space="preserve"> t</w:t>
      </w:r>
      <w:r>
        <w:rPr>
          <w:rFonts w:cs="Arial"/>
          <w:color w:val="161619"/>
          <w:spacing w:val="-5"/>
          <w:shd w:val="clear" w:color="auto" w:fill="FFFFFF"/>
          <w:lang w:val="en-US"/>
        </w:rPr>
        <w:t xml:space="preserve">he evidence establishes </w:t>
      </w:r>
      <w:r w:rsidR="00A6752A">
        <w:rPr>
          <w:rFonts w:cs="Arial"/>
          <w:color w:val="161619"/>
          <w:spacing w:val="-5"/>
          <w:shd w:val="clear" w:color="auto" w:fill="FFFFFF"/>
          <w:lang w:val="en-US"/>
        </w:rPr>
        <w:t xml:space="preserve">that the validity challenger </w:t>
      </w:r>
      <w:r>
        <w:rPr>
          <w:rFonts w:cs="Arial"/>
          <w:color w:val="161619"/>
          <w:spacing w:val="-5"/>
          <w:shd w:val="clear" w:color="auto" w:fill="FFFFFF"/>
          <w:lang w:val="en-US"/>
        </w:rPr>
        <w:t>carried their burden as to have persuaded the decision</w:t>
      </w:r>
      <w:r w:rsidR="00DC6D3F">
        <w:rPr>
          <w:rFonts w:cs="Arial"/>
          <w:color w:val="161619"/>
          <w:spacing w:val="-5"/>
          <w:shd w:val="clear" w:color="auto" w:fill="FFFFFF"/>
          <w:lang w:val="en-US"/>
        </w:rPr>
        <w:t>-</w:t>
      </w:r>
      <w:r>
        <w:rPr>
          <w:rFonts w:cs="Arial"/>
          <w:color w:val="161619"/>
          <w:spacing w:val="-5"/>
          <w:shd w:val="clear" w:color="auto" w:fill="FFFFFF"/>
          <w:lang w:val="en-US"/>
        </w:rPr>
        <w:t>maker that the patent cannot be longer considered valid.</w:t>
      </w:r>
    </w:p>
    <w:p w14:paraId="691EE725" w14:textId="77777777" w:rsidR="00157F27" w:rsidRDefault="00157F27"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 xml:space="preserve">It also had to examine whether the invention set forth in the challenged claims each as a whole would have been obvious to </w:t>
      </w:r>
      <w:r w:rsidR="0042352D">
        <w:rPr>
          <w:rFonts w:cs="Arial"/>
          <w:color w:val="161619"/>
          <w:spacing w:val="-5"/>
          <w:shd w:val="clear" w:color="auto" w:fill="FFFFFF"/>
          <w:lang w:val="en-US"/>
        </w:rPr>
        <w:t>one of ordinary skill in the art, when they were made.</w:t>
      </w:r>
      <w:r w:rsidR="00C87DE6">
        <w:rPr>
          <w:rFonts w:cs="Arial"/>
          <w:color w:val="161619"/>
          <w:spacing w:val="-5"/>
          <w:shd w:val="clear" w:color="auto" w:fill="FFFFFF"/>
          <w:lang w:val="en-US"/>
        </w:rPr>
        <w:t xml:space="preserve"> Consideration of differences</w:t>
      </w:r>
      <w:r w:rsidR="00FF7053">
        <w:rPr>
          <w:rFonts w:cs="Arial"/>
          <w:color w:val="161619"/>
          <w:spacing w:val="-5"/>
          <w:shd w:val="clear" w:color="auto" w:fill="FFFFFF"/>
          <w:lang w:val="en-US"/>
        </w:rPr>
        <w:t xml:space="preserve"> from prior art</w:t>
      </w:r>
      <w:r w:rsidR="00C87DE6">
        <w:rPr>
          <w:rFonts w:cs="Arial"/>
          <w:color w:val="161619"/>
          <w:spacing w:val="-5"/>
          <w:shd w:val="clear" w:color="auto" w:fill="FFFFFF"/>
          <w:lang w:val="en-US"/>
        </w:rPr>
        <w:t xml:space="preserve"> is a tool in attempt</w:t>
      </w:r>
      <w:r w:rsidR="00FF7053">
        <w:rPr>
          <w:rFonts w:cs="Arial"/>
          <w:color w:val="161619"/>
          <w:spacing w:val="-5"/>
          <w:shd w:val="clear" w:color="auto" w:fill="FFFFFF"/>
          <w:lang w:val="en-US"/>
        </w:rPr>
        <w:t xml:space="preserve">ing to reach the determination </w:t>
      </w:r>
      <w:r w:rsidR="00C87DE6">
        <w:rPr>
          <w:rFonts w:cs="Arial"/>
          <w:color w:val="161619"/>
          <w:spacing w:val="-5"/>
          <w:shd w:val="clear" w:color="auto" w:fill="FFFFFF"/>
          <w:lang w:val="en-US"/>
        </w:rPr>
        <w:t>of whether the claimed invention as a whole would have been obvious.</w:t>
      </w:r>
      <w:r w:rsidR="00017265">
        <w:rPr>
          <w:rFonts w:cs="Arial"/>
          <w:color w:val="161619"/>
          <w:spacing w:val="-5"/>
          <w:shd w:val="clear" w:color="auto" w:fill="FFFFFF"/>
          <w:lang w:val="en-US"/>
        </w:rPr>
        <w:t xml:space="preserve"> The differences under discussion do not approach towards non-obviousness.</w:t>
      </w:r>
    </w:p>
    <w:p w14:paraId="619678BD" w14:textId="77777777" w:rsidR="00BF62BC" w:rsidRDefault="00BF62BC"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Further, evidence of “secondary considerations” should be taken into consideration in determining (non-/) obviousness issue and a nexus is required between the claimed invention and the evidence offered.</w:t>
      </w:r>
    </w:p>
    <w:p w14:paraId="64A2E5FD" w14:textId="77777777" w:rsidR="00FB1F7D" w:rsidRDefault="00FB1F7D" w:rsidP="000E0758">
      <w:pPr>
        <w:shd w:val="clear" w:color="auto" w:fill="FFFFFF"/>
        <w:outlineLvl w:val="0"/>
        <w:rPr>
          <w:rFonts w:cs="Arial"/>
          <w:color w:val="161619"/>
          <w:spacing w:val="-5"/>
          <w:shd w:val="clear" w:color="auto" w:fill="FFFFFF"/>
          <w:lang w:val="en-US"/>
        </w:rPr>
      </w:pPr>
      <w:r>
        <w:rPr>
          <w:rFonts w:cs="Arial"/>
          <w:color w:val="161619"/>
          <w:spacing w:val="-5"/>
          <w:shd w:val="clear" w:color="auto" w:fill="FFFFFF"/>
          <w:lang w:val="en-US"/>
        </w:rPr>
        <w:t xml:space="preserve">It held that the challenged claims of the patent were indeed invalid in terms of obviousness. </w:t>
      </w:r>
    </w:p>
    <w:p w14:paraId="585E1A5D" w14:textId="77777777" w:rsidR="004F3CD7" w:rsidRPr="00FE51CE" w:rsidRDefault="004F3CD7" w:rsidP="000E0758">
      <w:pPr>
        <w:shd w:val="clear" w:color="auto" w:fill="FFFFFF"/>
        <w:outlineLvl w:val="0"/>
        <w:rPr>
          <w:rFonts w:eastAsia="Times New Roman" w:cs="Helvetica"/>
          <w:kern w:val="36"/>
          <w:lang w:val="en-US" w:bidi="ar-SA"/>
        </w:rPr>
      </w:pPr>
    </w:p>
    <w:p w14:paraId="2D263A80" w14:textId="77777777" w:rsidR="001B45F8" w:rsidRPr="000E34B2" w:rsidRDefault="001B45F8" w:rsidP="0014170F">
      <w:pPr>
        <w:ind w:firstLine="0"/>
        <w:rPr>
          <w:lang w:val="en-US"/>
        </w:rPr>
      </w:pPr>
    </w:p>
    <w:sectPr w:rsidR="001B45F8" w:rsidRPr="000E34B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8193" w14:textId="77777777" w:rsidR="007D7E4E" w:rsidRDefault="007D7E4E" w:rsidP="007A75F2">
      <w:pPr>
        <w:spacing w:line="240" w:lineRule="auto"/>
      </w:pPr>
      <w:r>
        <w:separator/>
      </w:r>
    </w:p>
  </w:endnote>
  <w:endnote w:type="continuationSeparator" w:id="0">
    <w:p w14:paraId="589D0970" w14:textId="77777777" w:rsidR="007D7E4E" w:rsidRDefault="007D7E4E" w:rsidP="007A7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957656"/>
      <w:docPartObj>
        <w:docPartGallery w:val="Page Numbers (Bottom of Page)"/>
        <w:docPartUnique/>
      </w:docPartObj>
    </w:sdtPr>
    <w:sdtContent>
      <w:p w14:paraId="3B2F76AC" w14:textId="77777777" w:rsidR="007A75F2" w:rsidRDefault="007A75F2">
        <w:pPr>
          <w:pStyle w:val="a6"/>
          <w:jc w:val="right"/>
        </w:pPr>
        <w:r>
          <w:fldChar w:fldCharType="begin"/>
        </w:r>
        <w:r>
          <w:instrText>PAGE   \* MERGEFORMAT</w:instrText>
        </w:r>
        <w:r>
          <w:fldChar w:fldCharType="separate"/>
        </w:r>
        <w:r w:rsidR="00A6752A">
          <w:rPr>
            <w:noProof/>
          </w:rPr>
          <w:t>4</w:t>
        </w:r>
        <w:r>
          <w:fldChar w:fldCharType="end"/>
        </w:r>
      </w:p>
    </w:sdtContent>
  </w:sdt>
  <w:p w14:paraId="26E8685F" w14:textId="77777777" w:rsidR="007A75F2" w:rsidRDefault="007A75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8E29" w14:textId="77777777" w:rsidR="007D7E4E" w:rsidRDefault="007D7E4E" w:rsidP="007A75F2">
      <w:pPr>
        <w:spacing w:line="240" w:lineRule="auto"/>
      </w:pPr>
      <w:r>
        <w:separator/>
      </w:r>
    </w:p>
  </w:footnote>
  <w:footnote w:type="continuationSeparator" w:id="0">
    <w:p w14:paraId="61356BDE" w14:textId="77777777" w:rsidR="007D7E4E" w:rsidRDefault="007D7E4E" w:rsidP="007A75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682D"/>
    <w:multiLevelType w:val="multilevel"/>
    <w:tmpl w:val="CD0A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87528"/>
    <w:multiLevelType w:val="hybridMultilevel"/>
    <w:tmpl w:val="AFAE540E"/>
    <w:lvl w:ilvl="0" w:tplc="B78E59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921227">
    <w:abstractNumId w:val="1"/>
  </w:num>
  <w:num w:numId="2" w16cid:durableId="82767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17"/>
    <w:rsid w:val="000062CA"/>
    <w:rsid w:val="00010C35"/>
    <w:rsid w:val="00017265"/>
    <w:rsid w:val="000511AA"/>
    <w:rsid w:val="000758D0"/>
    <w:rsid w:val="000B72D1"/>
    <w:rsid w:val="000E0758"/>
    <w:rsid w:val="000E34B2"/>
    <w:rsid w:val="00100B17"/>
    <w:rsid w:val="0014170F"/>
    <w:rsid w:val="00157F27"/>
    <w:rsid w:val="001B45F8"/>
    <w:rsid w:val="001F6DA3"/>
    <w:rsid w:val="002446E1"/>
    <w:rsid w:val="002519A8"/>
    <w:rsid w:val="002E2981"/>
    <w:rsid w:val="00382C1C"/>
    <w:rsid w:val="0039248F"/>
    <w:rsid w:val="0042352D"/>
    <w:rsid w:val="00481971"/>
    <w:rsid w:val="004F3CD7"/>
    <w:rsid w:val="005108FC"/>
    <w:rsid w:val="00541537"/>
    <w:rsid w:val="00545935"/>
    <w:rsid w:val="00547976"/>
    <w:rsid w:val="0055530B"/>
    <w:rsid w:val="005903EC"/>
    <w:rsid w:val="006164AE"/>
    <w:rsid w:val="006336F6"/>
    <w:rsid w:val="00640493"/>
    <w:rsid w:val="00697ABE"/>
    <w:rsid w:val="006D2DDE"/>
    <w:rsid w:val="006E50FA"/>
    <w:rsid w:val="00701199"/>
    <w:rsid w:val="007A75F2"/>
    <w:rsid w:val="007D7E4E"/>
    <w:rsid w:val="00805205"/>
    <w:rsid w:val="00865769"/>
    <w:rsid w:val="008C2E3E"/>
    <w:rsid w:val="008F380F"/>
    <w:rsid w:val="009D6B77"/>
    <w:rsid w:val="00A07ED3"/>
    <w:rsid w:val="00A6752A"/>
    <w:rsid w:val="00B73A87"/>
    <w:rsid w:val="00BD2115"/>
    <w:rsid w:val="00BF62BC"/>
    <w:rsid w:val="00C01C83"/>
    <w:rsid w:val="00C209FF"/>
    <w:rsid w:val="00C55159"/>
    <w:rsid w:val="00C87DE6"/>
    <w:rsid w:val="00C93D90"/>
    <w:rsid w:val="00CB20B7"/>
    <w:rsid w:val="00D83AD9"/>
    <w:rsid w:val="00DC0BFE"/>
    <w:rsid w:val="00DC6D3F"/>
    <w:rsid w:val="00E35A0D"/>
    <w:rsid w:val="00E57306"/>
    <w:rsid w:val="00E80FDA"/>
    <w:rsid w:val="00EC46B6"/>
    <w:rsid w:val="00F006A5"/>
    <w:rsid w:val="00F04F11"/>
    <w:rsid w:val="00F7278B"/>
    <w:rsid w:val="00FA4996"/>
    <w:rsid w:val="00FB1F7D"/>
    <w:rsid w:val="00FC438B"/>
    <w:rsid w:val="00FE51CE"/>
    <w:rsid w:val="00FF70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5659"/>
  <w15:chartTrackingRefBased/>
  <w15:docId w15:val="{422F3FF5-8F1C-4A6C-B5C7-2D575AC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DA3"/>
    <w:pPr>
      <w:spacing w:after="0" w:line="360" w:lineRule="auto"/>
      <w:ind w:firstLine="720"/>
      <w:jc w:val="both"/>
    </w:pPr>
    <w:rPr>
      <w:rFonts w:ascii="Bookman Old Style" w:hAnsi="Bookman Old Style"/>
      <w:sz w:val="24"/>
      <w:szCs w:val="24"/>
      <w:lang w:val="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5F8"/>
    <w:pPr>
      <w:ind w:left="720"/>
      <w:contextualSpacing/>
    </w:pPr>
  </w:style>
  <w:style w:type="character" w:styleId="-">
    <w:name w:val="Hyperlink"/>
    <w:basedOn w:val="a0"/>
    <w:uiPriority w:val="99"/>
    <w:semiHidden/>
    <w:unhideWhenUsed/>
    <w:rsid w:val="00640493"/>
    <w:rPr>
      <w:color w:val="0000FF"/>
      <w:u w:val="single"/>
    </w:rPr>
  </w:style>
  <w:style w:type="paragraph" w:styleId="Web">
    <w:name w:val="Normal (Web)"/>
    <w:basedOn w:val="a"/>
    <w:uiPriority w:val="99"/>
    <w:unhideWhenUsed/>
    <w:rsid w:val="00547976"/>
    <w:pPr>
      <w:spacing w:before="100" w:beforeAutospacing="1" w:after="100" w:afterAutospacing="1" w:line="240" w:lineRule="auto"/>
      <w:ind w:firstLine="0"/>
      <w:jc w:val="left"/>
    </w:pPr>
    <w:rPr>
      <w:rFonts w:ascii="Times New Roman" w:eastAsia="Times New Roman" w:hAnsi="Times New Roman" w:cs="Times New Roman"/>
      <w:lang w:val="en-US" w:bidi="ar-SA"/>
    </w:rPr>
  </w:style>
  <w:style w:type="character" w:styleId="a4">
    <w:name w:val="Emphasis"/>
    <w:basedOn w:val="a0"/>
    <w:uiPriority w:val="20"/>
    <w:qFormat/>
    <w:rsid w:val="00C01C83"/>
    <w:rPr>
      <w:i/>
      <w:iCs/>
    </w:rPr>
  </w:style>
  <w:style w:type="paragraph" w:styleId="a5">
    <w:name w:val="header"/>
    <w:basedOn w:val="a"/>
    <w:link w:val="Char"/>
    <w:uiPriority w:val="99"/>
    <w:unhideWhenUsed/>
    <w:rsid w:val="007A75F2"/>
    <w:pPr>
      <w:tabs>
        <w:tab w:val="center" w:pos="4680"/>
        <w:tab w:val="right" w:pos="9360"/>
      </w:tabs>
      <w:spacing w:line="240" w:lineRule="auto"/>
    </w:pPr>
  </w:style>
  <w:style w:type="character" w:customStyle="1" w:styleId="Char">
    <w:name w:val="Κεφαλίδα Char"/>
    <w:basedOn w:val="a0"/>
    <w:link w:val="a5"/>
    <w:uiPriority w:val="99"/>
    <w:rsid w:val="007A75F2"/>
    <w:rPr>
      <w:rFonts w:ascii="Bookman Old Style" w:hAnsi="Bookman Old Style"/>
      <w:sz w:val="24"/>
      <w:szCs w:val="24"/>
      <w:lang w:val="el-GR" w:bidi="he-IL"/>
    </w:rPr>
  </w:style>
  <w:style w:type="paragraph" w:styleId="a6">
    <w:name w:val="footer"/>
    <w:basedOn w:val="a"/>
    <w:link w:val="Char0"/>
    <w:uiPriority w:val="99"/>
    <w:unhideWhenUsed/>
    <w:rsid w:val="007A75F2"/>
    <w:pPr>
      <w:tabs>
        <w:tab w:val="center" w:pos="4680"/>
        <w:tab w:val="right" w:pos="9360"/>
      </w:tabs>
      <w:spacing w:line="240" w:lineRule="auto"/>
    </w:pPr>
  </w:style>
  <w:style w:type="character" w:customStyle="1" w:styleId="Char0">
    <w:name w:val="Υποσέλιδο Char"/>
    <w:basedOn w:val="a0"/>
    <w:link w:val="a6"/>
    <w:uiPriority w:val="99"/>
    <w:rsid w:val="007A75F2"/>
    <w:rPr>
      <w:rFonts w:ascii="Bookman Old Style" w:hAnsi="Bookman Old Style"/>
      <w:sz w:val="24"/>
      <w:szCs w:val="24"/>
      <w:lang w:val="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462">
      <w:bodyDiv w:val="1"/>
      <w:marLeft w:val="0"/>
      <w:marRight w:val="0"/>
      <w:marTop w:val="0"/>
      <w:marBottom w:val="0"/>
      <w:divBdr>
        <w:top w:val="none" w:sz="0" w:space="0" w:color="auto"/>
        <w:left w:val="none" w:sz="0" w:space="0" w:color="auto"/>
        <w:bottom w:val="none" w:sz="0" w:space="0" w:color="auto"/>
        <w:right w:val="none" w:sz="0" w:space="0" w:color="auto"/>
      </w:divBdr>
    </w:div>
    <w:div w:id="1699507795">
      <w:bodyDiv w:val="1"/>
      <w:marLeft w:val="0"/>
      <w:marRight w:val="0"/>
      <w:marTop w:val="0"/>
      <w:marBottom w:val="0"/>
      <w:divBdr>
        <w:top w:val="none" w:sz="0" w:space="0" w:color="auto"/>
        <w:left w:val="none" w:sz="0" w:space="0" w:color="auto"/>
        <w:bottom w:val="none" w:sz="0" w:space="0" w:color="auto"/>
        <w:right w:val="none" w:sz="0" w:space="0" w:color="auto"/>
      </w:divBdr>
    </w:div>
    <w:div w:id="17913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preme_Court_of_the_United_St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ppe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KSR_v._Teleflex" TargetMode="External"/><Relationship Id="rId5" Type="http://schemas.openxmlformats.org/officeDocument/2006/relationships/footnotes" Target="footnotes.xml"/><Relationship Id="rId10" Type="http://schemas.openxmlformats.org/officeDocument/2006/relationships/hyperlink" Target="https://en.wikipedia.org/wiki/Questions_of_fact" TargetMode="External"/><Relationship Id="rId4" Type="http://schemas.openxmlformats.org/officeDocument/2006/relationships/webSettings" Target="webSettings.xml"/><Relationship Id="rId9" Type="http://schemas.openxmlformats.org/officeDocument/2006/relationships/hyperlink" Target="https://en.wikipedia.org/wiki/Non-obviousness_in_United_States_patent_law"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1159</Words>
  <Characters>6262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Chardalia</dc:creator>
  <cp:keywords/>
  <dc:description/>
  <cp:lastModifiedBy>ΧΡΗΣΤΟΣ ΧΡΥΣΑΝΘΗΣ</cp:lastModifiedBy>
  <cp:revision>3</cp:revision>
  <dcterms:created xsi:type="dcterms:W3CDTF">2023-03-28T12:34:00Z</dcterms:created>
  <dcterms:modified xsi:type="dcterms:W3CDTF">2023-05-04T19:30:00Z</dcterms:modified>
</cp:coreProperties>
</file>