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46" w:rsidRPr="00B526AC" w:rsidRDefault="00B526AC" w:rsidP="00B526AC">
      <w:pPr>
        <w:ind w:firstLine="0"/>
        <w:jc w:val="center"/>
        <w:rPr>
          <w:b/>
        </w:rPr>
      </w:pPr>
      <w:r w:rsidRPr="00B526AC">
        <w:rPr>
          <w:b/>
        </w:rPr>
        <w:t>ΝΟΜΙΚΟ ΠΛΑΙΣΙΟ ΔΙΕΘΝΟΥΣ ΕΜΠΟΡΙΟΥ</w:t>
      </w:r>
    </w:p>
    <w:p w:rsidR="00B526AC" w:rsidRDefault="00B526AC"/>
    <w:p w:rsidR="00B526AC" w:rsidRPr="00ED37EB" w:rsidRDefault="00ED37EB" w:rsidP="00ED37EB">
      <w:pPr>
        <w:ind w:firstLine="0"/>
        <w:jc w:val="center"/>
        <w:rPr>
          <w:b/>
        </w:rPr>
      </w:pPr>
      <w:r w:rsidRPr="00ED37EB">
        <w:rPr>
          <w:b/>
        </w:rPr>
        <w:t>ΒΙΒΛΙΟΓΡΑΦΙΑ &amp; ΝΟΜΟΛΟΓΙΑ</w:t>
      </w:r>
    </w:p>
    <w:p w:rsidR="00ED37EB" w:rsidRDefault="00ED37EB"/>
    <w:p w:rsidR="00ED37EB" w:rsidRPr="00ED37EB" w:rsidRDefault="00ED37EB" w:rsidP="00ED37EB">
      <w:pPr>
        <w:ind w:firstLine="0"/>
        <w:rPr>
          <w:b/>
        </w:rPr>
      </w:pPr>
      <w:r w:rsidRPr="00ED37EB">
        <w:rPr>
          <w:b/>
        </w:rPr>
        <w:t>Για την ενέγγυο πίστωση και την εγγυητική επιστολή</w:t>
      </w:r>
    </w:p>
    <w:p w:rsidR="00FB37AE" w:rsidRDefault="00FB37AE" w:rsidP="00ED37EB">
      <w:pPr>
        <w:ind w:firstLine="0"/>
      </w:pPr>
      <w:r>
        <w:t>Απ. Γεωργιάδης, Η εξασφάλιση των πιστώσεων 2008.</w:t>
      </w:r>
    </w:p>
    <w:p w:rsidR="00FB37AE" w:rsidRDefault="00FB37AE" w:rsidP="00ED37EB">
      <w:pPr>
        <w:ind w:firstLine="0"/>
      </w:pPr>
      <w:r>
        <w:t xml:space="preserve">Χρήστος Χρυσάνθης, Η δικαστική απαγόρευση της είσπραξης εγγυητικής επιστολής ή ενέγγυας πίστωσης στη νομολογία, Δημοσιεύματα Μακεδονικής Ένωσης Εμπορικού Δικαίου 1999. </w:t>
      </w:r>
    </w:p>
    <w:p w:rsidR="00FB37AE" w:rsidRDefault="00FB37AE" w:rsidP="00ED37EB">
      <w:pPr>
        <w:ind w:firstLine="0"/>
      </w:pPr>
      <w:r>
        <w:t>Χρήστος Χρυσάνθης, σε ΕπισκΕΔ 1999, 954.</w:t>
      </w:r>
    </w:p>
    <w:p w:rsidR="00FB37AE" w:rsidRDefault="00FB37AE" w:rsidP="00ED37EB">
      <w:pPr>
        <w:ind w:firstLine="0"/>
      </w:pPr>
      <w:r>
        <w:t>Χρυσάνθης, Η έκταση του ελέγχου στα έγγραφα της τραπεζικής ενέγγυας πίστωσης, ΕΕμπΔ 1995, 190.</w:t>
      </w:r>
    </w:p>
    <w:p w:rsidR="002F2517" w:rsidRPr="00ED37EB" w:rsidRDefault="002F2517" w:rsidP="00ED37EB">
      <w:pPr>
        <w:ind w:firstLine="0"/>
        <w:rPr>
          <w:lang w:val="en-US"/>
        </w:rPr>
      </w:pPr>
      <w:r w:rsidRPr="00ED37EB">
        <w:rPr>
          <w:lang w:val="en-US"/>
        </w:rPr>
        <w:t xml:space="preserve">Clive </w:t>
      </w:r>
      <w:proofErr w:type="spellStart"/>
      <w:r w:rsidRPr="00ED37EB">
        <w:rPr>
          <w:lang w:val="en-US"/>
        </w:rPr>
        <w:t>Schmitthoff</w:t>
      </w:r>
      <w:proofErr w:type="spellEnd"/>
      <w:r w:rsidRPr="00ED37EB">
        <w:rPr>
          <w:lang w:val="en-US"/>
        </w:rPr>
        <w:t>, The law and practice of international trade, 2007.</w:t>
      </w:r>
    </w:p>
    <w:p w:rsidR="00FB37AE" w:rsidRDefault="00FB37AE" w:rsidP="00FB37AE">
      <w:pPr>
        <w:ind w:firstLine="0"/>
      </w:pPr>
      <w:r>
        <w:t>Νομολογία: ΜΠΑ 6837/2008, ΕΕμπΔ 2010, 962 με παρατ. Χρυσάνθη – ΠΠΑ 10544/97, ΕΕμπΔ 1999, 723.</w:t>
      </w:r>
    </w:p>
    <w:p w:rsidR="00B526AC" w:rsidRPr="00FB37AE" w:rsidRDefault="00ED37EB" w:rsidP="00B526AC">
      <w:pPr>
        <w:ind w:firstLine="0"/>
        <w:rPr>
          <w:b/>
        </w:rPr>
      </w:pPr>
      <w:r>
        <w:rPr>
          <w:b/>
        </w:rPr>
        <w:t xml:space="preserve">Για την </w:t>
      </w:r>
      <w:r w:rsidR="00B526AC" w:rsidRPr="00FB37AE">
        <w:rPr>
          <w:b/>
        </w:rPr>
        <w:t>αλληλε</w:t>
      </w:r>
      <w:r>
        <w:rPr>
          <w:b/>
        </w:rPr>
        <w:t xml:space="preserve">ξάρτηση </w:t>
      </w:r>
      <w:r w:rsidR="00B526AC" w:rsidRPr="00FB37AE">
        <w:rPr>
          <w:b/>
        </w:rPr>
        <w:t xml:space="preserve">της σύμβασης διεθνούς πώλησης, με τη σύμβαση θαλάσσιας μεταφοράς και την ενέγγυο πίστωση </w:t>
      </w:r>
    </w:p>
    <w:p w:rsidR="00B526AC" w:rsidRPr="00ED37EB" w:rsidRDefault="00B526AC" w:rsidP="00ED37EB">
      <w:pPr>
        <w:ind w:firstLine="0"/>
        <w:rPr>
          <w:lang w:val="en-US"/>
        </w:rPr>
      </w:pPr>
      <w:r w:rsidRPr="00ED37EB">
        <w:rPr>
          <w:lang w:val="en-US"/>
        </w:rPr>
        <w:t xml:space="preserve">Christos S. Chrissanthis, The interrelation of the contract of sale with the contract of carriage and the letter of credit in international trade, Revue </w:t>
      </w:r>
      <w:proofErr w:type="spellStart"/>
      <w:r w:rsidRPr="00ED37EB">
        <w:rPr>
          <w:lang w:val="en-US"/>
        </w:rPr>
        <w:t>Hellenique</w:t>
      </w:r>
      <w:proofErr w:type="spellEnd"/>
      <w:r w:rsidRPr="00ED37EB">
        <w:rPr>
          <w:lang w:val="en-US"/>
        </w:rPr>
        <w:t xml:space="preserve"> De </w:t>
      </w:r>
      <w:proofErr w:type="spellStart"/>
      <w:r w:rsidRPr="00ED37EB">
        <w:rPr>
          <w:lang w:val="en-US"/>
        </w:rPr>
        <w:t>Droit</w:t>
      </w:r>
      <w:proofErr w:type="spellEnd"/>
      <w:r w:rsidRPr="00ED37EB">
        <w:rPr>
          <w:lang w:val="en-US"/>
        </w:rPr>
        <w:t xml:space="preserve"> International, vol. 49, 1996, p. 515-532.</w:t>
      </w:r>
    </w:p>
    <w:p w:rsidR="00B526AC" w:rsidRDefault="00B526AC" w:rsidP="00ED37EB">
      <w:pPr>
        <w:ind w:firstLine="0"/>
      </w:pPr>
      <w:r>
        <w:t>Χρήστος Χρυσάνθης, Η ρήτρα φόρτωσης επί του καταστρώματος και η επίδρασή της στις συμβάσεις της ναύλωσης, της πώλησης και της ενέγγυας πίστωσης, Παρατηρήσεις στην ΑΠ 622/1994, ΕΕμπΔ 1996, 363 επ., 365 επ.</w:t>
      </w:r>
      <w:r w:rsidRPr="00B526AC">
        <w:t xml:space="preserve"> </w:t>
      </w:r>
    </w:p>
    <w:p w:rsidR="002F2517" w:rsidRPr="00ED37EB" w:rsidRDefault="002F2517" w:rsidP="00ED37EB">
      <w:pPr>
        <w:ind w:firstLine="0"/>
        <w:rPr>
          <w:lang w:val="en-US"/>
        </w:rPr>
      </w:pPr>
      <w:r w:rsidRPr="00ED37EB">
        <w:rPr>
          <w:lang w:val="en-US"/>
        </w:rPr>
        <w:t xml:space="preserve">Clive </w:t>
      </w:r>
      <w:proofErr w:type="spellStart"/>
      <w:r w:rsidRPr="00ED37EB">
        <w:rPr>
          <w:lang w:val="en-US"/>
        </w:rPr>
        <w:t>Schmitthoff</w:t>
      </w:r>
      <w:proofErr w:type="spellEnd"/>
      <w:r w:rsidRPr="00ED37EB">
        <w:rPr>
          <w:lang w:val="en-US"/>
        </w:rPr>
        <w:t>, The law and practice of international trade, 2007.</w:t>
      </w:r>
    </w:p>
    <w:p w:rsidR="00ED37EB" w:rsidRPr="00ED37EB" w:rsidRDefault="00ED37EB" w:rsidP="00ED37EB">
      <w:pPr>
        <w:ind w:firstLine="0"/>
        <w:rPr>
          <w:lang w:val="en-US"/>
        </w:rPr>
      </w:pPr>
      <w:r>
        <w:t>Νομολογία: ΕφΑθ 1292/1993, ΕΕμπΔ 1993, 578.</w:t>
      </w:r>
    </w:p>
    <w:p w:rsidR="00B526AC" w:rsidRDefault="00B526AC" w:rsidP="00B526AC">
      <w:pPr>
        <w:ind w:firstLine="0"/>
      </w:pPr>
      <w:bookmarkStart w:id="0" w:name="_GoBack"/>
      <w:bookmarkEnd w:id="0"/>
    </w:p>
    <w:p w:rsidR="00B526AC" w:rsidRDefault="00B526AC" w:rsidP="00B526AC">
      <w:pPr>
        <w:ind w:firstLine="0"/>
      </w:pPr>
    </w:p>
    <w:sectPr w:rsidR="00B526AC" w:rsidSect="00E45C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C91"/>
    <w:multiLevelType w:val="hybridMultilevel"/>
    <w:tmpl w:val="E7322A6A"/>
    <w:lvl w:ilvl="0" w:tplc="2E3064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F2EA6"/>
    <w:multiLevelType w:val="hybridMultilevel"/>
    <w:tmpl w:val="3EF839F0"/>
    <w:lvl w:ilvl="0" w:tplc="5E508F3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6AC"/>
    <w:rsid w:val="002F2517"/>
    <w:rsid w:val="00355A7C"/>
    <w:rsid w:val="005C1BD2"/>
    <w:rsid w:val="00762329"/>
    <w:rsid w:val="00841678"/>
    <w:rsid w:val="00B526AC"/>
    <w:rsid w:val="00BE7A7C"/>
    <w:rsid w:val="00DF3A35"/>
    <w:rsid w:val="00E45C41"/>
    <w:rsid w:val="00ED37EB"/>
    <w:rsid w:val="00FB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CHRISSANTHIS</dc:creator>
  <cp:lastModifiedBy>Dimitris</cp:lastModifiedBy>
  <cp:revision>3</cp:revision>
  <dcterms:created xsi:type="dcterms:W3CDTF">2020-04-09T09:06:00Z</dcterms:created>
  <dcterms:modified xsi:type="dcterms:W3CDTF">2020-04-09T09:06:00Z</dcterms:modified>
</cp:coreProperties>
</file>