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6DC9" w14:textId="14757CA4" w:rsidR="00CA72A9" w:rsidRDefault="003474D8" w:rsidP="00E34EC8">
      <w:pPr>
        <w:spacing w:line="276" w:lineRule="auto"/>
        <w:rPr>
          <w:b/>
          <w:bCs/>
          <w:u w:val="single"/>
        </w:rPr>
      </w:pPr>
      <w:r w:rsidRPr="003474D8">
        <w:rPr>
          <w:b/>
          <w:bCs/>
          <w:u w:val="single"/>
        </w:rPr>
        <w:t xml:space="preserve">Δικαίωμα </w:t>
      </w:r>
      <w:r w:rsidR="00CA72A9">
        <w:rPr>
          <w:b/>
          <w:bCs/>
          <w:u w:val="single"/>
        </w:rPr>
        <w:t>πρόσβασης σε συνήγορο κατά την ΕΣΔΑ και το Ενωσιακό Δίκαιο</w:t>
      </w:r>
    </w:p>
    <w:p w14:paraId="1879F901" w14:textId="77777777" w:rsidR="00CA72A9" w:rsidRDefault="00CA72A9" w:rsidP="00E34EC8">
      <w:pPr>
        <w:spacing w:line="276" w:lineRule="auto"/>
        <w:rPr>
          <w:u w:val="single"/>
        </w:rPr>
      </w:pPr>
    </w:p>
    <w:p w14:paraId="17B2DAC2" w14:textId="161B6E76" w:rsidR="00CA72A9" w:rsidRDefault="00CA72A9" w:rsidP="00E34EC8">
      <w:pPr>
        <w:spacing w:line="276" w:lineRule="auto"/>
        <w:rPr>
          <w:u w:val="single"/>
        </w:rPr>
      </w:pPr>
      <w:r>
        <w:rPr>
          <w:u w:val="single"/>
        </w:rPr>
        <w:t>ΕΣΔΑ άρ. 6 παρ. 3γ</w:t>
      </w:r>
    </w:p>
    <w:p w14:paraId="7EAAEBEF" w14:textId="150C6607" w:rsidR="00CA72A9" w:rsidRPr="00CA72A9" w:rsidRDefault="00CA72A9" w:rsidP="00E34EC8">
      <w:pPr>
        <w:spacing w:line="276" w:lineRule="auto"/>
        <w:rPr>
          <w:u w:val="single"/>
        </w:rPr>
      </w:pPr>
      <w:r w:rsidRPr="00CA72A9">
        <w:rPr>
          <w:u w:val="single"/>
        </w:rPr>
        <w:t>Οδηγία 2013/48/ΕΕ</w:t>
      </w:r>
    </w:p>
    <w:p w14:paraId="257DBC37" w14:textId="28A28A93" w:rsidR="00CA72A9" w:rsidRPr="00CA72A9" w:rsidRDefault="00CA72A9" w:rsidP="00E34EC8">
      <w:pPr>
        <w:spacing w:line="276" w:lineRule="auto"/>
        <w:rPr>
          <w:u w:val="single"/>
        </w:rPr>
      </w:pPr>
      <w:r w:rsidRPr="00CA72A9">
        <w:rPr>
          <w:u w:val="single"/>
        </w:rPr>
        <w:t>Ν. 4478/2017 άρ. 47-53</w:t>
      </w:r>
    </w:p>
    <w:p w14:paraId="199B1E16" w14:textId="77777777" w:rsidR="003474D8" w:rsidRDefault="003474D8" w:rsidP="00E34EC8">
      <w:pPr>
        <w:spacing w:line="276" w:lineRule="auto"/>
        <w:rPr>
          <w:b/>
          <w:bCs/>
          <w:u w:val="single"/>
        </w:rPr>
      </w:pPr>
    </w:p>
    <w:p w14:paraId="27C948A8" w14:textId="77777777" w:rsidR="00E34EC8" w:rsidRDefault="00E34EC8" w:rsidP="00E34EC8">
      <w:pPr>
        <w:tabs>
          <w:tab w:val="left" w:pos="900"/>
        </w:tabs>
        <w:spacing w:line="276" w:lineRule="auto"/>
      </w:pPr>
      <w:r w:rsidRPr="00E34EC8">
        <w:rPr>
          <w:b/>
          <w:bCs/>
          <w:i/>
        </w:rPr>
        <w:t>Αλεξανδρής Β.</w:t>
      </w:r>
      <w:r w:rsidRPr="00E34EC8">
        <w:rPr>
          <w:b/>
          <w:bCs/>
        </w:rPr>
        <w:t>,</w:t>
      </w:r>
      <w:r w:rsidRPr="0087624C">
        <w:t xml:space="preserve"> Ζητήματα σχετικά με το ακώλυτο δικαίωμα πρόσβασης σε συνήγορο υπεράσπισης ως έκφανση του δικαιώματος πρόσβασης στη Δικαιοσύνη, ΝοΒ 2017, σ. 1265 επ. </w:t>
      </w:r>
    </w:p>
    <w:p w14:paraId="34EFBFBA" w14:textId="15A28A89" w:rsidR="003474D8" w:rsidRPr="003474D8" w:rsidRDefault="003474D8" w:rsidP="00E34EC8">
      <w:pPr>
        <w:spacing w:line="276" w:lineRule="auto"/>
      </w:pPr>
      <w:r w:rsidRPr="00B04F18">
        <w:rPr>
          <w:b/>
          <w:bCs/>
          <w:i/>
          <w:iCs/>
        </w:rPr>
        <w:t>Αρβανίτης</w:t>
      </w:r>
      <w:r w:rsidR="00E34EC8">
        <w:rPr>
          <w:b/>
          <w:bCs/>
          <w:i/>
          <w:iCs/>
        </w:rPr>
        <w:t xml:space="preserve"> Δ.</w:t>
      </w:r>
      <w:r w:rsidRPr="003474D8">
        <w:t>, Τα δικαιώματα πρόσβασης σε συνήγορο</w:t>
      </w:r>
      <w:r>
        <w:t xml:space="preserve"> </w:t>
      </w:r>
      <w:r w:rsidRPr="003474D8">
        <w:t>και νομικής βοήθειας στην Ε.Ε.</w:t>
      </w:r>
      <w:r>
        <w:t xml:space="preserve">, </w:t>
      </w:r>
      <w:r>
        <w:rPr>
          <w:lang w:val="en-US"/>
        </w:rPr>
        <w:t>The</w:t>
      </w:r>
      <w:r w:rsidRPr="003474D8">
        <w:t xml:space="preserve"> </w:t>
      </w:r>
      <w:r>
        <w:rPr>
          <w:lang w:val="en-US"/>
        </w:rPr>
        <w:t>art</w:t>
      </w:r>
      <w:r w:rsidRPr="003474D8">
        <w:t xml:space="preserve"> </w:t>
      </w:r>
      <w:r>
        <w:rPr>
          <w:lang w:val="en-US"/>
        </w:rPr>
        <w:t>of</w:t>
      </w:r>
      <w:r w:rsidRPr="003474D8">
        <w:t xml:space="preserve"> </w:t>
      </w:r>
      <w:r>
        <w:rPr>
          <w:lang w:val="en-US"/>
        </w:rPr>
        <w:t>crime</w:t>
      </w:r>
      <w:r w:rsidRPr="003474D8">
        <w:t xml:space="preserve"> </w:t>
      </w:r>
      <w:r>
        <w:t>Μάιος 2019</w:t>
      </w:r>
    </w:p>
    <w:p w14:paraId="24A25397" w14:textId="2998DFF5" w:rsidR="003474D8" w:rsidRDefault="00000000" w:rsidP="00E34EC8">
      <w:pPr>
        <w:spacing w:line="276" w:lineRule="auto"/>
      </w:pPr>
      <w:hyperlink r:id="rId4" w:history="1">
        <w:r w:rsidR="003474D8" w:rsidRPr="00552FAF">
          <w:rPr>
            <w:rStyle w:val="-"/>
          </w:rPr>
          <w:t>https://theartofcrime.gr/%CF%84%CE%B1-%CE%B4%CE%B9%CE%BA%CE%B1%CE%B9%CF%8E%CE%BC%CE%B1%CF%84%CE%B1-%CF%80%CF%81%CF%8C%CF%83%CE%B2%CE%B1%CF%83%CE%B7%CF%82-%CF%83%CE%B5-%CF%83%CF%85%CE%BD%CE%AE%CE%B3%CE%BF%CF%81%CE%BF-%CE%BA/</w:t>
        </w:r>
      </w:hyperlink>
    </w:p>
    <w:p w14:paraId="4F0EF0B9" w14:textId="675F2540" w:rsidR="003474D8" w:rsidRDefault="003474D8" w:rsidP="00E34EC8">
      <w:pPr>
        <w:spacing w:line="276" w:lineRule="auto"/>
      </w:pPr>
      <w:r>
        <w:rPr>
          <w:b/>
          <w:i/>
        </w:rPr>
        <w:t>Βούλγαρης</w:t>
      </w:r>
      <w:r w:rsidR="00E34EC8">
        <w:rPr>
          <w:b/>
          <w:i/>
        </w:rPr>
        <w:t xml:space="preserve"> Δ.</w:t>
      </w:r>
      <w:r>
        <w:rPr>
          <w:b/>
          <w:i/>
        </w:rPr>
        <w:t xml:space="preserve">, </w:t>
      </w:r>
      <w:r>
        <w:t>Ο θεσμός της «νομικής βοήθειας» (</w:t>
      </w:r>
      <w:r>
        <w:rPr>
          <w:lang w:val="en-US"/>
        </w:rPr>
        <w:t>legal</w:t>
      </w:r>
      <w:r w:rsidRPr="000760A6">
        <w:t xml:space="preserve"> </w:t>
      </w:r>
      <w:r>
        <w:rPr>
          <w:lang w:val="en-US"/>
        </w:rPr>
        <w:t>aid</w:t>
      </w:r>
      <w:r w:rsidRPr="000760A6">
        <w:t xml:space="preserve">) </w:t>
      </w:r>
      <w:r>
        <w:t>κατά την ελληνική και ευρωενωσιακή δικαιοταξία, ΠοινΧρ ΞΣΤ’, 567 επ</w:t>
      </w:r>
    </w:p>
    <w:p w14:paraId="05769211" w14:textId="42987118" w:rsidR="003124CD" w:rsidRPr="003124CD" w:rsidRDefault="00B04F18" w:rsidP="00E34EC8">
      <w:pPr>
        <w:spacing w:line="276" w:lineRule="auto"/>
        <w:rPr>
          <w:bCs/>
          <w:iCs/>
        </w:rPr>
      </w:pPr>
      <w:r w:rsidRPr="003124CD">
        <w:rPr>
          <w:b/>
          <w:i/>
        </w:rPr>
        <w:t>Γιαννουλόπουλος Δ.,</w:t>
      </w:r>
      <w:r w:rsidRPr="003124CD">
        <w:rPr>
          <w:bCs/>
          <w:i/>
        </w:rPr>
        <w:t xml:space="preserve"> </w:t>
      </w:r>
      <w:r w:rsidRPr="003124CD">
        <w:rPr>
          <w:bCs/>
          <w:iCs/>
        </w:rPr>
        <w:t xml:space="preserve"> </w:t>
      </w:r>
      <w:r w:rsidR="003124CD" w:rsidRPr="003124CD">
        <w:rPr>
          <w:bCs/>
          <w:iCs/>
        </w:rPr>
        <w:t>Το δικαίωμα συνηγόρου στην αστυνομική προανάκριση ως</w:t>
      </w:r>
    </w:p>
    <w:p w14:paraId="6FD53098" w14:textId="5A3CBBC5" w:rsidR="003124CD" w:rsidRPr="003124CD" w:rsidRDefault="003124CD" w:rsidP="00E34EC8">
      <w:pPr>
        <w:spacing w:line="276" w:lineRule="auto"/>
        <w:rPr>
          <w:bCs/>
          <w:iCs/>
        </w:rPr>
      </w:pPr>
      <w:r w:rsidRPr="003124CD">
        <w:rPr>
          <w:bCs/>
          <w:iCs/>
        </w:rPr>
        <w:t>κατεξοχήν έκφανση του κοσμοπολίτικου δικαίου, σε: 7ο Συνέδριο Ένωσης Ελλήνων Ποινικολόγων, με θέμα: “Το δικαίωμα υπερασπίσεως στην ποινική δίκη, όψεις και όρια”, εκδόσεις Νομική Βιβλιοθήκη, 2017, σελ. 51 επ.</w:t>
      </w:r>
    </w:p>
    <w:p w14:paraId="0E059C14" w14:textId="77777777" w:rsidR="00E34EC8" w:rsidRPr="007A7CB1" w:rsidRDefault="00E34EC8" w:rsidP="00E34EC8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E34EC8">
        <w:rPr>
          <w:rFonts w:ascii="Times New Roman" w:hAnsi="Times New Roman" w:cs="Times New Roman"/>
          <w:b/>
          <w:bCs/>
          <w:i/>
        </w:rPr>
        <w:t>Μπρούπης Ι</w:t>
      </w:r>
      <w:r w:rsidRPr="00E34EC8">
        <w:rPr>
          <w:rFonts w:ascii="Times New Roman" w:hAnsi="Times New Roman" w:cs="Times New Roman"/>
          <w:b/>
          <w:bCs/>
        </w:rPr>
        <w:t xml:space="preserve">., </w:t>
      </w:r>
      <w:r w:rsidRPr="007A7CB1">
        <w:rPr>
          <w:rFonts w:ascii="Times New Roman" w:hAnsi="Times New Roman" w:cs="Times New Roman"/>
        </w:rPr>
        <w:t xml:space="preserve">Παρατηρήσεις σε Υπόθεση </w:t>
      </w:r>
      <w:r w:rsidRPr="007A7CB1">
        <w:rPr>
          <w:rFonts w:ascii="Times New Roman" w:hAnsi="Times New Roman" w:cs="Times New Roman"/>
          <w:lang w:val="en-US"/>
        </w:rPr>
        <w:t>Ibrahim</w:t>
      </w:r>
      <w:r w:rsidRPr="00B534F8">
        <w:rPr>
          <w:rFonts w:ascii="Times New Roman" w:hAnsi="Times New Roman" w:cs="Times New Roman"/>
        </w:rPr>
        <w:t xml:space="preserve"> </w:t>
      </w:r>
      <w:r w:rsidRPr="007A7CB1">
        <w:rPr>
          <w:rFonts w:ascii="Times New Roman" w:hAnsi="Times New Roman" w:cs="Times New Roman"/>
        </w:rPr>
        <w:t>και λοιποί κατά Ηνωμένου Βασιλείου της 13</w:t>
      </w:r>
      <w:r w:rsidRPr="007A7CB1">
        <w:rPr>
          <w:rFonts w:ascii="Times New Roman" w:hAnsi="Times New Roman" w:cs="Times New Roman"/>
          <w:vertAlign w:val="superscript"/>
        </w:rPr>
        <w:t>ης</w:t>
      </w:r>
      <w:r w:rsidRPr="007A7CB1">
        <w:rPr>
          <w:rFonts w:ascii="Times New Roman" w:hAnsi="Times New Roman" w:cs="Times New Roman"/>
        </w:rPr>
        <w:t xml:space="preserve"> Σεπτεμβρί</w:t>
      </w:r>
      <w:r>
        <w:rPr>
          <w:rFonts w:ascii="Times New Roman" w:hAnsi="Times New Roman" w:cs="Times New Roman"/>
        </w:rPr>
        <w:t>ου 2016, ΠοινΧρ 2018 σ. 246 επ</w:t>
      </w:r>
      <w:r w:rsidRPr="007A7CB1">
        <w:rPr>
          <w:rFonts w:ascii="Times New Roman" w:hAnsi="Times New Roman" w:cs="Times New Roman"/>
        </w:rPr>
        <w:t xml:space="preserve">. </w:t>
      </w:r>
    </w:p>
    <w:p w14:paraId="1A72185A" w14:textId="77777777" w:rsidR="00E34EC8" w:rsidRDefault="00E34EC8" w:rsidP="00E34EC8">
      <w:pPr>
        <w:tabs>
          <w:tab w:val="left" w:pos="900"/>
        </w:tabs>
        <w:spacing w:line="276" w:lineRule="auto"/>
      </w:pPr>
      <w:r w:rsidRPr="00E34EC8">
        <w:rPr>
          <w:b/>
          <w:bCs/>
          <w:i/>
        </w:rPr>
        <w:t>Σορβατζιώτη Δ.</w:t>
      </w:r>
      <w:r w:rsidRPr="00E34EC8">
        <w:rPr>
          <w:b/>
          <w:bCs/>
        </w:rPr>
        <w:t>,</w:t>
      </w:r>
      <w:r w:rsidRPr="00E34EC8">
        <w:t xml:space="preserve"> Το δικαίωμα στη Δίκαιη Δίκη και η διασφάλισή του δια της Νομικής Αρωγής Συγκριτική Νομολογιακή Προσέγγιση, ΠοινΔικ 2016, σ. 1001 επ.</w:t>
      </w:r>
    </w:p>
    <w:p w14:paraId="2B349641" w14:textId="5D49F442" w:rsidR="003474D8" w:rsidRDefault="003474D8" w:rsidP="00E34EC8">
      <w:pPr>
        <w:spacing w:line="276" w:lineRule="auto"/>
      </w:pPr>
      <w:r>
        <w:rPr>
          <w:b/>
          <w:i/>
        </w:rPr>
        <w:t>Συμεωνίδου – Καστανίδου</w:t>
      </w:r>
      <w:r w:rsidR="00E34EC8">
        <w:rPr>
          <w:b/>
          <w:i/>
        </w:rPr>
        <w:t xml:space="preserve"> Ε.</w:t>
      </w:r>
      <w:r>
        <w:rPr>
          <w:b/>
          <w:i/>
        </w:rPr>
        <w:t xml:space="preserve">, </w:t>
      </w:r>
      <w:r>
        <w:t>Το δικαίωμα πρόσβασης σε δικηγόρο κατά την ποινική διαδικασία. Η Πρόταση Οδηγίας 2011/326 του Συμβουλίου και του Ευρωπαϊκού Κοινοβουλίου, ΠοινΔικ 2012, 766 επ.</w:t>
      </w:r>
    </w:p>
    <w:p w14:paraId="7A3BA7B9" w14:textId="50FCDF12" w:rsidR="003124CD" w:rsidRDefault="003124CD" w:rsidP="00E34EC8">
      <w:pPr>
        <w:spacing w:line="276" w:lineRule="auto"/>
      </w:pPr>
      <w:r w:rsidRPr="00E34EC8">
        <w:rPr>
          <w:b/>
          <w:bCs/>
          <w:i/>
          <w:iCs/>
        </w:rPr>
        <w:t>Χειρδάρης Β.,</w:t>
      </w:r>
      <w:r>
        <w:t xml:space="preserve"> “Το δικαίωμα δωρεάν νομικής συνδρομής και διορισμού συνηγόρου στη νομολογία του Στρασβούργου, η υπεράσπιση των οικονομικώς αδυνάτων”, σε: 7ο Συνέδριο Ένωσης Ελλήνων Ποινικολόγων, με θέμα: “Το δικαίωμα υπερασπίσεως στην ποινική δίκη, όψεις και όρια”, εκδόσεις Νομική Βιβλιοθήκη, 2017, σελ. 231 επ.</w:t>
      </w:r>
    </w:p>
    <w:p w14:paraId="11E084E3" w14:textId="77777777" w:rsidR="003474D8" w:rsidRDefault="003474D8" w:rsidP="00E34EC8">
      <w:pPr>
        <w:spacing w:line="276" w:lineRule="auto"/>
      </w:pPr>
    </w:p>
    <w:p w14:paraId="7271FB17" w14:textId="1C2B4B1F" w:rsidR="003474D8" w:rsidRPr="00CA72A9" w:rsidRDefault="003474D8" w:rsidP="00E34EC8">
      <w:pPr>
        <w:spacing w:line="276" w:lineRule="auto"/>
        <w:rPr>
          <w:b/>
          <w:bCs/>
        </w:rPr>
      </w:pPr>
      <w:r w:rsidRPr="003474D8">
        <w:rPr>
          <w:b/>
          <w:bCs/>
        </w:rPr>
        <w:t>ΝΟΜΟΛΟΓΙΑ ΕΔΔΑ</w:t>
      </w:r>
    </w:p>
    <w:p w14:paraId="761DE92D" w14:textId="0556703E" w:rsidR="009E2516" w:rsidRPr="00CA72A9" w:rsidRDefault="009E2516" w:rsidP="00E34EC8">
      <w:pPr>
        <w:spacing w:line="276" w:lineRule="auto"/>
        <w:rPr>
          <w:lang w:val="en-US"/>
        </w:rPr>
      </w:pPr>
      <w:r w:rsidRPr="009E2516">
        <w:rPr>
          <w:lang w:val="en-US"/>
        </w:rPr>
        <w:t>SALDUZ</w:t>
      </w:r>
      <w:r w:rsidRPr="009E2516">
        <w:t xml:space="preserve"> </w:t>
      </w:r>
      <w:r w:rsidRPr="009E2516">
        <w:rPr>
          <w:lang w:val="en-US"/>
        </w:rPr>
        <w:t>v</w:t>
      </w:r>
      <w:r w:rsidRPr="009E2516">
        <w:t xml:space="preserve">. </w:t>
      </w:r>
      <w:r w:rsidRPr="009E2516">
        <w:rPr>
          <w:lang w:val="en-US"/>
        </w:rPr>
        <w:t>TURKEY</w:t>
      </w:r>
      <w:r w:rsidRPr="009E2516">
        <w:t xml:space="preserve"> (Τμ. Ευραίας</w:t>
      </w:r>
      <w:r w:rsidRPr="00CA72A9">
        <w:rPr>
          <w:lang w:val="en-US"/>
        </w:rPr>
        <w:t xml:space="preserve"> </w:t>
      </w:r>
      <w:r w:rsidRPr="009E2516">
        <w:t>συνθέσεως</w:t>
      </w:r>
      <w:r w:rsidRPr="00CA72A9">
        <w:rPr>
          <w:lang w:val="en-US"/>
        </w:rPr>
        <w:t xml:space="preserve">) </w:t>
      </w:r>
      <w:r w:rsidRPr="009E2516">
        <w:t>της</w:t>
      </w:r>
      <w:r w:rsidRPr="00CA72A9">
        <w:rPr>
          <w:lang w:val="en-US"/>
        </w:rPr>
        <w:t xml:space="preserve"> 27.11.2008 </w:t>
      </w:r>
    </w:p>
    <w:p w14:paraId="68F33667" w14:textId="7CB76A85" w:rsidR="009E2516" w:rsidRDefault="009E2516" w:rsidP="00E34EC8">
      <w:pPr>
        <w:spacing w:line="276" w:lineRule="auto"/>
      </w:pPr>
      <w:r w:rsidRPr="009E2516">
        <w:rPr>
          <w:lang w:val="en-US"/>
        </w:rPr>
        <w:t>IBRAHIM AND OTHERS v. THE UNITED KINGDOM (</w:t>
      </w:r>
      <w:r w:rsidRPr="009E2516">
        <w:t>Τμ</w:t>
      </w:r>
      <w:r w:rsidRPr="009E2516">
        <w:rPr>
          <w:lang w:val="en-US"/>
        </w:rPr>
        <w:t xml:space="preserve">. </w:t>
      </w:r>
      <w:r w:rsidRPr="009E2516">
        <w:t xml:space="preserve">Ευραίας συνθέσεως) της </w:t>
      </w:r>
      <w:r>
        <w:t>13</w:t>
      </w:r>
      <w:r w:rsidRPr="009E2516">
        <w:t>.</w:t>
      </w:r>
      <w:r>
        <w:t>9</w:t>
      </w:r>
      <w:r w:rsidRPr="009E2516">
        <w:t>.20</w:t>
      </w:r>
      <w:r>
        <w:t>16</w:t>
      </w:r>
      <w:r w:rsidRPr="009E2516">
        <w:t xml:space="preserve"> </w:t>
      </w:r>
    </w:p>
    <w:p w14:paraId="443C753C" w14:textId="14A94E32" w:rsidR="009E2516" w:rsidRDefault="009E2516" w:rsidP="00E34EC8">
      <w:pPr>
        <w:spacing w:line="276" w:lineRule="auto"/>
      </w:pPr>
      <w:r w:rsidRPr="009E2516">
        <w:t>SIMEONOVI v. BULGARIA</w:t>
      </w:r>
      <w:r>
        <w:t xml:space="preserve"> </w:t>
      </w:r>
      <w:r w:rsidRPr="009E2516">
        <w:t xml:space="preserve">(Τμ. Ευραίας συνθέσεως) της </w:t>
      </w:r>
      <w:r>
        <w:t>12</w:t>
      </w:r>
      <w:r w:rsidRPr="009E2516">
        <w:t>.</w:t>
      </w:r>
      <w:r>
        <w:t>5</w:t>
      </w:r>
      <w:r w:rsidRPr="009E2516">
        <w:t>.20</w:t>
      </w:r>
      <w:r>
        <w:t>17</w:t>
      </w:r>
    </w:p>
    <w:p w14:paraId="5D33AE7F" w14:textId="1BF1CB5B" w:rsidR="009E2516" w:rsidRDefault="009E2516" w:rsidP="00E34EC8">
      <w:pPr>
        <w:spacing w:line="276" w:lineRule="auto"/>
      </w:pPr>
      <w:r w:rsidRPr="009E2516">
        <w:t>BEUZE v. BELGIUM</w:t>
      </w:r>
      <w:r>
        <w:t xml:space="preserve"> </w:t>
      </w:r>
      <w:r w:rsidRPr="009E2516">
        <w:t xml:space="preserve">(Τμ. Ευραίας συνθέσεως) της </w:t>
      </w:r>
      <w:r>
        <w:t>9</w:t>
      </w:r>
      <w:r w:rsidRPr="009E2516">
        <w:t>.</w:t>
      </w:r>
      <w:r>
        <w:t>11.</w:t>
      </w:r>
      <w:r w:rsidRPr="009E2516">
        <w:t>20</w:t>
      </w:r>
      <w:r>
        <w:t>18</w:t>
      </w:r>
    </w:p>
    <w:p w14:paraId="448047E0" w14:textId="557B0EE5" w:rsidR="009E2516" w:rsidRPr="009E2516" w:rsidRDefault="009E2516" w:rsidP="00E34EC8">
      <w:pPr>
        <w:spacing w:line="276" w:lineRule="auto"/>
      </w:pPr>
    </w:p>
    <w:sectPr w:rsidR="009E2516" w:rsidRPr="009E25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D8"/>
    <w:rsid w:val="001F4B72"/>
    <w:rsid w:val="003124CD"/>
    <w:rsid w:val="003474D8"/>
    <w:rsid w:val="003737AE"/>
    <w:rsid w:val="00910B4E"/>
    <w:rsid w:val="009E2516"/>
    <w:rsid w:val="00B04F18"/>
    <w:rsid w:val="00CA72A9"/>
    <w:rsid w:val="00E34EC8"/>
    <w:rsid w:val="00E97E4D"/>
    <w:rsid w:val="00EC097E"/>
    <w:rsid w:val="00E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9A3E"/>
  <w15:chartTrackingRefBased/>
  <w15:docId w15:val="{559F9576-726C-4453-B7F5-11C4FFA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74D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474D8"/>
    <w:rPr>
      <w:color w:val="605E5C"/>
      <w:shd w:val="clear" w:color="auto" w:fill="E1DFDD"/>
    </w:rPr>
  </w:style>
  <w:style w:type="paragraph" w:styleId="a4">
    <w:name w:val="footnote text"/>
    <w:basedOn w:val="a"/>
    <w:link w:val="Char"/>
    <w:uiPriority w:val="99"/>
    <w:unhideWhenUsed/>
    <w:rsid w:val="00E34EC8"/>
    <w:pPr>
      <w:spacing w:line="240" w:lineRule="auto"/>
      <w:jc w:val="left"/>
    </w:pPr>
    <w:rPr>
      <w:rFonts w:asciiTheme="minorHAnsi" w:hAnsiTheme="minorHAnsi" w:cstheme="minorBidi"/>
      <w:kern w:val="0"/>
      <w:lang w:eastAsia="en-US"/>
      <w14:ligatures w14:val="none"/>
    </w:rPr>
  </w:style>
  <w:style w:type="character" w:customStyle="1" w:styleId="Char">
    <w:name w:val="Κείμενο υποσημείωσης Char"/>
    <w:basedOn w:val="a0"/>
    <w:link w:val="a4"/>
    <w:uiPriority w:val="99"/>
    <w:rsid w:val="00E34EC8"/>
    <w:rPr>
      <w:rFonts w:asciiTheme="minorHAnsi" w:hAnsiTheme="minorHAnsi" w:cstheme="minorBid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artofcrime.gr/%CF%84%CE%B1-%CE%B4%CE%B9%CE%BA%CE%B1%CE%B9%CF%8E%CE%BC%CE%B1%CF%84%CE%B1-%CF%80%CF%81%CF%8C%CF%83%CE%B2%CE%B1%CF%83%CE%B7%CF%82-%CF%83%CE%B5-%CF%83%CF%85%CE%BD%CE%AE%CE%B3%CE%BF%CF%81%CE%BF-%CE%B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Dimakis</dc:creator>
  <cp:keywords/>
  <dc:description/>
  <cp:lastModifiedBy>Alexandros Dimakis</cp:lastModifiedBy>
  <cp:revision>3</cp:revision>
  <dcterms:created xsi:type="dcterms:W3CDTF">2024-03-13T14:02:00Z</dcterms:created>
  <dcterms:modified xsi:type="dcterms:W3CDTF">2024-03-13T14:02:00Z</dcterms:modified>
</cp:coreProperties>
</file>