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72C9" w14:textId="4F737E7B" w:rsidR="006A05DC" w:rsidRDefault="006A05DC" w:rsidP="00E72ECE">
      <w:pPr>
        <w:spacing w:before="120" w:after="120" w:line="360" w:lineRule="auto"/>
        <w:jc w:val="center"/>
        <w:rPr>
          <w:rFonts w:eastAsia="Calibri"/>
        </w:rPr>
      </w:pPr>
      <w:r w:rsidRPr="0045145A">
        <w:rPr>
          <w:rFonts w:eastAsia="Calibri"/>
          <w:noProof/>
          <w:lang w:eastAsia="el-GR"/>
        </w:rPr>
        <w:drawing>
          <wp:inline distT="0" distB="0" distL="0" distR="0" wp14:anchorId="54A176F8" wp14:editId="6DFE63B4">
            <wp:extent cx="3420073" cy="992432"/>
            <wp:effectExtent l="0" t="0" r="0" b="0"/>
            <wp:docPr id="368920980" name="Εικόνα 1" descr="ΕΚΠΑ: ΤΕΦΑΑ - Έμβλημα ΕΚΠΑ-ΣΕΦΑΑ-ΤΕΦΑ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ΠΑ: ΤΕΦΑΑ - Έμβλημα ΕΚΠΑ-ΣΕΦΑΑ-ΤΕΦΑ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0672" cy="1018722"/>
                    </a:xfrm>
                    <a:prstGeom prst="rect">
                      <a:avLst/>
                    </a:prstGeom>
                    <a:noFill/>
                    <a:ln>
                      <a:noFill/>
                    </a:ln>
                  </pic:spPr>
                </pic:pic>
              </a:graphicData>
            </a:graphic>
          </wp:inline>
        </w:drawing>
      </w:r>
    </w:p>
    <w:p w14:paraId="47E6CA74" w14:textId="77777777" w:rsidR="006A05DC" w:rsidRDefault="006A05DC" w:rsidP="00E72ECE">
      <w:pPr>
        <w:spacing w:before="120" w:after="120" w:line="360" w:lineRule="auto"/>
        <w:jc w:val="center"/>
        <w:rPr>
          <w:rFonts w:eastAsia="Calibri"/>
        </w:rPr>
      </w:pPr>
    </w:p>
    <w:p w14:paraId="702360E9" w14:textId="4231A2C7" w:rsidR="006A05DC" w:rsidRDefault="006A05DC" w:rsidP="00E72ECE">
      <w:pPr>
        <w:spacing w:before="120" w:after="120" w:line="360" w:lineRule="auto"/>
        <w:rPr>
          <w:rFonts w:eastAsia="Calibri"/>
        </w:rPr>
      </w:pPr>
    </w:p>
    <w:p w14:paraId="60E6A4CA" w14:textId="77777777" w:rsidR="006A05DC" w:rsidRDefault="006A05DC" w:rsidP="00E72ECE">
      <w:pPr>
        <w:spacing w:before="120" w:after="120" w:line="360" w:lineRule="auto"/>
        <w:jc w:val="center"/>
        <w:rPr>
          <w:rFonts w:eastAsia="Calibri"/>
        </w:rPr>
      </w:pPr>
    </w:p>
    <w:p w14:paraId="19A0F694" w14:textId="77777777" w:rsidR="006A05DC" w:rsidRDefault="006A05DC" w:rsidP="00E72ECE">
      <w:pPr>
        <w:spacing w:before="120" w:after="120" w:line="360" w:lineRule="auto"/>
        <w:jc w:val="center"/>
        <w:rPr>
          <w:rFonts w:eastAsia="Calibri"/>
        </w:rPr>
      </w:pPr>
    </w:p>
    <w:p w14:paraId="252F47CA" w14:textId="349BCD83" w:rsidR="006A05DC" w:rsidRPr="006A05DC" w:rsidRDefault="006A05DC" w:rsidP="00E72ECE">
      <w:pPr>
        <w:spacing w:before="120" w:after="120" w:line="240" w:lineRule="auto"/>
        <w:jc w:val="center"/>
        <w:rPr>
          <w:rFonts w:eastAsia="Calibri"/>
          <w:b/>
          <w:bCs/>
          <w:i/>
          <w:iCs/>
          <w:spacing w:val="20"/>
          <w:sz w:val="32"/>
          <w:szCs w:val="32"/>
        </w:rPr>
      </w:pPr>
      <w:r w:rsidRPr="006A05DC">
        <w:rPr>
          <w:rFonts w:eastAsia="Calibri"/>
          <w:b/>
          <w:bCs/>
          <w:i/>
          <w:iCs/>
          <w:spacing w:val="20"/>
          <w:sz w:val="32"/>
          <w:szCs w:val="32"/>
        </w:rPr>
        <w:t xml:space="preserve">Το δικαίωμα αποτελεσματικής προσφυγής </w:t>
      </w:r>
      <w:r w:rsidR="00153573">
        <w:rPr>
          <w:rFonts w:eastAsia="Calibri"/>
          <w:b/>
          <w:bCs/>
          <w:i/>
          <w:iCs/>
          <w:spacing w:val="20"/>
          <w:sz w:val="32"/>
          <w:szCs w:val="32"/>
        </w:rPr>
        <w:t>κατά το άρθρο 13 της ΕΣΔΑ</w:t>
      </w:r>
    </w:p>
    <w:p w14:paraId="70459C82" w14:textId="77777777" w:rsidR="006A05DC" w:rsidRDefault="006A05DC" w:rsidP="00E72ECE">
      <w:pPr>
        <w:spacing w:before="120" w:after="120" w:line="240" w:lineRule="auto"/>
        <w:jc w:val="center"/>
        <w:rPr>
          <w:rFonts w:eastAsia="Calibri"/>
        </w:rPr>
      </w:pPr>
    </w:p>
    <w:p w14:paraId="6FC141CB" w14:textId="77777777" w:rsidR="006A05DC" w:rsidRDefault="006A05DC" w:rsidP="00E72ECE">
      <w:pPr>
        <w:spacing w:before="120" w:after="120" w:line="240" w:lineRule="auto"/>
        <w:jc w:val="center"/>
        <w:rPr>
          <w:rFonts w:eastAsia="Calibri"/>
        </w:rPr>
      </w:pPr>
    </w:p>
    <w:p w14:paraId="6A2EC292" w14:textId="77777777" w:rsidR="006A05DC" w:rsidRDefault="006A05DC" w:rsidP="00E72ECE">
      <w:pPr>
        <w:spacing w:before="120" w:after="120" w:line="240" w:lineRule="auto"/>
        <w:jc w:val="center"/>
        <w:rPr>
          <w:rFonts w:eastAsia="Calibri"/>
        </w:rPr>
      </w:pPr>
    </w:p>
    <w:p w14:paraId="44FB9800" w14:textId="7E090002" w:rsidR="006A05DC" w:rsidRDefault="006A05DC" w:rsidP="00E72ECE">
      <w:pPr>
        <w:spacing w:before="120" w:after="120" w:line="240" w:lineRule="auto"/>
        <w:jc w:val="center"/>
        <w:rPr>
          <w:rFonts w:eastAsia="Calibri"/>
        </w:rPr>
      </w:pPr>
    </w:p>
    <w:p w14:paraId="3A524A4F" w14:textId="01F97CAA" w:rsidR="00AC13A2" w:rsidRDefault="00AC13A2" w:rsidP="00E72ECE">
      <w:pPr>
        <w:spacing w:before="120" w:after="120" w:line="240" w:lineRule="auto"/>
        <w:jc w:val="center"/>
        <w:rPr>
          <w:rFonts w:eastAsia="Calibri"/>
        </w:rPr>
      </w:pPr>
    </w:p>
    <w:p w14:paraId="5B302F91" w14:textId="77777777" w:rsidR="00AC13A2" w:rsidRDefault="00AC13A2" w:rsidP="00E72ECE">
      <w:pPr>
        <w:spacing w:before="120" w:after="120" w:line="240" w:lineRule="auto"/>
        <w:jc w:val="center"/>
        <w:rPr>
          <w:rFonts w:eastAsia="Calibri"/>
        </w:rPr>
      </w:pPr>
    </w:p>
    <w:p w14:paraId="08D06582" w14:textId="77777777" w:rsidR="009329F4" w:rsidRDefault="009329F4" w:rsidP="00E72ECE">
      <w:pPr>
        <w:spacing w:before="120" w:after="120" w:line="240" w:lineRule="auto"/>
        <w:jc w:val="center"/>
        <w:rPr>
          <w:rFonts w:eastAsia="Calibri"/>
        </w:rPr>
      </w:pPr>
    </w:p>
    <w:p w14:paraId="1D5551A2" w14:textId="01893C06" w:rsidR="006A05DC" w:rsidRPr="0045145A" w:rsidRDefault="006A05DC" w:rsidP="00E72ECE">
      <w:pPr>
        <w:spacing w:before="120" w:after="120" w:line="240" w:lineRule="auto"/>
        <w:jc w:val="center"/>
        <w:rPr>
          <w:rFonts w:eastAsia="Calibri"/>
        </w:rPr>
      </w:pPr>
      <w:r w:rsidRPr="0045145A">
        <w:rPr>
          <w:rFonts w:eastAsia="Calibri"/>
        </w:rPr>
        <w:t>ΝΟΜΙΚΗ ΣΧΟΛΗ ΑΘΗΝΩΝ</w:t>
      </w:r>
    </w:p>
    <w:p w14:paraId="6D296ED1" w14:textId="77777777" w:rsidR="006A05DC" w:rsidRPr="0045145A" w:rsidRDefault="006A05DC" w:rsidP="00E72ECE">
      <w:pPr>
        <w:spacing w:before="120" w:after="120" w:line="240" w:lineRule="auto"/>
        <w:jc w:val="center"/>
        <w:rPr>
          <w:rFonts w:eastAsia="Calibri"/>
        </w:rPr>
      </w:pPr>
      <w:r w:rsidRPr="0045145A">
        <w:rPr>
          <w:rFonts w:eastAsia="Calibri"/>
        </w:rPr>
        <w:t>Π.Μ.Σ: ΠΟΙΝΙΚΩΝ ΕΠΙΣΤΗΜΩΝ</w:t>
      </w:r>
    </w:p>
    <w:p w14:paraId="698D4641" w14:textId="77777777" w:rsidR="006A05DC" w:rsidRPr="0045145A" w:rsidRDefault="006A05DC" w:rsidP="00E72ECE">
      <w:pPr>
        <w:spacing w:before="120" w:after="120" w:line="240" w:lineRule="auto"/>
        <w:jc w:val="center"/>
        <w:rPr>
          <w:rFonts w:eastAsia="Calibri"/>
        </w:rPr>
      </w:pPr>
      <w:r w:rsidRPr="0045145A">
        <w:rPr>
          <w:rFonts w:eastAsia="Calibri"/>
        </w:rPr>
        <w:t>ΕΙΔΙΚΕΥΣΗ: ΠΟΙΝΙΚΟ ΔΙΚΑΙΟ ΚΑΙ ΠΟΙΝΙΚΗ ΔΙΚΟΝΟΜΙΑ</w:t>
      </w:r>
    </w:p>
    <w:p w14:paraId="6BCD0F0A" w14:textId="25A231EA" w:rsidR="006A05DC" w:rsidRPr="0045145A" w:rsidRDefault="006A05DC" w:rsidP="00E72ECE">
      <w:pPr>
        <w:spacing w:before="120" w:after="120" w:line="240" w:lineRule="auto"/>
        <w:jc w:val="center"/>
        <w:rPr>
          <w:rFonts w:eastAsia="Calibri"/>
        </w:rPr>
      </w:pPr>
      <w:r w:rsidRPr="0045145A">
        <w:rPr>
          <w:rFonts w:eastAsia="Calibri"/>
        </w:rPr>
        <w:t xml:space="preserve">ΜΑΘΗΜΑ: </w:t>
      </w:r>
      <w:r w:rsidR="00AD3E88">
        <w:rPr>
          <w:rFonts w:eastAsia="Calibri"/>
        </w:rPr>
        <w:t>ΠΟΙΝΙΚΗ ΔΙΚΟΝΟΜΙΑ ΚΑΙ ΕΣΔΑ</w:t>
      </w:r>
    </w:p>
    <w:p w14:paraId="34C6F443" w14:textId="77777777" w:rsidR="006A05DC" w:rsidRPr="0045145A" w:rsidRDefault="006A05DC" w:rsidP="00E72ECE">
      <w:pPr>
        <w:spacing w:before="120" w:after="120" w:line="240" w:lineRule="auto"/>
        <w:jc w:val="center"/>
        <w:rPr>
          <w:rFonts w:eastAsia="Calibri"/>
        </w:rPr>
      </w:pPr>
      <w:r w:rsidRPr="0045145A">
        <w:rPr>
          <w:rFonts w:eastAsia="Calibri"/>
        </w:rPr>
        <w:t>ΑΚΑΔΗΜΑΪΚΟ ΕΤΟΣ: 2023-2024</w:t>
      </w:r>
    </w:p>
    <w:p w14:paraId="4F956B1B" w14:textId="5BD6EA5A" w:rsidR="006A05DC" w:rsidRPr="0045145A" w:rsidRDefault="006A05DC" w:rsidP="00E72ECE">
      <w:pPr>
        <w:spacing w:before="120" w:after="120" w:line="240" w:lineRule="auto"/>
        <w:jc w:val="center"/>
        <w:rPr>
          <w:rFonts w:eastAsia="Calibri"/>
        </w:rPr>
      </w:pPr>
      <w:r w:rsidRPr="0045145A">
        <w:rPr>
          <w:rFonts w:eastAsia="Calibri"/>
        </w:rPr>
        <w:t xml:space="preserve">ΔΙΔΑΣΚΟΝΤΕΣ: </w:t>
      </w:r>
      <w:r w:rsidR="00AD3E88">
        <w:rPr>
          <w:rFonts w:eastAsia="Calibri"/>
        </w:rPr>
        <w:t>Α. ΔΗΜΑΚΗΣ – Α. ΤΖΑΝΝΕΤΗΣ</w:t>
      </w:r>
    </w:p>
    <w:p w14:paraId="323AD090" w14:textId="77777777" w:rsidR="006A05DC" w:rsidRPr="0045145A" w:rsidRDefault="006A05DC" w:rsidP="00E72ECE">
      <w:pPr>
        <w:spacing w:before="120" w:after="120" w:line="240" w:lineRule="auto"/>
        <w:jc w:val="center"/>
        <w:rPr>
          <w:rFonts w:eastAsia="Calibri"/>
        </w:rPr>
      </w:pPr>
    </w:p>
    <w:p w14:paraId="5CC15FE8" w14:textId="3026FEF7" w:rsidR="009329F4" w:rsidRDefault="009329F4" w:rsidP="00E72ECE">
      <w:pPr>
        <w:spacing w:before="120" w:after="120" w:line="240" w:lineRule="auto"/>
        <w:jc w:val="center"/>
        <w:rPr>
          <w:rFonts w:eastAsia="Calibri"/>
        </w:rPr>
      </w:pPr>
    </w:p>
    <w:p w14:paraId="63102930" w14:textId="77777777" w:rsidR="00AC13A2" w:rsidRPr="0045145A" w:rsidRDefault="00AC13A2" w:rsidP="00E72ECE">
      <w:pPr>
        <w:spacing w:before="120" w:after="120" w:line="240" w:lineRule="auto"/>
        <w:jc w:val="center"/>
        <w:rPr>
          <w:rFonts w:eastAsia="Calibri"/>
        </w:rPr>
      </w:pPr>
    </w:p>
    <w:p w14:paraId="1CBD45D4" w14:textId="77777777" w:rsidR="006A05DC" w:rsidRPr="0045145A" w:rsidRDefault="006A05DC" w:rsidP="00E72ECE">
      <w:pPr>
        <w:spacing w:before="120" w:after="120" w:line="240" w:lineRule="auto"/>
        <w:jc w:val="center"/>
        <w:rPr>
          <w:rFonts w:eastAsia="Calibri"/>
        </w:rPr>
      </w:pPr>
    </w:p>
    <w:p w14:paraId="242C9316" w14:textId="77777777" w:rsidR="006A05DC" w:rsidRPr="0045145A" w:rsidRDefault="006A05DC" w:rsidP="00E72ECE">
      <w:pPr>
        <w:spacing w:before="120" w:after="120" w:line="240" w:lineRule="auto"/>
        <w:jc w:val="center"/>
        <w:rPr>
          <w:rFonts w:eastAsia="Calibri"/>
          <w:b/>
          <w:bCs/>
        </w:rPr>
      </w:pPr>
      <w:r w:rsidRPr="0045145A">
        <w:rPr>
          <w:rFonts w:eastAsia="Calibri"/>
          <w:b/>
          <w:bCs/>
        </w:rPr>
        <w:t>ΕΠΙΜΕΛΕΙΑ: ΕΛΠΙΝΙΚΗ Λ. ΣΠΥΡΙΔΗ</w:t>
      </w:r>
    </w:p>
    <w:p w14:paraId="5D1367E4" w14:textId="77777777" w:rsidR="006A05DC" w:rsidRPr="0045145A" w:rsidRDefault="006A05DC" w:rsidP="00E72ECE">
      <w:pPr>
        <w:spacing w:before="120" w:after="120" w:line="240" w:lineRule="auto"/>
        <w:jc w:val="center"/>
        <w:rPr>
          <w:rFonts w:eastAsia="Calibri"/>
          <w:b/>
          <w:bCs/>
        </w:rPr>
      </w:pPr>
      <w:r w:rsidRPr="0045145A">
        <w:rPr>
          <w:rFonts w:eastAsia="Calibri"/>
          <w:b/>
          <w:bCs/>
        </w:rPr>
        <w:t>Α.Μ: 7340162301024</w:t>
      </w:r>
    </w:p>
    <w:p w14:paraId="4FD8CCBA" w14:textId="77777777" w:rsidR="00AC13A2" w:rsidRDefault="00AC13A2" w:rsidP="00E72ECE">
      <w:pPr>
        <w:spacing w:before="120" w:after="120" w:line="240" w:lineRule="auto"/>
        <w:jc w:val="center"/>
        <w:rPr>
          <w:rFonts w:eastAsia="Calibri"/>
          <w:b/>
          <w:bCs/>
        </w:rPr>
      </w:pPr>
    </w:p>
    <w:p w14:paraId="7AE6AFA5" w14:textId="629DB527" w:rsidR="00AC13A2" w:rsidRDefault="00AC13A2" w:rsidP="00E72ECE">
      <w:pPr>
        <w:spacing w:before="120" w:after="120" w:line="240" w:lineRule="auto"/>
        <w:jc w:val="center"/>
        <w:rPr>
          <w:rFonts w:eastAsia="Calibri"/>
          <w:b/>
          <w:bCs/>
        </w:rPr>
      </w:pPr>
    </w:p>
    <w:p w14:paraId="573B8417" w14:textId="77777777" w:rsidR="00AC13A2" w:rsidRDefault="00AC13A2" w:rsidP="00E72ECE">
      <w:pPr>
        <w:spacing w:before="120" w:after="120" w:line="240" w:lineRule="auto"/>
        <w:jc w:val="center"/>
        <w:rPr>
          <w:rFonts w:eastAsia="Calibri"/>
          <w:b/>
          <w:bCs/>
        </w:rPr>
      </w:pPr>
    </w:p>
    <w:p w14:paraId="4301F8EF" w14:textId="42CB3082" w:rsidR="00AC13A2" w:rsidRDefault="006A05DC" w:rsidP="00E72ECE">
      <w:pPr>
        <w:spacing w:before="120" w:after="120" w:line="240" w:lineRule="auto"/>
        <w:jc w:val="center"/>
        <w:rPr>
          <w:rFonts w:eastAsia="Calibri"/>
          <w:b/>
          <w:bCs/>
        </w:rPr>
      </w:pPr>
      <w:r w:rsidRPr="0045145A">
        <w:rPr>
          <w:rFonts w:eastAsia="Calibri"/>
          <w:b/>
          <w:bCs/>
        </w:rPr>
        <w:t xml:space="preserve">Αθήνα, </w:t>
      </w:r>
      <w:r w:rsidR="005D26F3">
        <w:rPr>
          <w:rFonts w:eastAsia="Calibri"/>
          <w:b/>
          <w:bCs/>
        </w:rPr>
        <w:t>Μάι</w:t>
      </w:r>
      <w:r>
        <w:rPr>
          <w:rFonts w:eastAsia="Calibri"/>
          <w:b/>
          <w:bCs/>
        </w:rPr>
        <w:t xml:space="preserve">ος </w:t>
      </w:r>
      <w:r w:rsidRPr="0045145A">
        <w:rPr>
          <w:rFonts w:eastAsia="Calibri"/>
          <w:b/>
          <w:bCs/>
        </w:rPr>
        <w:t>2024</w:t>
      </w:r>
    </w:p>
    <w:sdt>
      <w:sdtPr>
        <w:rPr>
          <w:rFonts w:ascii="Times New Roman" w:eastAsiaTheme="minorHAnsi" w:hAnsi="Times New Roman" w:cs="Times New Roman"/>
          <w:color w:val="auto"/>
          <w:kern w:val="2"/>
          <w:sz w:val="24"/>
          <w:szCs w:val="24"/>
          <w:lang w:eastAsia="en-US"/>
          <w14:ligatures w14:val="standardContextual"/>
        </w:rPr>
        <w:id w:val="1971471480"/>
        <w:docPartObj>
          <w:docPartGallery w:val="Table of Contents"/>
          <w:docPartUnique/>
        </w:docPartObj>
      </w:sdtPr>
      <w:sdtEndPr>
        <w:rPr>
          <w:b/>
          <w:bCs/>
        </w:rPr>
      </w:sdtEndPr>
      <w:sdtContent>
        <w:p w14:paraId="031BD611" w14:textId="4B4A43E8" w:rsidR="00C15156" w:rsidRPr="00C15156" w:rsidRDefault="00C15156" w:rsidP="005D26F3">
          <w:pPr>
            <w:pStyle w:val="a8"/>
            <w:spacing w:line="276" w:lineRule="auto"/>
            <w:jc w:val="center"/>
            <w:rPr>
              <w:rFonts w:ascii="Times New Roman" w:hAnsi="Times New Roman" w:cs="Times New Roman"/>
              <w:b/>
              <w:color w:val="auto"/>
              <w:sz w:val="28"/>
              <w:szCs w:val="28"/>
              <w:u w:val="single"/>
            </w:rPr>
          </w:pPr>
          <w:r w:rsidRPr="00C15156">
            <w:rPr>
              <w:rFonts w:ascii="Times New Roman" w:hAnsi="Times New Roman" w:cs="Times New Roman"/>
              <w:b/>
              <w:color w:val="auto"/>
              <w:sz w:val="28"/>
              <w:szCs w:val="28"/>
              <w:u w:val="single"/>
            </w:rPr>
            <w:t>Περιεχόμενα</w:t>
          </w:r>
        </w:p>
        <w:p w14:paraId="61878132" w14:textId="3E0F784D" w:rsidR="00152CB9" w:rsidRDefault="00C15156" w:rsidP="00152CB9">
          <w:pPr>
            <w:pStyle w:val="10"/>
            <w:rPr>
              <w:rFonts w:asciiTheme="minorHAnsi" w:eastAsiaTheme="minorEastAsia" w:hAnsiTheme="minorHAnsi" w:cstheme="minorBidi"/>
              <w:noProof/>
              <w:kern w:val="0"/>
              <w:lang w:eastAsia="el-GR"/>
              <w14:ligatures w14:val="none"/>
            </w:rPr>
          </w:pPr>
          <w:r>
            <w:fldChar w:fldCharType="begin"/>
          </w:r>
          <w:r>
            <w:instrText xml:space="preserve"> TOC \o "1-3" \h \z \u </w:instrText>
          </w:r>
          <w:r>
            <w:fldChar w:fldCharType="separate"/>
          </w:r>
          <w:hyperlink w:anchor="_Toc166060913" w:history="1">
            <w:r w:rsidR="00152CB9" w:rsidRPr="002E3B9B">
              <w:rPr>
                <w:rStyle w:val="-"/>
                <w:noProof/>
              </w:rPr>
              <w:t>Α. Εισαγωγή – Η επικουρική προστασία του ΕΔΔΑ</w:t>
            </w:r>
            <w:r w:rsidR="00152CB9">
              <w:rPr>
                <w:noProof/>
                <w:webHidden/>
              </w:rPr>
              <w:tab/>
            </w:r>
            <w:r w:rsidR="00152CB9">
              <w:rPr>
                <w:noProof/>
                <w:webHidden/>
              </w:rPr>
              <w:fldChar w:fldCharType="begin"/>
            </w:r>
            <w:r w:rsidR="00152CB9">
              <w:rPr>
                <w:noProof/>
                <w:webHidden/>
              </w:rPr>
              <w:instrText xml:space="preserve"> PAGEREF _Toc166060913 \h </w:instrText>
            </w:r>
            <w:r w:rsidR="00152CB9">
              <w:rPr>
                <w:noProof/>
                <w:webHidden/>
              </w:rPr>
            </w:r>
            <w:r w:rsidR="00152CB9">
              <w:rPr>
                <w:noProof/>
                <w:webHidden/>
              </w:rPr>
              <w:fldChar w:fldCharType="separate"/>
            </w:r>
            <w:r w:rsidR="00152CB9">
              <w:rPr>
                <w:noProof/>
                <w:webHidden/>
              </w:rPr>
              <w:t>3</w:t>
            </w:r>
            <w:r w:rsidR="00152CB9">
              <w:rPr>
                <w:noProof/>
                <w:webHidden/>
              </w:rPr>
              <w:fldChar w:fldCharType="end"/>
            </w:r>
          </w:hyperlink>
        </w:p>
        <w:p w14:paraId="267458F8" w14:textId="010AAA81" w:rsidR="00152CB9" w:rsidRDefault="00000000" w:rsidP="00152CB9">
          <w:pPr>
            <w:pStyle w:val="10"/>
            <w:rPr>
              <w:rFonts w:asciiTheme="minorHAnsi" w:eastAsiaTheme="minorEastAsia" w:hAnsiTheme="minorHAnsi" w:cstheme="minorBidi"/>
              <w:noProof/>
              <w:kern w:val="0"/>
              <w:lang w:eastAsia="el-GR"/>
              <w14:ligatures w14:val="none"/>
            </w:rPr>
          </w:pPr>
          <w:hyperlink w:anchor="_Toc166060914" w:history="1">
            <w:r w:rsidR="00152CB9" w:rsidRPr="002E3B9B">
              <w:rPr>
                <w:rStyle w:val="-"/>
                <w:noProof/>
              </w:rPr>
              <w:t>Β. Το δικαίωμα πραγματικής προσφυγής στο ΕΔΔΑ, κατά το άρθρο 13 της ΕΣΔΑ, και οι προϋποθέσεις εφαρμογής του</w:t>
            </w:r>
            <w:r w:rsidR="00152CB9">
              <w:rPr>
                <w:noProof/>
                <w:webHidden/>
              </w:rPr>
              <w:tab/>
            </w:r>
            <w:r w:rsidR="00152CB9">
              <w:rPr>
                <w:noProof/>
                <w:webHidden/>
              </w:rPr>
              <w:fldChar w:fldCharType="begin"/>
            </w:r>
            <w:r w:rsidR="00152CB9">
              <w:rPr>
                <w:noProof/>
                <w:webHidden/>
              </w:rPr>
              <w:instrText xml:space="preserve"> PAGEREF _Toc166060914 \h </w:instrText>
            </w:r>
            <w:r w:rsidR="00152CB9">
              <w:rPr>
                <w:noProof/>
                <w:webHidden/>
              </w:rPr>
            </w:r>
            <w:r w:rsidR="00152CB9">
              <w:rPr>
                <w:noProof/>
                <w:webHidden/>
              </w:rPr>
              <w:fldChar w:fldCharType="separate"/>
            </w:r>
            <w:r w:rsidR="00152CB9">
              <w:rPr>
                <w:noProof/>
                <w:webHidden/>
              </w:rPr>
              <w:t>5</w:t>
            </w:r>
            <w:r w:rsidR="00152CB9">
              <w:rPr>
                <w:noProof/>
                <w:webHidden/>
              </w:rPr>
              <w:fldChar w:fldCharType="end"/>
            </w:r>
          </w:hyperlink>
        </w:p>
        <w:p w14:paraId="5885FAF5" w14:textId="2DD978A4"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15" w:history="1">
            <w:r w:rsidR="00152CB9" w:rsidRPr="002E3B9B">
              <w:rPr>
                <w:rStyle w:val="-"/>
                <w:noProof/>
              </w:rPr>
              <w:t>Γενικά</w:t>
            </w:r>
            <w:r w:rsidR="00152CB9">
              <w:rPr>
                <w:noProof/>
                <w:webHidden/>
              </w:rPr>
              <w:tab/>
            </w:r>
            <w:r w:rsidR="00152CB9">
              <w:rPr>
                <w:noProof/>
                <w:webHidden/>
              </w:rPr>
              <w:fldChar w:fldCharType="begin"/>
            </w:r>
            <w:r w:rsidR="00152CB9">
              <w:rPr>
                <w:noProof/>
                <w:webHidden/>
              </w:rPr>
              <w:instrText xml:space="preserve"> PAGEREF _Toc166060915 \h </w:instrText>
            </w:r>
            <w:r w:rsidR="00152CB9">
              <w:rPr>
                <w:noProof/>
                <w:webHidden/>
              </w:rPr>
            </w:r>
            <w:r w:rsidR="00152CB9">
              <w:rPr>
                <w:noProof/>
                <w:webHidden/>
              </w:rPr>
              <w:fldChar w:fldCharType="separate"/>
            </w:r>
            <w:r w:rsidR="00152CB9">
              <w:rPr>
                <w:noProof/>
                <w:webHidden/>
              </w:rPr>
              <w:t>5</w:t>
            </w:r>
            <w:r w:rsidR="00152CB9">
              <w:rPr>
                <w:noProof/>
                <w:webHidden/>
              </w:rPr>
              <w:fldChar w:fldCharType="end"/>
            </w:r>
          </w:hyperlink>
        </w:p>
        <w:p w14:paraId="26F9732E" w14:textId="6BE77346"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16" w:history="1">
            <w:r w:rsidR="00152CB9" w:rsidRPr="002E3B9B">
              <w:rPr>
                <w:rStyle w:val="-"/>
                <w:noProof/>
              </w:rPr>
              <w:t>Ι. Η «υποστηρίξιμη» αιτίαση περί παραβίασης άλλης διάταξης της ΕΣΔΑ</w:t>
            </w:r>
            <w:r w:rsidR="00152CB9">
              <w:rPr>
                <w:noProof/>
                <w:webHidden/>
              </w:rPr>
              <w:tab/>
            </w:r>
            <w:r w:rsidR="00152CB9">
              <w:rPr>
                <w:noProof/>
                <w:webHidden/>
              </w:rPr>
              <w:fldChar w:fldCharType="begin"/>
            </w:r>
            <w:r w:rsidR="00152CB9">
              <w:rPr>
                <w:noProof/>
                <w:webHidden/>
              </w:rPr>
              <w:instrText xml:space="preserve"> PAGEREF _Toc166060916 \h </w:instrText>
            </w:r>
            <w:r w:rsidR="00152CB9">
              <w:rPr>
                <w:noProof/>
                <w:webHidden/>
              </w:rPr>
            </w:r>
            <w:r w:rsidR="00152CB9">
              <w:rPr>
                <w:noProof/>
                <w:webHidden/>
              </w:rPr>
              <w:fldChar w:fldCharType="separate"/>
            </w:r>
            <w:r w:rsidR="00152CB9">
              <w:rPr>
                <w:noProof/>
                <w:webHidden/>
              </w:rPr>
              <w:t>6</w:t>
            </w:r>
            <w:r w:rsidR="00152CB9">
              <w:rPr>
                <w:noProof/>
                <w:webHidden/>
              </w:rPr>
              <w:fldChar w:fldCharType="end"/>
            </w:r>
          </w:hyperlink>
        </w:p>
        <w:p w14:paraId="4AC46DF2" w14:textId="5E050CD8"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17" w:history="1">
            <w:r w:rsidR="00152CB9" w:rsidRPr="002E3B9B">
              <w:rPr>
                <w:rStyle w:val="-"/>
                <w:noProof/>
              </w:rPr>
              <w:t>Διαπίστωση πραγματικής παραβίασης άλλου δικαιώματος κατοχυρωμένου στην ΕΣΔΑ</w:t>
            </w:r>
            <w:r w:rsidR="00152CB9">
              <w:rPr>
                <w:noProof/>
                <w:webHidden/>
              </w:rPr>
              <w:tab/>
            </w:r>
            <w:r w:rsidR="00152CB9">
              <w:rPr>
                <w:noProof/>
                <w:webHidden/>
              </w:rPr>
              <w:fldChar w:fldCharType="begin"/>
            </w:r>
            <w:r w:rsidR="00152CB9">
              <w:rPr>
                <w:noProof/>
                <w:webHidden/>
              </w:rPr>
              <w:instrText xml:space="preserve"> PAGEREF _Toc166060917 \h </w:instrText>
            </w:r>
            <w:r w:rsidR="00152CB9">
              <w:rPr>
                <w:noProof/>
                <w:webHidden/>
              </w:rPr>
            </w:r>
            <w:r w:rsidR="00152CB9">
              <w:rPr>
                <w:noProof/>
                <w:webHidden/>
              </w:rPr>
              <w:fldChar w:fldCharType="separate"/>
            </w:r>
            <w:r w:rsidR="00152CB9">
              <w:rPr>
                <w:noProof/>
                <w:webHidden/>
              </w:rPr>
              <w:t>7</w:t>
            </w:r>
            <w:r w:rsidR="00152CB9">
              <w:rPr>
                <w:noProof/>
                <w:webHidden/>
              </w:rPr>
              <w:fldChar w:fldCharType="end"/>
            </w:r>
          </w:hyperlink>
        </w:p>
        <w:p w14:paraId="6CBACCA1" w14:textId="6923EB6A"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18" w:history="1">
            <w:r w:rsidR="00152CB9" w:rsidRPr="002E3B9B">
              <w:rPr>
                <w:rStyle w:val="-"/>
                <w:noProof/>
              </w:rPr>
              <w:t>Μη διαπίστωση παραβίασης άλλου δικαιώματος κατοχυρωμένου στην ΕΣΔΑ</w:t>
            </w:r>
            <w:r w:rsidR="00152CB9">
              <w:rPr>
                <w:noProof/>
                <w:webHidden/>
              </w:rPr>
              <w:tab/>
            </w:r>
            <w:r w:rsidR="00152CB9">
              <w:rPr>
                <w:noProof/>
                <w:webHidden/>
              </w:rPr>
              <w:fldChar w:fldCharType="begin"/>
            </w:r>
            <w:r w:rsidR="00152CB9">
              <w:rPr>
                <w:noProof/>
                <w:webHidden/>
              </w:rPr>
              <w:instrText xml:space="preserve"> PAGEREF _Toc166060918 \h </w:instrText>
            </w:r>
            <w:r w:rsidR="00152CB9">
              <w:rPr>
                <w:noProof/>
                <w:webHidden/>
              </w:rPr>
            </w:r>
            <w:r w:rsidR="00152CB9">
              <w:rPr>
                <w:noProof/>
                <w:webHidden/>
              </w:rPr>
              <w:fldChar w:fldCharType="separate"/>
            </w:r>
            <w:r w:rsidR="00152CB9">
              <w:rPr>
                <w:noProof/>
                <w:webHidden/>
              </w:rPr>
              <w:t>8</w:t>
            </w:r>
            <w:r w:rsidR="00152CB9">
              <w:rPr>
                <w:noProof/>
                <w:webHidden/>
              </w:rPr>
              <w:fldChar w:fldCharType="end"/>
            </w:r>
          </w:hyperlink>
        </w:p>
        <w:p w14:paraId="55493605" w14:textId="5F9041A4"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19" w:history="1">
            <w:r w:rsidR="00152CB9" w:rsidRPr="002E3B9B">
              <w:rPr>
                <w:rStyle w:val="-"/>
                <w:noProof/>
              </w:rPr>
              <w:t>Προφανώς αβάσιμο του ισχυρισμού περί παραβίασης δικαιώματος κατοχυρωμένου στην ΕΣΔΑ</w:t>
            </w:r>
            <w:r w:rsidR="00152CB9">
              <w:rPr>
                <w:noProof/>
                <w:webHidden/>
              </w:rPr>
              <w:tab/>
            </w:r>
            <w:r w:rsidR="00152CB9">
              <w:rPr>
                <w:noProof/>
                <w:webHidden/>
              </w:rPr>
              <w:fldChar w:fldCharType="begin"/>
            </w:r>
            <w:r w:rsidR="00152CB9">
              <w:rPr>
                <w:noProof/>
                <w:webHidden/>
              </w:rPr>
              <w:instrText xml:space="preserve"> PAGEREF _Toc166060919 \h </w:instrText>
            </w:r>
            <w:r w:rsidR="00152CB9">
              <w:rPr>
                <w:noProof/>
                <w:webHidden/>
              </w:rPr>
            </w:r>
            <w:r w:rsidR="00152CB9">
              <w:rPr>
                <w:noProof/>
                <w:webHidden/>
              </w:rPr>
              <w:fldChar w:fldCharType="separate"/>
            </w:r>
            <w:r w:rsidR="00152CB9">
              <w:rPr>
                <w:noProof/>
                <w:webHidden/>
              </w:rPr>
              <w:t>9</w:t>
            </w:r>
            <w:r w:rsidR="00152CB9">
              <w:rPr>
                <w:noProof/>
                <w:webHidden/>
              </w:rPr>
              <w:fldChar w:fldCharType="end"/>
            </w:r>
          </w:hyperlink>
        </w:p>
        <w:p w14:paraId="74AA4FA1" w14:textId="0F69E739"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0" w:history="1">
            <w:r w:rsidR="00152CB9" w:rsidRPr="002E3B9B">
              <w:rPr>
                <w:rStyle w:val="-"/>
                <w:noProof/>
              </w:rPr>
              <w:t>Μη προφανώς αβάσιμο του ισχυρισμού περί παραβίασης δικαιώματος κατοχυρωμένου στην ΕΣΔΑ</w:t>
            </w:r>
            <w:r w:rsidR="00152CB9">
              <w:rPr>
                <w:noProof/>
                <w:webHidden/>
              </w:rPr>
              <w:tab/>
            </w:r>
            <w:r w:rsidR="00152CB9">
              <w:rPr>
                <w:noProof/>
                <w:webHidden/>
              </w:rPr>
              <w:fldChar w:fldCharType="begin"/>
            </w:r>
            <w:r w:rsidR="00152CB9">
              <w:rPr>
                <w:noProof/>
                <w:webHidden/>
              </w:rPr>
              <w:instrText xml:space="preserve"> PAGEREF _Toc166060920 \h </w:instrText>
            </w:r>
            <w:r w:rsidR="00152CB9">
              <w:rPr>
                <w:noProof/>
                <w:webHidden/>
              </w:rPr>
            </w:r>
            <w:r w:rsidR="00152CB9">
              <w:rPr>
                <w:noProof/>
                <w:webHidden/>
              </w:rPr>
              <w:fldChar w:fldCharType="separate"/>
            </w:r>
            <w:r w:rsidR="00152CB9">
              <w:rPr>
                <w:noProof/>
                <w:webHidden/>
              </w:rPr>
              <w:t>10</w:t>
            </w:r>
            <w:r w:rsidR="00152CB9">
              <w:rPr>
                <w:noProof/>
                <w:webHidden/>
              </w:rPr>
              <w:fldChar w:fldCharType="end"/>
            </w:r>
          </w:hyperlink>
        </w:p>
        <w:p w14:paraId="44BDD052" w14:textId="477C9361"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1" w:history="1">
            <w:r w:rsidR="00152CB9" w:rsidRPr="002E3B9B">
              <w:rPr>
                <w:rStyle w:val="-"/>
                <w:noProof/>
                <w:lang w:val="en-US"/>
              </w:rPr>
              <w:t>II</w:t>
            </w:r>
            <w:r w:rsidR="00152CB9" w:rsidRPr="002E3B9B">
              <w:rPr>
                <w:rStyle w:val="-"/>
                <w:noProof/>
              </w:rPr>
              <w:t>. Προσφυγή ενώπιον εθνικής αρχής</w:t>
            </w:r>
            <w:r w:rsidR="00152CB9">
              <w:rPr>
                <w:noProof/>
                <w:webHidden/>
              </w:rPr>
              <w:tab/>
            </w:r>
            <w:r w:rsidR="00152CB9">
              <w:rPr>
                <w:noProof/>
                <w:webHidden/>
              </w:rPr>
              <w:fldChar w:fldCharType="begin"/>
            </w:r>
            <w:r w:rsidR="00152CB9">
              <w:rPr>
                <w:noProof/>
                <w:webHidden/>
              </w:rPr>
              <w:instrText xml:space="preserve"> PAGEREF _Toc166060921 \h </w:instrText>
            </w:r>
            <w:r w:rsidR="00152CB9">
              <w:rPr>
                <w:noProof/>
                <w:webHidden/>
              </w:rPr>
            </w:r>
            <w:r w:rsidR="00152CB9">
              <w:rPr>
                <w:noProof/>
                <w:webHidden/>
              </w:rPr>
              <w:fldChar w:fldCharType="separate"/>
            </w:r>
            <w:r w:rsidR="00152CB9">
              <w:rPr>
                <w:noProof/>
                <w:webHidden/>
              </w:rPr>
              <w:t>11</w:t>
            </w:r>
            <w:r w:rsidR="00152CB9">
              <w:rPr>
                <w:noProof/>
                <w:webHidden/>
              </w:rPr>
              <w:fldChar w:fldCharType="end"/>
            </w:r>
          </w:hyperlink>
        </w:p>
        <w:p w14:paraId="40EDA4F1" w14:textId="6BB74181"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2" w:history="1">
            <w:r w:rsidR="00152CB9" w:rsidRPr="002E3B9B">
              <w:rPr>
                <w:rStyle w:val="-"/>
                <w:noProof/>
                <w:lang w:val="en-US"/>
              </w:rPr>
              <w:t>III</w:t>
            </w:r>
            <w:r w:rsidR="00152CB9" w:rsidRPr="002E3B9B">
              <w:rPr>
                <w:rStyle w:val="-"/>
                <w:noProof/>
              </w:rPr>
              <w:t>. Αποτελεσματικότητα της προσφυγής</w:t>
            </w:r>
            <w:r w:rsidR="00152CB9">
              <w:rPr>
                <w:noProof/>
                <w:webHidden/>
              </w:rPr>
              <w:tab/>
            </w:r>
            <w:r w:rsidR="00152CB9">
              <w:rPr>
                <w:noProof/>
                <w:webHidden/>
              </w:rPr>
              <w:fldChar w:fldCharType="begin"/>
            </w:r>
            <w:r w:rsidR="00152CB9">
              <w:rPr>
                <w:noProof/>
                <w:webHidden/>
              </w:rPr>
              <w:instrText xml:space="preserve"> PAGEREF _Toc166060922 \h </w:instrText>
            </w:r>
            <w:r w:rsidR="00152CB9">
              <w:rPr>
                <w:noProof/>
                <w:webHidden/>
              </w:rPr>
            </w:r>
            <w:r w:rsidR="00152CB9">
              <w:rPr>
                <w:noProof/>
                <w:webHidden/>
              </w:rPr>
              <w:fldChar w:fldCharType="separate"/>
            </w:r>
            <w:r w:rsidR="00152CB9">
              <w:rPr>
                <w:noProof/>
                <w:webHidden/>
              </w:rPr>
              <w:t>14</w:t>
            </w:r>
            <w:r w:rsidR="00152CB9">
              <w:rPr>
                <w:noProof/>
                <w:webHidden/>
              </w:rPr>
              <w:fldChar w:fldCharType="end"/>
            </w:r>
          </w:hyperlink>
        </w:p>
        <w:p w14:paraId="77DD9281" w14:textId="3BF7BEBA"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3" w:history="1">
            <w:r w:rsidR="00152CB9" w:rsidRPr="002E3B9B">
              <w:rPr>
                <w:rStyle w:val="-"/>
                <w:noProof/>
              </w:rPr>
              <w:t>Γενικά</w:t>
            </w:r>
            <w:r w:rsidR="00152CB9">
              <w:rPr>
                <w:noProof/>
                <w:webHidden/>
              </w:rPr>
              <w:tab/>
            </w:r>
            <w:r w:rsidR="00152CB9">
              <w:rPr>
                <w:noProof/>
                <w:webHidden/>
              </w:rPr>
              <w:fldChar w:fldCharType="begin"/>
            </w:r>
            <w:r w:rsidR="00152CB9">
              <w:rPr>
                <w:noProof/>
                <w:webHidden/>
              </w:rPr>
              <w:instrText xml:space="preserve"> PAGEREF _Toc166060923 \h </w:instrText>
            </w:r>
            <w:r w:rsidR="00152CB9">
              <w:rPr>
                <w:noProof/>
                <w:webHidden/>
              </w:rPr>
            </w:r>
            <w:r w:rsidR="00152CB9">
              <w:rPr>
                <w:noProof/>
                <w:webHidden/>
              </w:rPr>
              <w:fldChar w:fldCharType="separate"/>
            </w:r>
            <w:r w:rsidR="00152CB9">
              <w:rPr>
                <w:noProof/>
                <w:webHidden/>
              </w:rPr>
              <w:t>14</w:t>
            </w:r>
            <w:r w:rsidR="00152CB9">
              <w:rPr>
                <w:noProof/>
                <w:webHidden/>
              </w:rPr>
              <w:fldChar w:fldCharType="end"/>
            </w:r>
          </w:hyperlink>
        </w:p>
        <w:p w14:paraId="0A4A60B8" w14:textId="026B49EC"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4" w:history="1">
            <w:r w:rsidR="00152CB9" w:rsidRPr="002E3B9B">
              <w:rPr>
                <w:rStyle w:val="-"/>
                <w:noProof/>
              </w:rPr>
              <w:t>Άρση της προσβολής και ικανοποιητική επανόρθωση</w:t>
            </w:r>
            <w:r w:rsidR="00152CB9">
              <w:rPr>
                <w:noProof/>
                <w:webHidden/>
              </w:rPr>
              <w:tab/>
            </w:r>
            <w:r w:rsidR="00152CB9">
              <w:rPr>
                <w:noProof/>
                <w:webHidden/>
              </w:rPr>
              <w:fldChar w:fldCharType="begin"/>
            </w:r>
            <w:r w:rsidR="00152CB9">
              <w:rPr>
                <w:noProof/>
                <w:webHidden/>
              </w:rPr>
              <w:instrText xml:space="preserve"> PAGEREF _Toc166060924 \h </w:instrText>
            </w:r>
            <w:r w:rsidR="00152CB9">
              <w:rPr>
                <w:noProof/>
                <w:webHidden/>
              </w:rPr>
            </w:r>
            <w:r w:rsidR="00152CB9">
              <w:rPr>
                <w:noProof/>
                <w:webHidden/>
              </w:rPr>
              <w:fldChar w:fldCharType="separate"/>
            </w:r>
            <w:r w:rsidR="00152CB9">
              <w:rPr>
                <w:noProof/>
                <w:webHidden/>
              </w:rPr>
              <w:t>15</w:t>
            </w:r>
            <w:r w:rsidR="00152CB9">
              <w:rPr>
                <w:noProof/>
                <w:webHidden/>
              </w:rPr>
              <w:fldChar w:fldCharType="end"/>
            </w:r>
          </w:hyperlink>
        </w:p>
        <w:p w14:paraId="626D1E13" w14:textId="52478E44"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5" w:history="1">
            <w:r w:rsidR="00152CB9" w:rsidRPr="002E3B9B">
              <w:rPr>
                <w:rStyle w:val="-"/>
                <w:noProof/>
              </w:rPr>
              <w:t>Συνολική θεώρηση διαθέσιμων προσφυγών</w:t>
            </w:r>
            <w:r w:rsidR="00152CB9">
              <w:rPr>
                <w:noProof/>
                <w:webHidden/>
              </w:rPr>
              <w:tab/>
            </w:r>
            <w:r w:rsidR="00152CB9">
              <w:rPr>
                <w:noProof/>
                <w:webHidden/>
              </w:rPr>
              <w:fldChar w:fldCharType="begin"/>
            </w:r>
            <w:r w:rsidR="00152CB9">
              <w:rPr>
                <w:noProof/>
                <w:webHidden/>
              </w:rPr>
              <w:instrText xml:space="preserve"> PAGEREF _Toc166060925 \h </w:instrText>
            </w:r>
            <w:r w:rsidR="00152CB9">
              <w:rPr>
                <w:noProof/>
                <w:webHidden/>
              </w:rPr>
            </w:r>
            <w:r w:rsidR="00152CB9">
              <w:rPr>
                <w:noProof/>
                <w:webHidden/>
              </w:rPr>
              <w:fldChar w:fldCharType="separate"/>
            </w:r>
            <w:r w:rsidR="00152CB9">
              <w:rPr>
                <w:noProof/>
                <w:webHidden/>
              </w:rPr>
              <w:t>17</w:t>
            </w:r>
            <w:r w:rsidR="00152CB9">
              <w:rPr>
                <w:noProof/>
                <w:webHidden/>
              </w:rPr>
              <w:fldChar w:fldCharType="end"/>
            </w:r>
          </w:hyperlink>
        </w:p>
        <w:p w14:paraId="0F27B7B1" w14:textId="213EF333"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6" w:history="1">
            <w:r w:rsidR="00152CB9" w:rsidRPr="002E3B9B">
              <w:rPr>
                <w:rStyle w:val="-"/>
                <w:noProof/>
              </w:rPr>
              <w:t>Λήψη υπόψη των προσφυγών που ήταν διαθέσιμες κατά το επίμαχο χρονικό διάστημα</w:t>
            </w:r>
            <w:r w:rsidR="00152CB9">
              <w:rPr>
                <w:noProof/>
                <w:webHidden/>
              </w:rPr>
              <w:tab/>
            </w:r>
            <w:r w:rsidR="00152CB9">
              <w:rPr>
                <w:noProof/>
                <w:webHidden/>
              </w:rPr>
              <w:fldChar w:fldCharType="begin"/>
            </w:r>
            <w:r w:rsidR="00152CB9">
              <w:rPr>
                <w:noProof/>
                <w:webHidden/>
              </w:rPr>
              <w:instrText xml:space="preserve"> PAGEREF _Toc166060926 \h </w:instrText>
            </w:r>
            <w:r w:rsidR="00152CB9">
              <w:rPr>
                <w:noProof/>
                <w:webHidden/>
              </w:rPr>
            </w:r>
            <w:r w:rsidR="00152CB9">
              <w:rPr>
                <w:noProof/>
                <w:webHidden/>
              </w:rPr>
              <w:fldChar w:fldCharType="separate"/>
            </w:r>
            <w:r w:rsidR="00152CB9">
              <w:rPr>
                <w:noProof/>
                <w:webHidden/>
              </w:rPr>
              <w:t>17</w:t>
            </w:r>
            <w:r w:rsidR="00152CB9">
              <w:rPr>
                <w:noProof/>
                <w:webHidden/>
              </w:rPr>
              <w:fldChar w:fldCharType="end"/>
            </w:r>
          </w:hyperlink>
        </w:p>
        <w:p w14:paraId="01BEAD4A" w14:textId="1D486F90"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7" w:history="1">
            <w:r w:rsidR="00152CB9" w:rsidRPr="002E3B9B">
              <w:rPr>
                <w:rStyle w:val="-"/>
                <w:noProof/>
              </w:rPr>
              <w:t>Αυστηρές προϋποθέσεις παραδεκτού</w:t>
            </w:r>
            <w:r w:rsidR="00152CB9">
              <w:rPr>
                <w:noProof/>
                <w:webHidden/>
              </w:rPr>
              <w:tab/>
            </w:r>
            <w:r w:rsidR="00152CB9">
              <w:rPr>
                <w:noProof/>
                <w:webHidden/>
              </w:rPr>
              <w:fldChar w:fldCharType="begin"/>
            </w:r>
            <w:r w:rsidR="00152CB9">
              <w:rPr>
                <w:noProof/>
                <w:webHidden/>
              </w:rPr>
              <w:instrText xml:space="preserve"> PAGEREF _Toc166060927 \h </w:instrText>
            </w:r>
            <w:r w:rsidR="00152CB9">
              <w:rPr>
                <w:noProof/>
                <w:webHidden/>
              </w:rPr>
            </w:r>
            <w:r w:rsidR="00152CB9">
              <w:rPr>
                <w:noProof/>
                <w:webHidden/>
              </w:rPr>
              <w:fldChar w:fldCharType="separate"/>
            </w:r>
            <w:r w:rsidR="00152CB9">
              <w:rPr>
                <w:noProof/>
                <w:webHidden/>
              </w:rPr>
              <w:t>18</w:t>
            </w:r>
            <w:r w:rsidR="00152CB9">
              <w:rPr>
                <w:noProof/>
                <w:webHidden/>
              </w:rPr>
              <w:fldChar w:fldCharType="end"/>
            </w:r>
          </w:hyperlink>
        </w:p>
        <w:p w14:paraId="0B0A94E7" w14:textId="43BF0FE3"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8" w:history="1">
            <w:r w:rsidR="00152CB9" w:rsidRPr="002E3B9B">
              <w:rPr>
                <w:rStyle w:val="-"/>
                <w:noProof/>
              </w:rPr>
              <w:t>Εξέταση της προσφυγής επί της ουσίας και με την πρέπουσα ταχύτητα</w:t>
            </w:r>
            <w:r w:rsidR="00152CB9">
              <w:rPr>
                <w:noProof/>
                <w:webHidden/>
              </w:rPr>
              <w:tab/>
            </w:r>
            <w:r w:rsidR="00152CB9">
              <w:rPr>
                <w:noProof/>
                <w:webHidden/>
              </w:rPr>
              <w:fldChar w:fldCharType="begin"/>
            </w:r>
            <w:r w:rsidR="00152CB9">
              <w:rPr>
                <w:noProof/>
                <w:webHidden/>
              </w:rPr>
              <w:instrText xml:space="preserve"> PAGEREF _Toc166060928 \h </w:instrText>
            </w:r>
            <w:r w:rsidR="00152CB9">
              <w:rPr>
                <w:noProof/>
                <w:webHidden/>
              </w:rPr>
            </w:r>
            <w:r w:rsidR="00152CB9">
              <w:rPr>
                <w:noProof/>
                <w:webHidden/>
              </w:rPr>
              <w:fldChar w:fldCharType="separate"/>
            </w:r>
            <w:r w:rsidR="00152CB9">
              <w:rPr>
                <w:noProof/>
                <w:webHidden/>
              </w:rPr>
              <w:t>18</w:t>
            </w:r>
            <w:r w:rsidR="00152CB9">
              <w:rPr>
                <w:noProof/>
                <w:webHidden/>
              </w:rPr>
              <w:fldChar w:fldCharType="end"/>
            </w:r>
          </w:hyperlink>
        </w:p>
        <w:p w14:paraId="2FFF0B0F" w14:textId="19B74E19"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29" w:history="1">
            <w:r w:rsidR="00152CB9" w:rsidRPr="002E3B9B">
              <w:rPr>
                <w:rStyle w:val="-"/>
                <w:noProof/>
              </w:rPr>
              <w:t>Αποτελεσματικότητα της προσφυγής στην πράξη</w:t>
            </w:r>
            <w:r w:rsidR="00152CB9">
              <w:rPr>
                <w:noProof/>
                <w:webHidden/>
              </w:rPr>
              <w:tab/>
            </w:r>
            <w:r w:rsidR="00152CB9">
              <w:rPr>
                <w:noProof/>
                <w:webHidden/>
              </w:rPr>
              <w:fldChar w:fldCharType="begin"/>
            </w:r>
            <w:r w:rsidR="00152CB9">
              <w:rPr>
                <w:noProof/>
                <w:webHidden/>
              </w:rPr>
              <w:instrText xml:space="preserve"> PAGEREF _Toc166060929 \h </w:instrText>
            </w:r>
            <w:r w:rsidR="00152CB9">
              <w:rPr>
                <w:noProof/>
                <w:webHidden/>
              </w:rPr>
            </w:r>
            <w:r w:rsidR="00152CB9">
              <w:rPr>
                <w:noProof/>
                <w:webHidden/>
              </w:rPr>
              <w:fldChar w:fldCharType="separate"/>
            </w:r>
            <w:r w:rsidR="00152CB9">
              <w:rPr>
                <w:noProof/>
                <w:webHidden/>
              </w:rPr>
              <w:t>19</w:t>
            </w:r>
            <w:r w:rsidR="00152CB9">
              <w:rPr>
                <w:noProof/>
                <w:webHidden/>
              </w:rPr>
              <w:fldChar w:fldCharType="end"/>
            </w:r>
          </w:hyperlink>
        </w:p>
        <w:p w14:paraId="6657FE34" w14:textId="4023B409"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30" w:history="1">
            <w:r w:rsidR="00152CB9" w:rsidRPr="002E3B9B">
              <w:rPr>
                <w:rStyle w:val="-"/>
                <w:noProof/>
              </w:rPr>
              <w:t>Εκτέλεση της απόφασης επί της προσφυγής</w:t>
            </w:r>
            <w:r w:rsidR="00152CB9">
              <w:rPr>
                <w:noProof/>
                <w:webHidden/>
              </w:rPr>
              <w:tab/>
            </w:r>
            <w:r w:rsidR="00152CB9">
              <w:rPr>
                <w:noProof/>
                <w:webHidden/>
              </w:rPr>
              <w:fldChar w:fldCharType="begin"/>
            </w:r>
            <w:r w:rsidR="00152CB9">
              <w:rPr>
                <w:noProof/>
                <w:webHidden/>
              </w:rPr>
              <w:instrText xml:space="preserve"> PAGEREF _Toc166060930 \h </w:instrText>
            </w:r>
            <w:r w:rsidR="00152CB9">
              <w:rPr>
                <w:noProof/>
                <w:webHidden/>
              </w:rPr>
            </w:r>
            <w:r w:rsidR="00152CB9">
              <w:rPr>
                <w:noProof/>
                <w:webHidden/>
              </w:rPr>
              <w:fldChar w:fldCharType="separate"/>
            </w:r>
            <w:r w:rsidR="00152CB9">
              <w:rPr>
                <w:noProof/>
                <w:webHidden/>
              </w:rPr>
              <w:t>20</w:t>
            </w:r>
            <w:r w:rsidR="00152CB9">
              <w:rPr>
                <w:noProof/>
                <w:webHidden/>
              </w:rPr>
              <w:fldChar w:fldCharType="end"/>
            </w:r>
          </w:hyperlink>
        </w:p>
        <w:p w14:paraId="58BFF196" w14:textId="2DAFBC2E" w:rsidR="00152CB9" w:rsidRDefault="00000000" w:rsidP="00152CB9">
          <w:pPr>
            <w:pStyle w:val="3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31" w:history="1">
            <w:r w:rsidR="00152CB9" w:rsidRPr="002E3B9B">
              <w:rPr>
                <w:rStyle w:val="-"/>
                <w:noProof/>
              </w:rPr>
              <w:t>Ανασταλτικό αποτέλεσμα της προσφυγής</w:t>
            </w:r>
            <w:r w:rsidR="00152CB9">
              <w:rPr>
                <w:noProof/>
                <w:webHidden/>
              </w:rPr>
              <w:tab/>
            </w:r>
            <w:r w:rsidR="00152CB9">
              <w:rPr>
                <w:noProof/>
                <w:webHidden/>
              </w:rPr>
              <w:fldChar w:fldCharType="begin"/>
            </w:r>
            <w:r w:rsidR="00152CB9">
              <w:rPr>
                <w:noProof/>
                <w:webHidden/>
              </w:rPr>
              <w:instrText xml:space="preserve"> PAGEREF _Toc166060931 \h </w:instrText>
            </w:r>
            <w:r w:rsidR="00152CB9">
              <w:rPr>
                <w:noProof/>
                <w:webHidden/>
              </w:rPr>
            </w:r>
            <w:r w:rsidR="00152CB9">
              <w:rPr>
                <w:noProof/>
                <w:webHidden/>
              </w:rPr>
              <w:fldChar w:fldCharType="separate"/>
            </w:r>
            <w:r w:rsidR="00152CB9">
              <w:rPr>
                <w:noProof/>
                <w:webHidden/>
              </w:rPr>
              <w:t>21</w:t>
            </w:r>
            <w:r w:rsidR="00152CB9">
              <w:rPr>
                <w:noProof/>
                <w:webHidden/>
              </w:rPr>
              <w:fldChar w:fldCharType="end"/>
            </w:r>
          </w:hyperlink>
        </w:p>
        <w:p w14:paraId="56A3DDCF" w14:textId="3A58B929" w:rsidR="00152CB9" w:rsidRDefault="00000000" w:rsidP="00152CB9">
          <w:pPr>
            <w:pStyle w:val="10"/>
            <w:rPr>
              <w:rFonts w:asciiTheme="minorHAnsi" w:eastAsiaTheme="minorEastAsia" w:hAnsiTheme="minorHAnsi" w:cstheme="minorBidi"/>
              <w:noProof/>
              <w:kern w:val="0"/>
              <w:lang w:eastAsia="el-GR"/>
              <w14:ligatures w14:val="none"/>
            </w:rPr>
          </w:pPr>
          <w:hyperlink w:anchor="_Toc166060932" w:history="1">
            <w:r w:rsidR="00152CB9" w:rsidRPr="002E3B9B">
              <w:rPr>
                <w:rStyle w:val="-"/>
                <w:noProof/>
              </w:rPr>
              <w:t>Γ. Η σχέση του άρθρου 13 της ΕΣΔΑ με το δικαίωμα σε δίκαιη δίκη και το δικαίωμα σε δίκη εύλογης διάρκειας, κατά το άρθρο 6 της ΕΣΔΑ</w:t>
            </w:r>
            <w:r w:rsidR="00152CB9">
              <w:rPr>
                <w:noProof/>
                <w:webHidden/>
              </w:rPr>
              <w:tab/>
            </w:r>
            <w:r w:rsidR="00152CB9">
              <w:rPr>
                <w:noProof/>
                <w:webHidden/>
              </w:rPr>
              <w:fldChar w:fldCharType="begin"/>
            </w:r>
            <w:r w:rsidR="00152CB9">
              <w:rPr>
                <w:noProof/>
                <w:webHidden/>
              </w:rPr>
              <w:instrText xml:space="preserve"> PAGEREF _Toc166060932 \h </w:instrText>
            </w:r>
            <w:r w:rsidR="00152CB9">
              <w:rPr>
                <w:noProof/>
                <w:webHidden/>
              </w:rPr>
            </w:r>
            <w:r w:rsidR="00152CB9">
              <w:rPr>
                <w:noProof/>
                <w:webHidden/>
              </w:rPr>
              <w:fldChar w:fldCharType="separate"/>
            </w:r>
            <w:r w:rsidR="00152CB9">
              <w:rPr>
                <w:noProof/>
                <w:webHidden/>
              </w:rPr>
              <w:t>21</w:t>
            </w:r>
            <w:r w:rsidR="00152CB9">
              <w:rPr>
                <w:noProof/>
                <w:webHidden/>
              </w:rPr>
              <w:fldChar w:fldCharType="end"/>
            </w:r>
          </w:hyperlink>
        </w:p>
        <w:p w14:paraId="678131A1" w14:textId="3026EF79" w:rsidR="00152CB9" w:rsidRDefault="00000000" w:rsidP="00152CB9">
          <w:pPr>
            <w:pStyle w:val="10"/>
            <w:rPr>
              <w:rFonts w:asciiTheme="minorHAnsi" w:eastAsiaTheme="minorEastAsia" w:hAnsiTheme="minorHAnsi" w:cstheme="minorBidi"/>
              <w:noProof/>
              <w:kern w:val="0"/>
              <w:lang w:eastAsia="el-GR"/>
              <w14:ligatures w14:val="none"/>
            </w:rPr>
          </w:pPr>
          <w:hyperlink w:anchor="_Toc166060933" w:history="1">
            <w:r w:rsidR="00152CB9" w:rsidRPr="002E3B9B">
              <w:rPr>
                <w:rStyle w:val="-"/>
                <w:noProof/>
              </w:rPr>
              <w:t>Δ. Η παραβίαση του δικαιώματος σε δίκη εύλογης διάρκειας εντός του ελληνικού κράτους</w:t>
            </w:r>
            <w:r w:rsidR="00152CB9">
              <w:rPr>
                <w:noProof/>
                <w:webHidden/>
              </w:rPr>
              <w:tab/>
            </w:r>
            <w:r w:rsidR="00152CB9">
              <w:rPr>
                <w:noProof/>
                <w:webHidden/>
              </w:rPr>
              <w:fldChar w:fldCharType="begin"/>
            </w:r>
            <w:r w:rsidR="00152CB9">
              <w:rPr>
                <w:noProof/>
                <w:webHidden/>
              </w:rPr>
              <w:instrText xml:space="preserve"> PAGEREF _Toc166060933 \h </w:instrText>
            </w:r>
            <w:r w:rsidR="00152CB9">
              <w:rPr>
                <w:noProof/>
                <w:webHidden/>
              </w:rPr>
            </w:r>
            <w:r w:rsidR="00152CB9">
              <w:rPr>
                <w:noProof/>
                <w:webHidden/>
              </w:rPr>
              <w:fldChar w:fldCharType="separate"/>
            </w:r>
            <w:r w:rsidR="00152CB9">
              <w:rPr>
                <w:noProof/>
                <w:webHidden/>
              </w:rPr>
              <w:t>23</w:t>
            </w:r>
            <w:r w:rsidR="00152CB9">
              <w:rPr>
                <w:noProof/>
                <w:webHidden/>
              </w:rPr>
              <w:fldChar w:fldCharType="end"/>
            </w:r>
          </w:hyperlink>
        </w:p>
        <w:p w14:paraId="6259C8C0" w14:textId="2366496E"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34" w:history="1">
            <w:r w:rsidR="00152CB9" w:rsidRPr="002E3B9B">
              <w:rPr>
                <w:rStyle w:val="-"/>
                <w:noProof/>
              </w:rPr>
              <w:t>Γενικά</w:t>
            </w:r>
            <w:r w:rsidR="00152CB9">
              <w:rPr>
                <w:noProof/>
                <w:webHidden/>
              </w:rPr>
              <w:tab/>
            </w:r>
            <w:r w:rsidR="00152CB9">
              <w:rPr>
                <w:noProof/>
                <w:webHidden/>
              </w:rPr>
              <w:fldChar w:fldCharType="begin"/>
            </w:r>
            <w:r w:rsidR="00152CB9">
              <w:rPr>
                <w:noProof/>
                <w:webHidden/>
              </w:rPr>
              <w:instrText xml:space="preserve"> PAGEREF _Toc166060934 \h </w:instrText>
            </w:r>
            <w:r w:rsidR="00152CB9">
              <w:rPr>
                <w:noProof/>
                <w:webHidden/>
              </w:rPr>
            </w:r>
            <w:r w:rsidR="00152CB9">
              <w:rPr>
                <w:noProof/>
                <w:webHidden/>
              </w:rPr>
              <w:fldChar w:fldCharType="separate"/>
            </w:r>
            <w:r w:rsidR="00152CB9">
              <w:rPr>
                <w:noProof/>
                <w:webHidden/>
              </w:rPr>
              <w:t>23</w:t>
            </w:r>
            <w:r w:rsidR="00152CB9">
              <w:rPr>
                <w:noProof/>
                <w:webHidden/>
              </w:rPr>
              <w:fldChar w:fldCharType="end"/>
            </w:r>
          </w:hyperlink>
        </w:p>
        <w:p w14:paraId="297750BB" w14:textId="1A85EFBB"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35" w:history="1">
            <w:r w:rsidR="00152CB9" w:rsidRPr="002E3B9B">
              <w:rPr>
                <w:rStyle w:val="-"/>
                <w:noProof/>
              </w:rPr>
              <w:t>Διοικητική δικαιοσύνη</w:t>
            </w:r>
            <w:r w:rsidR="00152CB9">
              <w:rPr>
                <w:noProof/>
                <w:webHidden/>
              </w:rPr>
              <w:tab/>
            </w:r>
            <w:r w:rsidR="00152CB9">
              <w:rPr>
                <w:noProof/>
                <w:webHidden/>
              </w:rPr>
              <w:fldChar w:fldCharType="begin"/>
            </w:r>
            <w:r w:rsidR="00152CB9">
              <w:rPr>
                <w:noProof/>
                <w:webHidden/>
              </w:rPr>
              <w:instrText xml:space="preserve"> PAGEREF _Toc166060935 \h </w:instrText>
            </w:r>
            <w:r w:rsidR="00152CB9">
              <w:rPr>
                <w:noProof/>
                <w:webHidden/>
              </w:rPr>
            </w:r>
            <w:r w:rsidR="00152CB9">
              <w:rPr>
                <w:noProof/>
                <w:webHidden/>
              </w:rPr>
              <w:fldChar w:fldCharType="separate"/>
            </w:r>
            <w:r w:rsidR="00152CB9">
              <w:rPr>
                <w:noProof/>
                <w:webHidden/>
              </w:rPr>
              <w:t>23</w:t>
            </w:r>
            <w:r w:rsidR="00152CB9">
              <w:rPr>
                <w:noProof/>
                <w:webHidden/>
              </w:rPr>
              <w:fldChar w:fldCharType="end"/>
            </w:r>
          </w:hyperlink>
        </w:p>
        <w:p w14:paraId="6160EDBF" w14:textId="4BE5C5CE" w:rsidR="00152CB9" w:rsidRDefault="00000000" w:rsidP="00152CB9">
          <w:pPr>
            <w:pStyle w:val="20"/>
            <w:tabs>
              <w:tab w:val="right" w:leader="dot" w:pos="8541"/>
            </w:tabs>
            <w:spacing w:line="276" w:lineRule="auto"/>
            <w:rPr>
              <w:rFonts w:asciiTheme="minorHAnsi" w:eastAsiaTheme="minorEastAsia" w:hAnsiTheme="minorHAnsi" w:cstheme="minorBidi"/>
              <w:noProof/>
              <w:kern w:val="0"/>
              <w:lang w:eastAsia="el-GR"/>
              <w14:ligatures w14:val="none"/>
            </w:rPr>
          </w:pPr>
          <w:hyperlink w:anchor="_Toc166060936" w:history="1">
            <w:r w:rsidR="00152CB9" w:rsidRPr="002E3B9B">
              <w:rPr>
                <w:rStyle w:val="-"/>
                <w:noProof/>
              </w:rPr>
              <w:t>Ποινική και πολιτική δικαιοσύνη</w:t>
            </w:r>
            <w:r w:rsidR="00152CB9">
              <w:rPr>
                <w:noProof/>
                <w:webHidden/>
              </w:rPr>
              <w:tab/>
            </w:r>
            <w:r w:rsidR="00152CB9">
              <w:rPr>
                <w:noProof/>
                <w:webHidden/>
              </w:rPr>
              <w:fldChar w:fldCharType="begin"/>
            </w:r>
            <w:r w:rsidR="00152CB9">
              <w:rPr>
                <w:noProof/>
                <w:webHidden/>
              </w:rPr>
              <w:instrText xml:space="preserve"> PAGEREF _Toc166060936 \h </w:instrText>
            </w:r>
            <w:r w:rsidR="00152CB9">
              <w:rPr>
                <w:noProof/>
                <w:webHidden/>
              </w:rPr>
            </w:r>
            <w:r w:rsidR="00152CB9">
              <w:rPr>
                <w:noProof/>
                <w:webHidden/>
              </w:rPr>
              <w:fldChar w:fldCharType="separate"/>
            </w:r>
            <w:r w:rsidR="00152CB9">
              <w:rPr>
                <w:noProof/>
                <w:webHidden/>
              </w:rPr>
              <w:t>24</w:t>
            </w:r>
            <w:r w:rsidR="00152CB9">
              <w:rPr>
                <w:noProof/>
                <w:webHidden/>
              </w:rPr>
              <w:fldChar w:fldCharType="end"/>
            </w:r>
          </w:hyperlink>
        </w:p>
        <w:p w14:paraId="5E8DB417" w14:textId="612C8515" w:rsidR="00152CB9" w:rsidRDefault="00000000" w:rsidP="00152CB9">
          <w:pPr>
            <w:pStyle w:val="10"/>
            <w:rPr>
              <w:rFonts w:asciiTheme="minorHAnsi" w:eastAsiaTheme="minorEastAsia" w:hAnsiTheme="minorHAnsi" w:cstheme="minorBidi"/>
              <w:noProof/>
              <w:kern w:val="0"/>
              <w:lang w:eastAsia="el-GR"/>
              <w14:ligatures w14:val="none"/>
            </w:rPr>
          </w:pPr>
          <w:hyperlink w:anchor="_Toc166060937" w:history="1">
            <w:r w:rsidR="00152CB9" w:rsidRPr="002E3B9B">
              <w:rPr>
                <w:rStyle w:val="-"/>
                <w:noProof/>
              </w:rPr>
              <w:t>Ε. Συμπέρασμα</w:t>
            </w:r>
            <w:r w:rsidR="00152CB9">
              <w:rPr>
                <w:noProof/>
                <w:webHidden/>
              </w:rPr>
              <w:tab/>
            </w:r>
            <w:r w:rsidR="00152CB9">
              <w:rPr>
                <w:noProof/>
                <w:webHidden/>
              </w:rPr>
              <w:fldChar w:fldCharType="begin"/>
            </w:r>
            <w:r w:rsidR="00152CB9">
              <w:rPr>
                <w:noProof/>
                <w:webHidden/>
              </w:rPr>
              <w:instrText xml:space="preserve"> PAGEREF _Toc166060937 \h </w:instrText>
            </w:r>
            <w:r w:rsidR="00152CB9">
              <w:rPr>
                <w:noProof/>
                <w:webHidden/>
              </w:rPr>
            </w:r>
            <w:r w:rsidR="00152CB9">
              <w:rPr>
                <w:noProof/>
                <w:webHidden/>
              </w:rPr>
              <w:fldChar w:fldCharType="separate"/>
            </w:r>
            <w:r w:rsidR="00152CB9">
              <w:rPr>
                <w:noProof/>
                <w:webHidden/>
              </w:rPr>
              <w:t>25</w:t>
            </w:r>
            <w:r w:rsidR="00152CB9">
              <w:rPr>
                <w:noProof/>
                <w:webHidden/>
              </w:rPr>
              <w:fldChar w:fldCharType="end"/>
            </w:r>
          </w:hyperlink>
        </w:p>
        <w:p w14:paraId="7D42D249" w14:textId="68B235EE" w:rsidR="00152CB9" w:rsidRDefault="00000000" w:rsidP="00152CB9">
          <w:pPr>
            <w:pStyle w:val="10"/>
            <w:rPr>
              <w:rFonts w:asciiTheme="minorHAnsi" w:eastAsiaTheme="minorEastAsia" w:hAnsiTheme="minorHAnsi" w:cstheme="minorBidi"/>
              <w:noProof/>
              <w:kern w:val="0"/>
              <w:lang w:eastAsia="el-GR"/>
              <w14:ligatures w14:val="none"/>
            </w:rPr>
          </w:pPr>
          <w:hyperlink w:anchor="_Toc166060938" w:history="1">
            <w:r w:rsidR="00152CB9" w:rsidRPr="002E3B9B">
              <w:rPr>
                <w:rStyle w:val="-"/>
                <w:noProof/>
              </w:rPr>
              <w:t>Βιβλιογραφία - Νομολογία</w:t>
            </w:r>
            <w:r w:rsidR="00152CB9">
              <w:rPr>
                <w:noProof/>
                <w:webHidden/>
              </w:rPr>
              <w:tab/>
            </w:r>
            <w:r w:rsidR="00152CB9">
              <w:rPr>
                <w:noProof/>
                <w:webHidden/>
              </w:rPr>
              <w:fldChar w:fldCharType="begin"/>
            </w:r>
            <w:r w:rsidR="00152CB9">
              <w:rPr>
                <w:noProof/>
                <w:webHidden/>
              </w:rPr>
              <w:instrText xml:space="preserve"> PAGEREF _Toc166060938 \h </w:instrText>
            </w:r>
            <w:r w:rsidR="00152CB9">
              <w:rPr>
                <w:noProof/>
                <w:webHidden/>
              </w:rPr>
            </w:r>
            <w:r w:rsidR="00152CB9">
              <w:rPr>
                <w:noProof/>
                <w:webHidden/>
              </w:rPr>
              <w:fldChar w:fldCharType="separate"/>
            </w:r>
            <w:r w:rsidR="00152CB9">
              <w:rPr>
                <w:noProof/>
                <w:webHidden/>
              </w:rPr>
              <w:t>26</w:t>
            </w:r>
            <w:r w:rsidR="00152CB9">
              <w:rPr>
                <w:noProof/>
                <w:webHidden/>
              </w:rPr>
              <w:fldChar w:fldCharType="end"/>
            </w:r>
          </w:hyperlink>
        </w:p>
        <w:p w14:paraId="3CB150E2" w14:textId="078A24FF" w:rsidR="00C15156" w:rsidRPr="001B1873" w:rsidRDefault="00C15156" w:rsidP="00152CB9">
          <w:pPr>
            <w:spacing w:line="276" w:lineRule="auto"/>
          </w:pPr>
          <w:r>
            <w:rPr>
              <w:b/>
              <w:bCs/>
            </w:rPr>
            <w:fldChar w:fldCharType="end"/>
          </w:r>
        </w:p>
      </w:sdtContent>
    </w:sdt>
    <w:p w14:paraId="6D9C8070" w14:textId="289F47AC" w:rsidR="006A05DC" w:rsidRDefault="00BA35B3" w:rsidP="00E72ECE">
      <w:pPr>
        <w:pStyle w:val="1"/>
        <w:spacing w:before="120" w:after="120" w:line="360" w:lineRule="auto"/>
      </w:pPr>
      <w:bookmarkStart w:id="0" w:name="_Toc166060913"/>
      <w:r>
        <w:lastRenderedPageBreak/>
        <w:t>Α</w:t>
      </w:r>
      <w:r w:rsidR="00420656" w:rsidRPr="00420656">
        <w:t>. Ε</w:t>
      </w:r>
      <w:r>
        <w:t xml:space="preserve">ισαγωγή </w:t>
      </w:r>
      <w:r w:rsidR="00976D42">
        <w:t>– Η ε</w:t>
      </w:r>
      <w:r w:rsidR="00420656" w:rsidRPr="00420656">
        <w:t xml:space="preserve">πικουρική προστασία </w:t>
      </w:r>
      <w:r w:rsidR="00420656">
        <w:t>τ</w:t>
      </w:r>
      <w:r w:rsidR="00F001AD">
        <w:t>ου</w:t>
      </w:r>
      <w:r w:rsidR="00420656">
        <w:t xml:space="preserve"> </w:t>
      </w:r>
      <w:r w:rsidR="00420656" w:rsidRPr="00420656">
        <w:t>Ε</w:t>
      </w:r>
      <w:r w:rsidR="00F001AD">
        <w:t>Δ</w:t>
      </w:r>
      <w:r w:rsidR="00420656" w:rsidRPr="00420656">
        <w:t>ΔΑ</w:t>
      </w:r>
      <w:bookmarkEnd w:id="0"/>
    </w:p>
    <w:p w14:paraId="1CBE9580" w14:textId="0F40CCC3" w:rsidR="00B21FC3" w:rsidRDefault="00377497" w:rsidP="00E72ECE">
      <w:pPr>
        <w:spacing w:before="120" w:after="120" w:line="360" w:lineRule="auto"/>
        <w:ind w:firstLine="720"/>
      </w:pPr>
      <w:r>
        <w:t>Από</w:t>
      </w:r>
      <w:r w:rsidR="00772355">
        <w:t xml:space="preserve"> το άρθρο 1 της ΕΣΔΑ</w:t>
      </w:r>
      <w:r>
        <w:t>, κατά το οποίο</w:t>
      </w:r>
      <w:r w:rsidR="00772355">
        <w:t xml:space="preserve"> «</w:t>
      </w:r>
      <w:r w:rsidR="005F38F8" w:rsidRPr="005F38F8">
        <w:rPr>
          <w:i/>
          <w:iCs/>
        </w:rPr>
        <w:t>Τα υψηλά συμβαλλόμενα μέρη αναγνωρίζουν,</w:t>
      </w:r>
      <w:r w:rsidR="00A54239">
        <w:rPr>
          <w:i/>
          <w:iCs/>
        </w:rPr>
        <w:t xml:space="preserve"> </w:t>
      </w:r>
      <w:r w:rsidR="005F38F8" w:rsidRPr="005F38F8">
        <w:rPr>
          <w:i/>
          <w:iCs/>
        </w:rPr>
        <w:t>εις</w:t>
      </w:r>
      <w:r w:rsidR="00A54239">
        <w:rPr>
          <w:i/>
          <w:iCs/>
        </w:rPr>
        <w:t xml:space="preserve"> </w:t>
      </w:r>
      <w:r w:rsidR="005F38F8" w:rsidRPr="005F38F8">
        <w:rPr>
          <w:i/>
          <w:iCs/>
        </w:rPr>
        <w:t>όλα τα εξαρτώμενα εκ της δικαιοδοσίας των πρόσωπα, τα καθοριζόμενα εις το πρώτον μέρος της παρούσης Συμβάσεως δικαιώματα και ελευθερίας</w:t>
      </w:r>
      <w:r w:rsidR="005F38F8">
        <w:t>»</w:t>
      </w:r>
      <w:r>
        <w:t>, σε συνδυασμό με το άρθρο</w:t>
      </w:r>
      <w:r w:rsidR="005F38F8">
        <w:t xml:space="preserve"> </w:t>
      </w:r>
      <w:r w:rsidR="00B21FC3">
        <w:t xml:space="preserve">35 παρ. 1 </w:t>
      </w:r>
      <w:r w:rsidR="005F38F8">
        <w:t>αυτής,</w:t>
      </w:r>
      <w:r>
        <w:t xml:space="preserve"> κατά το οποίο</w:t>
      </w:r>
      <w:r w:rsidR="00B21FC3">
        <w:t xml:space="preserve"> «</w:t>
      </w:r>
      <w:r w:rsidR="00B21FC3" w:rsidRPr="001D6C36">
        <w:rPr>
          <w:i/>
          <w:iCs/>
        </w:rPr>
        <w:t xml:space="preserve">Το Δικαστήριο </w:t>
      </w:r>
      <w:r w:rsidR="00B21FC3" w:rsidRPr="00B21FC3">
        <w:rPr>
          <w:b/>
          <w:bCs/>
          <w:i/>
          <w:iCs/>
        </w:rPr>
        <w:t>δεν μπορεί να επιληφθεί προσφυγής παρά μόνο αφού εξαντληθούν τα εσωτερικά ένδικα μέσα</w:t>
      </w:r>
      <w:r w:rsidR="00B21FC3" w:rsidRPr="001D6C36">
        <w:rPr>
          <w:i/>
          <w:iCs/>
        </w:rPr>
        <w:t>, όπως αυτά νοούνται σύμφωνα με τις γενικώς παραδεδεγμένες αρχές του δικαίου και εντός προθεσμίας τεσσάρων μηνών από της ημερομηνίας της τελεσιδικίας της εσωτερικής απόφασης</w:t>
      </w:r>
      <w:r w:rsidR="00B21FC3">
        <w:t>»</w:t>
      </w:r>
      <w:r>
        <w:t>, προκύπτει ότι</w:t>
      </w:r>
      <w:r w:rsidR="00F41973" w:rsidRPr="00F41973">
        <w:t xml:space="preserve"> η πρωταρχική ευθύνη για την εφαρμογή και την επιβολή των δικαιωμάτων και </w:t>
      </w:r>
      <w:r w:rsidR="00F85165">
        <w:t xml:space="preserve">των </w:t>
      </w:r>
      <w:r w:rsidR="00F41973" w:rsidRPr="00F41973">
        <w:t xml:space="preserve">ελευθεριών που εγγυάται η </w:t>
      </w:r>
      <w:r w:rsidR="00F85165">
        <w:t>ΕΣΔΑ</w:t>
      </w:r>
      <w:r w:rsidR="00F41973" w:rsidRPr="00F41973">
        <w:t xml:space="preserve"> </w:t>
      </w:r>
      <w:r w:rsidR="00F41973" w:rsidRPr="00A54239">
        <w:rPr>
          <w:b/>
          <w:bCs/>
        </w:rPr>
        <w:t>βαρύνει τις εθνικές αρχές</w:t>
      </w:r>
      <w:r w:rsidR="00F85165" w:rsidRPr="00A54239">
        <w:rPr>
          <w:b/>
          <w:bCs/>
        </w:rPr>
        <w:t xml:space="preserve"> των κρατών με</w:t>
      </w:r>
      <w:r w:rsidR="002D31A8">
        <w:rPr>
          <w:b/>
          <w:bCs/>
        </w:rPr>
        <w:t>ρ</w:t>
      </w:r>
      <w:r w:rsidR="00F85165" w:rsidRPr="00A54239">
        <w:rPr>
          <w:b/>
          <w:bCs/>
        </w:rPr>
        <w:t>ών</w:t>
      </w:r>
      <w:r w:rsidR="00813BFD">
        <w:rPr>
          <w:rStyle w:val="a7"/>
        </w:rPr>
        <w:footnoteReference w:id="1"/>
      </w:r>
      <w:r w:rsidR="00B21FC3">
        <w:t>.</w:t>
      </w:r>
    </w:p>
    <w:p w14:paraId="57E06B38" w14:textId="696E2270" w:rsidR="00A27049" w:rsidRPr="00562012" w:rsidRDefault="0062595E" w:rsidP="00E72ECE">
      <w:pPr>
        <w:spacing w:before="120" w:after="120" w:line="360" w:lineRule="auto"/>
        <w:ind w:firstLine="720"/>
      </w:pPr>
      <w:r>
        <w:t>Κατ’ επέκταση</w:t>
      </w:r>
      <w:r w:rsidR="001F09F6">
        <w:t xml:space="preserve">, </w:t>
      </w:r>
      <w:r w:rsidR="00137799">
        <w:t>η προστασία που</w:t>
      </w:r>
      <w:r w:rsidR="001D6C36">
        <w:t xml:space="preserve"> </w:t>
      </w:r>
      <w:r w:rsidR="00137799">
        <w:t xml:space="preserve">παρέχει </w:t>
      </w:r>
      <w:r w:rsidR="00BE3921">
        <w:t>το ΕΔΔΑ</w:t>
      </w:r>
      <w:r w:rsidR="00B21FC3">
        <w:t xml:space="preserve"> </w:t>
      </w:r>
      <w:r w:rsidR="00137799">
        <w:t xml:space="preserve">στα φυσικά πρόσωπα είναι </w:t>
      </w:r>
      <w:r w:rsidR="00137799">
        <w:rPr>
          <w:b/>
          <w:bCs/>
        </w:rPr>
        <w:t xml:space="preserve">επικουρική </w:t>
      </w:r>
      <w:r w:rsidR="00137799">
        <w:t xml:space="preserve">έναντι της προστασίας που μπορεί να παράσχει η </w:t>
      </w:r>
      <w:r w:rsidR="00A27049">
        <w:t xml:space="preserve">εκάστοτε </w:t>
      </w:r>
      <w:r w:rsidR="00137799">
        <w:t>εσωτερική έννομη τάξη για την ίδια παραβίαση</w:t>
      </w:r>
      <w:r w:rsidR="00A27049">
        <w:t>, αφού το Δικαστήριο απαιτεί την εξάντληση των εσωτερικών ενδίκων μέσων ως προϋπόθεση του παραδεκτού της προσφυγής σε αυτό</w:t>
      </w:r>
      <w:r w:rsidR="00982B5C">
        <w:rPr>
          <w:rStyle w:val="a7"/>
        </w:rPr>
        <w:footnoteReference w:id="2"/>
      </w:r>
      <w:r w:rsidR="00A27049">
        <w:t xml:space="preserve">. </w:t>
      </w:r>
      <w:r w:rsidR="00123C1D">
        <w:t xml:space="preserve">Τούτο δε προκύπτει τόσο </w:t>
      </w:r>
      <w:r w:rsidR="00123C1D" w:rsidRPr="00123C1D">
        <w:t xml:space="preserve">από τα </w:t>
      </w:r>
      <w:r w:rsidR="00123C1D">
        <w:t>ανωτέρω αναφερόμενα</w:t>
      </w:r>
      <w:r w:rsidR="00123C1D" w:rsidRPr="00123C1D">
        <w:t xml:space="preserve"> άρθρα</w:t>
      </w:r>
      <w:r w:rsidR="00123C1D">
        <w:t xml:space="preserve"> όσο και από </w:t>
      </w:r>
      <w:r w:rsidR="00123C1D" w:rsidRPr="00123C1D">
        <w:t>το άρθρο 13 της ΕΣΔΑ, η ερμηνεία του οποίου επιχειρείται με την παρούσα εργασία</w:t>
      </w:r>
      <w:r w:rsidR="00562012" w:rsidRPr="00562012">
        <w:t>.</w:t>
      </w:r>
    </w:p>
    <w:p w14:paraId="07CB60DC" w14:textId="6E59340E" w:rsidR="006C0B4C" w:rsidRDefault="006C0B4C" w:rsidP="00E72ECE">
      <w:pPr>
        <w:spacing w:before="120" w:after="120" w:line="360" w:lineRule="auto"/>
        <w:ind w:firstLine="720"/>
      </w:pPr>
      <w:r>
        <w:t xml:space="preserve"> </w:t>
      </w:r>
      <w:r w:rsidR="0075552A">
        <w:t>Δ</w:t>
      </w:r>
      <w:r>
        <w:t xml:space="preserve">ικαιολογητική βάση </w:t>
      </w:r>
      <w:r w:rsidR="0075552A">
        <w:t>της επικουρικής προστασίας του ΕΔΔΑ</w:t>
      </w:r>
      <w:r w:rsidR="009F353B">
        <w:t xml:space="preserve"> </w:t>
      </w:r>
      <w:r>
        <w:t xml:space="preserve">είναι </w:t>
      </w:r>
      <w:r w:rsidR="00562012">
        <w:t xml:space="preserve">η πρόκριση της </w:t>
      </w:r>
      <w:r w:rsidR="001A1227">
        <w:t xml:space="preserve">άμεσης επανόρθωσης </w:t>
      </w:r>
      <w:r w:rsidR="007B3160">
        <w:t xml:space="preserve"> </w:t>
      </w:r>
      <w:r w:rsidR="001A1227">
        <w:t>της παράβασης εκ μέρους τ</w:t>
      </w:r>
      <w:r w:rsidR="00C62D09">
        <w:t xml:space="preserve">ων κρατών, ώστε να μην </w:t>
      </w:r>
      <w:r>
        <w:t>άγονται προ ενός διεθνούς δικαστηρίου για τις πράξεις τους</w:t>
      </w:r>
      <w:r w:rsidR="00DC38D3">
        <w:t>,</w:t>
      </w:r>
      <w:r>
        <w:t xml:space="preserve"> </w:t>
      </w:r>
      <w:r w:rsidRPr="00E2429C">
        <w:rPr>
          <w:b/>
          <w:bCs/>
        </w:rPr>
        <w:t>προτού τους δοθεί η ευκαιρία να θεραπεύσουν την προσβλητική, για τον εκάστοτε παθόντα, κατάσταση μέσω του δικού τους νομικού συστήματος</w:t>
      </w:r>
      <w:r w:rsidR="00B9152F">
        <w:t>. Ως εκ τούτου,</w:t>
      </w:r>
      <w:r>
        <w:t xml:space="preserve"> </w:t>
      </w:r>
      <w:r w:rsidR="00B9152F">
        <w:t xml:space="preserve">όποιος </w:t>
      </w:r>
      <w:r>
        <w:t>επιθυμ</w:t>
      </w:r>
      <w:r w:rsidR="00B9152F">
        <w:t>εί</w:t>
      </w:r>
      <w:r>
        <w:t xml:space="preserve"> να επικαλεστ</w:t>
      </w:r>
      <w:r w:rsidR="00B9152F">
        <w:t>εί</w:t>
      </w:r>
      <w:r>
        <w:t xml:space="preserve"> την υπερκείμενη δικαιοδοσία του ΕΔΔΑ</w:t>
      </w:r>
      <w:r w:rsidR="00B9152F">
        <w:t>,</w:t>
      </w:r>
      <w:r>
        <w:t xml:space="preserve"> </w:t>
      </w:r>
      <w:r w:rsidR="00B9152F">
        <w:t xml:space="preserve">υποχρεούται, προηγουμένως, </w:t>
      </w:r>
      <w:r>
        <w:t xml:space="preserve">να </w:t>
      </w:r>
      <w:r w:rsidR="00B9152F">
        <w:t>χρησιμοποιήσει όλα τα μέσα που του παρέχει το εθνικό νομικό σύστημα</w:t>
      </w:r>
      <w:r w:rsidR="00AC0B56">
        <w:t xml:space="preserve"> και </w:t>
      </w:r>
      <w:r w:rsidR="00B9152F">
        <w:t xml:space="preserve">να θέσει </w:t>
      </w:r>
      <w:r>
        <w:t xml:space="preserve">τα </w:t>
      </w:r>
      <w:r w:rsidR="00B9152F">
        <w:t>παράπονά του κατά του Κράτους ενώπιον</w:t>
      </w:r>
      <w:r w:rsidR="00627358">
        <w:t xml:space="preserve"> αυτού</w:t>
      </w:r>
      <w:r w:rsidR="00BB7ABA">
        <w:t xml:space="preserve"> του ιδίου</w:t>
      </w:r>
      <w:r w:rsidR="0076715E">
        <w:rPr>
          <w:rStyle w:val="a7"/>
        </w:rPr>
        <w:footnoteReference w:id="3"/>
      </w:r>
      <w:r w:rsidR="00B9152F">
        <w:t xml:space="preserve">. </w:t>
      </w:r>
    </w:p>
    <w:p w14:paraId="332A41F2" w14:textId="34F4F2D3" w:rsidR="00CC2518" w:rsidRDefault="00CC2518" w:rsidP="00E72ECE">
      <w:pPr>
        <w:spacing w:before="120" w:after="120" w:line="360" w:lineRule="auto"/>
        <w:ind w:firstLine="720"/>
      </w:pPr>
      <w:r>
        <w:t>Επανειλημμένως, άλλωστε</w:t>
      </w:r>
      <w:r w:rsidR="00962AED">
        <w:t>,</w:t>
      </w:r>
      <w:r>
        <w:t xml:space="preserve"> έχει κριθεί </w:t>
      </w:r>
      <w:r w:rsidR="00A97BD0">
        <w:t xml:space="preserve">από το ΕΔΔΑ </w:t>
      </w:r>
      <w:r>
        <w:t xml:space="preserve">ότι </w:t>
      </w:r>
      <w:r w:rsidR="000263FE">
        <w:t>η προστασία των δικαιωμάτων που κατοχυρώνονται στη Σύμβαση θα ήταν αναποτελεσματική αν οι παθόντες</w:t>
      </w:r>
      <w:r w:rsidR="00841AA5">
        <w:t xml:space="preserve"> είχαν, μόνο, τη δυνατότητα να προβάλλουν </w:t>
      </w:r>
      <w:r w:rsidR="000263FE">
        <w:t xml:space="preserve">την εκάστοτε </w:t>
      </w:r>
      <w:r w:rsidR="00962AED">
        <w:t xml:space="preserve">προσβολή τους </w:t>
      </w:r>
      <w:r w:rsidR="00A97BD0">
        <w:lastRenderedPageBreak/>
        <w:t xml:space="preserve">απευθείας </w:t>
      </w:r>
      <w:r w:rsidR="000263FE">
        <w:t xml:space="preserve">ενώπιον </w:t>
      </w:r>
      <w:r w:rsidR="00A97BD0">
        <w:t>αυτού</w:t>
      </w:r>
      <w:r w:rsidR="00841AA5">
        <w:t xml:space="preserve">, </w:t>
      </w:r>
      <w:r w:rsidR="00962AED">
        <w:t xml:space="preserve">χωρίς να </w:t>
      </w:r>
      <w:r w:rsidR="00A97BD0">
        <w:t>έχουν την ευκαιρία</w:t>
      </w:r>
      <w:r w:rsidR="00962AED">
        <w:t xml:space="preserve"> να </w:t>
      </w:r>
      <w:r w:rsidR="00A97BD0">
        <w:t>απευθυνθούν</w:t>
      </w:r>
      <w:r w:rsidR="000D6D49">
        <w:t>, πρώτα,</w:t>
      </w:r>
      <w:r w:rsidR="00A97BD0">
        <w:t xml:space="preserve"> </w:t>
      </w:r>
      <w:r w:rsidR="00B611CA">
        <w:t xml:space="preserve">στις </w:t>
      </w:r>
      <w:r w:rsidR="00841AA5">
        <w:t>εθνικ</w:t>
      </w:r>
      <w:r w:rsidR="00B611CA">
        <w:t>ές</w:t>
      </w:r>
      <w:r w:rsidR="00841AA5">
        <w:t xml:space="preserve"> αρχ</w:t>
      </w:r>
      <w:r w:rsidR="00B611CA">
        <w:t>ές</w:t>
      </w:r>
      <w:r w:rsidR="00841AA5">
        <w:t xml:space="preserve"> των κρατών με</w:t>
      </w:r>
      <w:r w:rsidR="002D31A8">
        <w:t>ρ</w:t>
      </w:r>
      <w:r w:rsidR="00841AA5">
        <w:t>ών</w:t>
      </w:r>
      <w:r w:rsidR="00527D7A">
        <w:t xml:space="preserve"> για την άρση </w:t>
      </w:r>
      <w:r w:rsidR="00012945">
        <w:t>της</w:t>
      </w:r>
      <w:r w:rsidR="00A97BD0">
        <w:rPr>
          <w:rStyle w:val="a7"/>
        </w:rPr>
        <w:footnoteReference w:id="4"/>
      </w:r>
      <w:r w:rsidR="00A97BD0">
        <w:t>.</w:t>
      </w:r>
      <w:r w:rsidR="000263FE">
        <w:t xml:space="preserve"> </w:t>
      </w:r>
      <w:r>
        <w:t xml:space="preserve"> </w:t>
      </w:r>
    </w:p>
    <w:p w14:paraId="795A9D5C" w14:textId="313D22DB" w:rsidR="009E4125" w:rsidRDefault="004567C0" w:rsidP="00E72ECE">
      <w:pPr>
        <w:spacing w:before="120" w:after="120" w:line="360" w:lineRule="auto"/>
        <w:ind w:firstLine="720"/>
      </w:pPr>
      <w:r>
        <w:t>Συναφώς</w:t>
      </w:r>
      <w:r w:rsidR="009E4125">
        <w:t xml:space="preserve">, το άρθρο 35 </w:t>
      </w:r>
      <w:r w:rsidR="00600747">
        <w:t xml:space="preserve">προϋποθέτει ότι τα παράπονα, που προτίθεται ο προσφεύγων να φέρει ενώπιον του ΕΔΔΑ, πρέπει να έχουν πρώτα εισαχθεί ενώπιον του αρμόδιου εθνικού οργάνου, </w:t>
      </w:r>
      <w:r w:rsidR="00600747" w:rsidRPr="00600747">
        <w:rPr>
          <w:b/>
          <w:bCs/>
        </w:rPr>
        <w:t xml:space="preserve">τουλάχιστον κατ’ </w:t>
      </w:r>
      <w:proofErr w:type="spellStart"/>
      <w:r w:rsidR="00600747" w:rsidRPr="00600747">
        <w:rPr>
          <w:b/>
          <w:bCs/>
        </w:rPr>
        <w:t>ουσίαν</w:t>
      </w:r>
      <w:proofErr w:type="spellEnd"/>
      <w:r w:rsidR="00600747">
        <w:t xml:space="preserve">, </w:t>
      </w:r>
      <w:r w:rsidR="00AD105E">
        <w:t>σύμφωνα με τις τυπικές προϋποθέσεις και προθεσμίες του εθνικού νόμου</w:t>
      </w:r>
      <w:r w:rsidR="00B4751B">
        <w:t xml:space="preserve">, </w:t>
      </w:r>
      <w:r w:rsidR="00EB1744">
        <w:t xml:space="preserve">καθώς </w:t>
      </w:r>
      <w:r w:rsidR="00B4751B">
        <w:t xml:space="preserve">και να έχει γίνει χρήση κάθε διαδικαστικού μέσου που μπορεί να αποτρέψει την </w:t>
      </w:r>
      <w:r w:rsidR="00BF2C23">
        <w:t xml:space="preserve">επικαλούμενη </w:t>
      </w:r>
      <w:r w:rsidR="00B4751B">
        <w:t>παραβίαση</w:t>
      </w:r>
      <w:r w:rsidR="00747354">
        <w:rPr>
          <w:rStyle w:val="a7"/>
        </w:rPr>
        <w:footnoteReference w:id="5"/>
      </w:r>
      <w:r w:rsidR="00747354">
        <w:t>.</w:t>
      </w:r>
    </w:p>
    <w:p w14:paraId="453170DE" w14:textId="3C490FD6" w:rsidR="00A27049" w:rsidRDefault="00897632" w:rsidP="00E72ECE">
      <w:pPr>
        <w:spacing w:before="120" w:after="120" w:line="360" w:lineRule="auto"/>
        <w:ind w:firstLine="720"/>
      </w:pPr>
      <w:r>
        <w:t xml:space="preserve">Εκ προοιμίου, </w:t>
      </w:r>
      <w:r w:rsidR="000F7F82">
        <w:t>υπογραμμίζεται</w:t>
      </w:r>
      <w:r w:rsidR="00695E6C">
        <w:t>, ωστόσο,</w:t>
      </w:r>
      <w:r w:rsidR="00A27049">
        <w:t xml:space="preserve"> ότι το </w:t>
      </w:r>
      <w:r w:rsidR="00430CF6">
        <w:t>ΕΔΔΑ</w:t>
      </w:r>
      <w:r w:rsidR="00A27049">
        <w:t xml:space="preserve"> δεν αρκείται, απλώς και μόνο, στη</w:t>
      </w:r>
      <w:r w:rsidR="00A61B50">
        <w:t>ν τυπική</w:t>
      </w:r>
      <w:r w:rsidR="00A27049">
        <w:t xml:space="preserve"> διάγνωση της </w:t>
      </w:r>
      <w:r w:rsidR="00A61B50">
        <w:t>εξάντλησης των εσωτερικών ενδίκων μέσων, αλλά απαιτεί, επιπλέον, τα</w:t>
      </w:r>
      <w:r w:rsidR="00FD54B8">
        <w:t>,</w:t>
      </w:r>
      <w:r w:rsidR="00A61B50">
        <w:t xml:space="preserve"> </w:t>
      </w:r>
      <w:r w:rsidR="00FD54B8">
        <w:t xml:space="preserve">προβλεπόμενα στην εσωτερική έννομη τάξη, </w:t>
      </w:r>
      <w:r w:rsidR="00A61B50">
        <w:t>ένδικα μέσα προστασίας να είναι σε θέση, λαμβανομένης υπόψη και της προσωπικής κατάστασης του</w:t>
      </w:r>
      <w:r w:rsidR="001F1D5A">
        <w:t xml:space="preserve"> προσφεύγοντος, </w:t>
      </w:r>
      <w:r w:rsidR="001F1D5A" w:rsidRPr="00E619EF">
        <w:rPr>
          <w:b/>
          <w:bCs/>
        </w:rPr>
        <w:t>να αναιρέσουν και να αποκαταστήσουν την προσβολή</w:t>
      </w:r>
      <w:r w:rsidR="001F1D5A">
        <w:t xml:space="preserve"> που αυτός έχει υποστεί.</w:t>
      </w:r>
    </w:p>
    <w:p w14:paraId="65159A77" w14:textId="116EF870" w:rsidR="001F1D5A" w:rsidRPr="007700BE" w:rsidRDefault="007700BE" w:rsidP="00E72ECE">
      <w:pPr>
        <w:spacing w:before="120" w:after="120" w:line="360" w:lineRule="auto"/>
        <w:ind w:firstLine="720"/>
        <w:rPr>
          <w:b/>
          <w:bCs/>
        </w:rPr>
      </w:pPr>
      <w:r>
        <w:t>Ειδικότερα</w:t>
      </w:r>
      <w:r w:rsidR="001F1D5A">
        <w:t xml:space="preserve">, προκειμένου να κριθεί απαράδεκτη η προσφυγή στο ΕΔΔΑ λόγω μη εξάντλησης των εσωτερικών ενδίκων μέσων, θα πρέπει τα ένδικα μέσα προστασίας που έχουν θεσπιστεί στην εκάστοτε έννομη τάξη </w:t>
      </w:r>
      <w:r w:rsidR="001F1D5A" w:rsidRPr="007700BE">
        <w:rPr>
          <w:b/>
          <w:bCs/>
        </w:rPr>
        <w:t>α)</w:t>
      </w:r>
      <w:r w:rsidR="001F1D5A">
        <w:t xml:space="preserve"> να είναι πρόσφορα </w:t>
      </w:r>
      <w:r>
        <w:t>να άρουν την παραβίαση και να θεραπεύσουν τις συνέπειες αυτής</w:t>
      </w:r>
      <w:r w:rsidR="00223045">
        <w:t xml:space="preserve"> και</w:t>
      </w:r>
      <w:r>
        <w:t xml:space="preserve"> </w:t>
      </w:r>
      <w:r w:rsidRPr="007700BE">
        <w:rPr>
          <w:b/>
          <w:bCs/>
        </w:rPr>
        <w:t>β)</w:t>
      </w:r>
      <w:r>
        <w:t xml:space="preserve"> να εφαρμόζονται πράγματι με τέτοιον τρόπο, ώστε να παράγουν το αποτέλεσμα που επιδιώκει ο προσφεύγων</w:t>
      </w:r>
      <w:r w:rsidR="00223045">
        <w:t>. Επιπλέον, θα πρέπει</w:t>
      </w:r>
      <w:r>
        <w:t xml:space="preserve"> </w:t>
      </w:r>
      <w:r w:rsidRPr="007700BE">
        <w:rPr>
          <w:b/>
          <w:bCs/>
        </w:rPr>
        <w:t xml:space="preserve">γ) </w:t>
      </w:r>
      <w:r w:rsidR="00223045" w:rsidRPr="00223045">
        <w:t xml:space="preserve">η </w:t>
      </w:r>
      <w:r w:rsidR="00223045">
        <w:t>προσωπική κατάσταση του προσφεύγοντος να είναι τέτοια που να μην καθιστά ανεπιεική την απόρριψη της προσφυγής του ως απαράδεκτη</w:t>
      </w:r>
      <w:r w:rsidR="008E006D">
        <w:t>ς</w:t>
      </w:r>
      <w:r w:rsidR="0007401B">
        <w:rPr>
          <w:rStyle w:val="a7"/>
        </w:rPr>
        <w:footnoteReference w:id="6"/>
      </w:r>
      <w:r w:rsidR="00223045">
        <w:t>.</w:t>
      </w:r>
      <w:r w:rsidR="00845732">
        <w:t xml:space="preserve"> </w:t>
      </w:r>
    </w:p>
    <w:p w14:paraId="7AA13D56" w14:textId="20ABF32B" w:rsidR="00EC58E4" w:rsidRDefault="0048653F" w:rsidP="00E72ECE">
      <w:pPr>
        <w:spacing w:before="120" w:after="120" w:line="360" w:lineRule="auto"/>
        <w:ind w:firstLine="720"/>
      </w:pPr>
      <w:r>
        <w:t>Τέλος, η</w:t>
      </w:r>
      <w:r w:rsidR="00F45B31">
        <w:t xml:space="preserve"> πρωτοβουλία για την </w:t>
      </w:r>
      <w:r w:rsidR="00A31584">
        <w:t>έγερση</w:t>
      </w:r>
      <w:r w:rsidR="00F45B31">
        <w:t xml:space="preserve"> </w:t>
      </w:r>
      <w:r w:rsidR="00695E6C">
        <w:t xml:space="preserve">της </w:t>
      </w:r>
      <w:r w:rsidR="00A31584">
        <w:t xml:space="preserve">ένστασης περί μη εξάντλησης των εσωτερικών ενδίκων μέσων </w:t>
      </w:r>
      <w:r w:rsidR="003C4353">
        <w:t xml:space="preserve">ανήκει αποκλειστικά στο </w:t>
      </w:r>
      <w:r w:rsidR="003C4353" w:rsidRPr="00695E6C">
        <w:rPr>
          <w:b/>
          <w:bCs/>
        </w:rPr>
        <w:t>εγκαλούμενο κράτος</w:t>
      </w:r>
      <w:r w:rsidR="00B4576E">
        <w:t xml:space="preserve">, το οποίο φέρει και το </w:t>
      </w:r>
      <w:r w:rsidR="00B4576E" w:rsidRPr="00695E6C">
        <w:rPr>
          <w:b/>
          <w:bCs/>
        </w:rPr>
        <w:t>βάρος απόδειξης</w:t>
      </w:r>
      <w:r w:rsidR="00B4576E">
        <w:t xml:space="preserve"> ως προς τη διαθεσιμότητα και την αποτελεσματικότητα του ενδίκου μέσου που </w:t>
      </w:r>
      <w:r w:rsidR="006566FA">
        <w:t xml:space="preserve">θεωρεί ότι θα έπρεπε να έχει εξαντλήσει ο προσφεύγων </w:t>
      </w:r>
      <w:r w:rsidR="004E3397">
        <w:t xml:space="preserve">πριν </w:t>
      </w:r>
      <w:r w:rsidR="0007401B">
        <w:t>την προσφυγή του</w:t>
      </w:r>
      <w:r w:rsidR="004E3397">
        <w:t xml:space="preserve"> στο ΕΔΔΑ</w:t>
      </w:r>
      <w:r w:rsidR="0007401B">
        <w:rPr>
          <w:rStyle w:val="a7"/>
        </w:rPr>
        <w:footnoteReference w:id="7"/>
      </w:r>
      <w:r w:rsidR="004E3397">
        <w:t>.</w:t>
      </w:r>
    </w:p>
    <w:p w14:paraId="09C4E570" w14:textId="43AFC8BD" w:rsidR="00EC58E4" w:rsidRDefault="00976D42" w:rsidP="00E72ECE">
      <w:pPr>
        <w:pStyle w:val="1"/>
        <w:spacing w:before="120" w:after="120" w:line="360" w:lineRule="auto"/>
      </w:pPr>
      <w:bookmarkStart w:id="1" w:name="_Toc166060914"/>
      <w:r>
        <w:lastRenderedPageBreak/>
        <w:t>Β</w:t>
      </w:r>
      <w:r w:rsidR="00EC58E4">
        <w:t xml:space="preserve">. </w:t>
      </w:r>
      <w:r w:rsidR="00845732">
        <w:t>Το δικαίωμα πραγματικής προσφυγής στο ΕΔΔΑ, κατά το άρθρο 13 της ΕΣΔΑ</w:t>
      </w:r>
      <w:r w:rsidR="001D6197">
        <w:t>, και οι προϋποθέσεις εφαρμογής του</w:t>
      </w:r>
      <w:bookmarkEnd w:id="1"/>
      <w:r w:rsidR="001D6197">
        <w:t xml:space="preserve"> </w:t>
      </w:r>
    </w:p>
    <w:p w14:paraId="2B843424" w14:textId="43A8DC70" w:rsidR="00FF4DE7" w:rsidRPr="00FF4DE7" w:rsidRDefault="00FF4DE7" w:rsidP="00E72ECE">
      <w:pPr>
        <w:pStyle w:val="2"/>
        <w:spacing w:before="120" w:after="120" w:line="360" w:lineRule="auto"/>
      </w:pPr>
      <w:bookmarkStart w:id="2" w:name="_Toc166060915"/>
      <w:r>
        <w:t>Γενικά</w:t>
      </w:r>
      <w:bookmarkEnd w:id="2"/>
    </w:p>
    <w:p w14:paraId="462D296B" w14:textId="23BB8974" w:rsidR="00845732" w:rsidRDefault="002D3CA8" w:rsidP="00E72ECE">
      <w:pPr>
        <w:spacing w:before="120" w:after="120" w:line="360" w:lineRule="auto"/>
        <w:ind w:firstLine="720"/>
        <w:rPr>
          <w:i/>
          <w:iCs/>
        </w:rPr>
      </w:pPr>
      <w:r>
        <w:t>Απολύτως συναφές με το άρθρο 35 της ΕΣΔΑ</w:t>
      </w:r>
      <w:r w:rsidR="00A54239">
        <w:t xml:space="preserve">, </w:t>
      </w:r>
      <w:r w:rsidR="00140CB3">
        <w:t>όπως, ήδη, αναφέρθηκε</w:t>
      </w:r>
      <w:r w:rsidR="00A54239">
        <w:t>,</w:t>
      </w:r>
      <w:r>
        <w:t xml:space="preserve"> είναι </w:t>
      </w:r>
      <w:r w:rsidR="00A7551D">
        <w:t>το</w:t>
      </w:r>
      <w:r w:rsidR="00845732">
        <w:t xml:space="preserve"> άρθρο 13 </w:t>
      </w:r>
      <w:r w:rsidR="00A7551D">
        <w:t>αυτής, κατά το οποίο</w:t>
      </w:r>
      <w:r w:rsidR="00A54239">
        <w:t xml:space="preserve"> </w:t>
      </w:r>
      <w:r w:rsidR="00845732" w:rsidRPr="00845732">
        <w:rPr>
          <w:i/>
          <w:iCs/>
        </w:rPr>
        <w:t xml:space="preserve">«Παν </w:t>
      </w:r>
      <w:proofErr w:type="spellStart"/>
      <w:r w:rsidR="00845732" w:rsidRPr="00845732">
        <w:rPr>
          <w:i/>
          <w:iCs/>
        </w:rPr>
        <w:t>πρόσωπον</w:t>
      </w:r>
      <w:proofErr w:type="spellEnd"/>
      <w:r w:rsidR="00845732" w:rsidRPr="00845732">
        <w:rPr>
          <w:i/>
          <w:iCs/>
        </w:rPr>
        <w:t xml:space="preserve"> του οποίου τα αναγνωριζόμενα εν τη </w:t>
      </w:r>
      <w:proofErr w:type="spellStart"/>
      <w:r w:rsidR="00845732" w:rsidRPr="00845732">
        <w:rPr>
          <w:i/>
          <w:iCs/>
        </w:rPr>
        <w:t>παρούση</w:t>
      </w:r>
      <w:proofErr w:type="spellEnd"/>
      <w:r w:rsidR="00845732" w:rsidRPr="00845732">
        <w:rPr>
          <w:i/>
          <w:iCs/>
        </w:rPr>
        <w:t xml:space="preserve"> </w:t>
      </w:r>
      <w:proofErr w:type="spellStart"/>
      <w:r w:rsidR="00845732" w:rsidRPr="00845732">
        <w:rPr>
          <w:i/>
          <w:iCs/>
        </w:rPr>
        <w:t>Συμβάσει</w:t>
      </w:r>
      <w:proofErr w:type="spellEnd"/>
      <w:r w:rsidR="00845732" w:rsidRPr="00845732">
        <w:rPr>
          <w:i/>
          <w:iCs/>
        </w:rPr>
        <w:t xml:space="preserve"> δικαιώματα και </w:t>
      </w:r>
      <w:proofErr w:type="spellStart"/>
      <w:r w:rsidR="00845732" w:rsidRPr="00845732">
        <w:rPr>
          <w:i/>
          <w:iCs/>
        </w:rPr>
        <w:t>ελευθερίαι</w:t>
      </w:r>
      <w:proofErr w:type="spellEnd"/>
      <w:r w:rsidR="00845732" w:rsidRPr="00845732">
        <w:rPr>
          <w:i/>
          <w:iCs/>
        </w:rPr>
        <w:t xml:space="preserve"> </w:t>
      </w:r>
      <w:proofErr w:type="spellStart"/>
      <w:r w:rsidR="00845732" w:rsidRPr="00845732">
        <w:rPr>
          <w:i/>
          <w:iCs/>
        </w:rPr>
        <w:t>παρεβιάσθησαν</w:t>
      </w:r>
      <w:proofErr w:type="spellEnd"/>
      <w:r w:rsidR="00845732" w:rsidRPr="00845732">
        <w:rPr>
          <w:i/>
          <w:iCs/>
        </w:rPr>
        <w:t xml:space="preserve">, </w:t>
      </w:r>
      <w:r w:rsidR="00845732" w:rsidRPr="00A7551D">
        <w:rPr>
          <w:b/>
          <w:bCs/>
          <w:i/>
          <w:iCs/>
        </w:rPr>
        <w:t>έχει το δικαίωμα πραγματικής προσφυγής ενώπιον εθνικής αρχής</w:t>
      </w:r>
      <w:r w:rsidR="00845732" w:rsidRPr="00845732">
        <w:rPr>
          <w:i/>
          <w:iCs/>
        </w:rPr>
        <w:t xml:space="preserve">, έστω και αν η </w:t>
      </w:r>
      <w:proofErr w:type="spellStart"/>
      <w:r w:rsidR="00845732" w:rsidRPr="00845732">
        <w:rPr>
          <w:i/>
          <w:iCs/>
        </w:rPr>
        <w:t>παραβίασις</w:t>
      </w:r>
      <w:proofErr w:type="spellEnd"/>
      <w:r w:rsidR="00845732" w:rsidRPr="00845732">
        <w:rPr>
          <w:i/>
          <w:iCs/>
        </w:rPr>
        <w:t xml:space="preserve"> </w:t>
      </w:r>
      <w:proofErr w:type="spellStart"/>
      <w:r w:rsidR="00845732" w:rsidRPr="00845732">
        <w:rPr>
          <w:i/>
          <w:iCs/>
        </w:rPr>
        <w:t>διεπράχθη</w:t>
      </w:r>
      <w:proofErr w:type="spellEnd"/>
      <w:r w:rsidR="00845732" w:rsidRPr="00845732">
        <w:rPr>
          <w:i/>
          <w:iCs/>
        </w:rPr>
        <w:t xml:space="preserve"> υπό προσώπων </w:t>
      </w:r>
      <w:proofErr w:type="spellStart"/>
      <w:r w:rsidR="00845732" w:rsidRPr="00845732">
        <w:rPr>
          <w:i/>
          <w:iCs/>
        </w:rPr>
        <w:t>ενεργούντων</w:t>
      </w:r>
      <w:proofErr w:type="spellEnd"/>
      <w:r w:rsidR="00845732" w:rsidRPr="00845732">
        <w:rPr>
          <w:i/>
          <w:iCs/>
        </w:rPr>
        <w:t xml:space="preserve"> εν τη εκτελέσει των δημοσίων καθηκόντων των».</w:t>
      </w:r>
    </w:p>
    <w:p w14:paraId="5683BA96" w14:textId="509C1F31" w:rsidR="003C3AF8" w:rsidRDefault="003722B7" w:rsidP="00E72ECE">
      <w:pPr>
        <w:spacing w:before="120" w:after="120" w:line="360" w:lineRule="auto"/>
        <w:ind w:firstLine="720"/>
      </w:pPr>
      <w:r>
        <w:t>Το</w:t>
      </w:r>
      <w:r w:rsidR="00054ECC">
        <w:t xml:space="preserve"> </w:t>
      </w:r>
      <w:r w:rsidR="00140CB3">
        <w:t xml:space="preserve">εν λόγω </w:t>
      </w:r>
      <w:r>
        <w:t>άρθρο</w:t>
      </w:r>
      <w:r w:rsidR="006E29DB">
        <w:t xml:space="preserve"> </w:t>
      </w:r>
      <w:r w:rsidR="00FF4DE7">
        <w:t>υποχρεώνει τα κράτη μέ</w:t>
      </w:r>
      <w:r w:rsidR="00C514B2">
        <w:t>ρ</w:t>
      </w:r>
      <w:r w:rsidR="00FF4DE7">
        <w:t xml:space="preserve">η να </w:t>
      </w:r>
      <w:r w:rsidR="0091245A">
        <w:t>θεσπίσουν στο εσωτερικό τους δίκαιο μέσα προστασίας κάθε προσώπου</w:t>
      </w:r>
      <w:r w:rsidR="000A68CF">
        <w:t xml:space="preserve"> του οποίου παραβιάστηκαν τα δικαιώματα και οι ελευθερίες που παρέχει η Σύμβαση</w:t>
      </w:r>
      <w:r w:rsidR="004A642F">
        <w:t xml:space="preserve">, ακόμη και αν η παραβίαση διαπράχθηκε από πρόσωπα που ενήργησαν κατά την εκτέλεση των </w:t>
      </w:r>
      <w:r w:rsidR="003C3AF8">
        <w:t>δημοσίων καθηκόντων τους.</w:t>
      </w:r>
      <w:r w:rsidR="003E08BF">
        <w:t xml:space="preserve"> Αποδίδεται, έτσι, μια </w:t>
      </w:r>
      <w:r w:rsidR="003E08BF" w:rsidRPr="00502503">
        <w:rPr>
          <w:b/>
          <w:bCs/>
        </w:rPr>
        <w:t>ευθεία έκφραση της υποχρέωσης του κράτους να προστατεύει τ</w:t>
      </w:r>
      <w:r w:rsidR="00723D94" w:rsidRPr="00502503">
        <w:rPr>
          <w:b/>
          <w:bCs/>
        </w:rPr>
        <w:t>α ανθρώπινα δικαιώματα</w:t>
      </w:r>
      <w:r w:rsidR="00723D94">
        <w:t xml:space="preserve">, κυρίως, εντός </w:t>
      </w:r>
      <w:r w:rsidR="00345B18">
        <w:t xml:space="preserve">και μέσω </w:t>
      </w:r>
      <w:r w:rsidR="00723D94">
        <w:t xml:space="preserve">του δικού του </w:t>
      </w:r>
      <w:r w:rsidR="00887FC6">
        <w:t>νομικού συστήματος</w:t>
      </w:r>
      <w:r w:rsidR="00887FC6">
        <w:rPr>
          <w:rStyle w:val="a7"/>
        </w:rPr>
        <w:footnoteReference w:id="8"/>
      </w:r>
      <w:r w:rsidR="00887FC6">
        <w:t>.</w:t>
      </w:r>
    </w:p>
    <w:p w14:paraId="56CFE328" w14:textId="1F36059B" w:rsidR="00F57442" w:rsidRDefault="00620C0E" w:rsidP="00E72ECE">
      <w:pPr>
        <w:spacing w:before="120" w:after="120" w:line="360" w:lineRule="auto"/>
        <w:ind w:firstLine="720"/>
      </w:pPr>
      <w:r>
        <w:t>Τ</w:t>
      </w:r>
      <w:r w:rsidR="00E25468">
        <w:t>ο άρθρο 13 περιβάλλει</w:t>
      </w:r>
      <w:r w:rsidR="00885ACF">
        <w:t xml:space="preserve">, </w:t>
      </w:r>
      <w:r w:rsidR="00835371">
        <w:t>συνεπώς</w:t>
      </w:r>
      <w:r w:rsidR="00885ACF">
        <w:t>,</w:t>
      </w:r>
      <w:r w:rsidR="00E25468">
        <w:t xml:space="preserve"> με μια διαδικαστικού χαρακτήρα εγγύηση τα δικαιώματα και τις ελευθερίες που κατοχυρώνονται στα άρθρα 1 έως 12 της Σύμβασης</w:t>
      </w:r>
      <w:r w:rsidR="00353948">
        <w:t xml:space="preserve">, καθώς και στα Πρόσθετα Πρωτόκολλά της, </w:t>
      </w:r>
      <w:r w:rsidR="00353948" w:rsidRPr="00885ACF">
        <w:rPr>
          <w:b/>
          <w:bCs/>
        </w:rPr>
        <w:t xml:space="preserve">ιδρύοντας την υποχρέωση </w:t>
      </w:r>
      <w:r w:rsidR="00345B18">
        <w:rPr>
          <w:b/>
          <w:bCs/>
        </w:rPr>
        <w:t xml:space="preserve">στα κράτη μέρη </w:t>
      </w:r>
      <w:r w:rsidR="00353948" w:rsidRPr="00885ACF">
        <w:rPr>
          <w:b/>
          <w:bCs/>
        </w:rPr>
        <w:t xml:space="preserve">να παρέχουν στα άτομα κατάλληλα μέσα </w:t>
      </w:r>
      <w:r w:rsidRPr="00885ACF">
        <w:rPr>
          <w:b/>
          <w:bCs/>
        </w:rPr>
        <w:t>προστασίας</w:t>
      </w:r>
      <w:r w:rsidR="00353948" w:rsidRPr="00885ACF">
        <w:rPr>
          <w:b/>
          <w:bCs/>
        </w:rPr>
        <w:t xml:space="preserve"> </w:t>
      </w:r>
      <w:r w:rsidRPr="00885ACF">
        <w:rPr>
          <w:b/>
          <w:bCs/>
        </w:rPr>
        <w:t>έναντι των προσβολών αυτών</w:t>
      </w:r>
      <w:r>
        <w:t xml:space="preserve">. </w:t>
      </w:r>
      <w:r w:rsidR="00347173">
        <w:t>Επ</w:t>
      </w:r>
      <w:r w:rsidR="00451518">
        <w:t xml:space="preserve">ομένως, </w:t>
      </w:r>
      <w:r w:rsidR="005F55C6">
        <w:t>το δικαίωμα αποτελεσματικής προσφυγής του προσώπου ενώπιον των εθνικών αρχών</w:t>
      </w:r>
      <w:r w:rsidR="005D2C26">
        <w:t xml:space="preserve"> συναρτάται με την </w:t>
      </w:r>
      <w:r w:rsidR="002D1896">
        <w:t>παραβίαση και την επίκληση κάποιου</w:t>
      </w:r>
      <w:r w:rsidR="007D2C9A">
        <w:t xml:space="preserve"> </w:t>
      </w:r>
      <w:r w:rsidR="002D1896">
        <w:t>άλλου δικαιώματος κατοχυρωμένο</w:t>
      </w:r>
      <w:r w:rsidR="00885ACF">
        <w:t>υ</w:t>
      </w:r>
      <w:r w:rsidR="002D1896">
        <w:t xml:space="preserve"> στη Σύμβαση</w:t>
      </w:r>
      <w:r w:rsidR="00504440">
        <w:t>,</w:t>
      </w:r>
      <w:r w:rsidR="00885ACF">
        <w:t xml:space="preserve"> αποκτώντας έναν ρόλο</w:t>
      </w:r>
      <w:r w:rsidR="005D2C26">
        <w:t xml:space="preserve"> </w:t>
      </w:r>
      <w:r w:rsidR="005D2C26" w:rsidRPr="00885ACF">
        <w:rPr>
          <w:b/>
          <w:bCs/>
        </w:rPr>
        <w:t>συμπληρωματικό</w:t>
      </w:r>
      <w:r w:rsidR="00504440" w:rsidRPr="00885ACF">
        <w:t>,</w:t>
      </w:r>
      <w:r w:rsidR="00504440">
        <w:t xml:space="preserve"> χωρίς </w:t>
      </w:r>
      <w:r w:rsidR="00885ACF">
        <w:t>τούτο</w:t>
      </w:r>
      <w:r w:rsidR="007D2C9A">
        <w:t>, ωστόσο,</w:t>
      </w:r>
      <w:r w:rsidR="00885ACF">
        <w:t xml:space="preserve"> να συνεπάγεται </w:t>
      </w:r>
      <w:r w:rsidR="007D2C9A">
        <w:t xml:space="preserve">και </w:t>
      </w:r>
      <w:r w:rsidR="00885ACF">
        <w:t xml:space="preserve">τη στέρηση </w:t>
      </w:r>
      <w:r w:rsidR="007D2C9A">
        <w:t xml:space="preserve">του </w:t>
      </w:r>
      <w:r w:rsidR="00B83C1E">
        <w:t xml:space="preserve">αυτόνομου </w:t>
      </w:r>
      <w:r w:rsidR="00F418A7">
        <w:t>κανονιστικού περιεχομένου</w:t>
      </w:r>
      <w:r w:rsidR="007D2C9A">
        <w:t xml:space="preserve"> του</w:t>
      </w:r>
      <w:r w:rsidR="007D2C9A">
        <w:rPr>
          <w:rStyle w:val="a7"/>
        </w:rPr>
        <w:footnoteReference w:id="9"/>
      </w:r>
      <w:r w:rsidR="007D2C9A">
        <w:t>.</w:t>
      </w:r>
      <w:r w:rsidR="005D2C26">
        <w:t xml:space="preserve"> </w:t>
      </w:r>
    </w:p>
    <w:p w14:paraId="19D5704B" w14:textId="77777777" w:rsidR="00A27953" w:rsidRDefault="00A27953" w:rsidP="00E72ECE">
      <w:pPr>
        <w:spacing w:before="120" w:after="120" w:line="360" w:lineRule="auto"/>
      </w:pPr>
    </w:p>
    <w:p w14:paraId="7D190A2A" w14:textId="5C50A42A" w:rsidR="001D6197" w:rsidRPr="00807A71" w:rsidRDefault="00153573" w:rsidP="00E72ECE">
      <w:pPr>
        <w:pStyle w:val="2"/>
        <w:spacing w:before="120" w:after="120" w:line="360" w:lineRule="auto"/>
      </w:pPr>
      <w:bookmarkStart w:id="3" w:name="_Toc166060916"/>
      <w:r>
        <w:t xml:space="preserve">Ι. </w:t>
      </w:r>
      <w:r w:rsidR="002019A0">
        <w:t>Η «</w:t>
      </w:r>
      <w:proofErr w:type="spellStart"/>
      <w:r w:rsidR="002019A0">
        <w:t>υποστηρίξιμη</w:t>
      </w:r>
      <w:proofErr w:type="spellEnd"/>
      <w:r w:rsidR="002019A0">
        <w:t>» αιτίαση</w:t>
      </w:r>
      <w:r w:rsidR="00807A71" w:rsidRPr="00807A71">
        <w:t xml:space="preserve"> </w:t>
      </w:r>
      <w:r w:rsidR="00807A71">
        <w:t xml:space="preserve">περί παραβίασης άλλης διάταξης της </w:t>
      </w:r>
      <w:r w:rsidR="003F5B9F">
        <w:t>ΕΣΔΑ</w:t>
      </w:r>
      <w:bookmarkEnd w:id="3"/>
    </w:p>
    <w:p w14:paraId="03412C45" w14:textId="23DE0B56" w:rsidR="002019A0" w:rsidRDefault="004A2D42" w:rsidP="00E72ECE">
      <w:pPr>
        <w:spacing w:before="120" w:after="120" w:line="360" w:lineRule="auto"/>
      </w:pPr>
      <w:r>
        <w:tab/>
      </w:r>
      <w:r w:rsidR="00363DE0">
        <w:t xml:space="preserve">Ενόψει αυτού του συμπληρωματικού χαρακτήρα του άρθρου 13, προέκυψε στη νομολογία του ΕΔΔΑ το ζήτημα </w:t>
      </w:r>
      <w:r w:rsidR="00363DE0">
        <w:rPr>
          <w:i/>
          <w:iCs/>
        </w:rPr>
        <w:t xml:space="preserve">ποιο παράπονο / ποια αιτίαση </w:t>
      </w:r>
      <w:r w:rsidR="003430DC">
        <w:rPr>
          <w:i/>
          <w:iCs/>
        </w:rPr>
        <w:t xml:space="preserve">/ ποιος ισχυρισμός </w:t>
      </w:r>
      <w:r w:rsidR="00363DE0">
        <w:t>μπορεί να αποτελέσει αντικείμενο έρευνας από το Δικαστήριο</w:t>
      </w:r>
      <w:r w:rsidR="00A55FA8">
        <w:t xml:space="preserve"> ή, με άλλα λόγια, </w:t>
      </w:r>
      <w:r w:rsidR="00A55FA8">
        <w:rPr>
          <w:i/>
          <w:iCs/>
        </w:rPr>
        <w:t>ποιο</w:t>
      </w:r>
      <w:r w:rsidR="003430DC">
        <w:rPr>
          <w:i/>
          <w:iCs/>
        </w:rPr>
        <w:t xml:space="preserve">ς και υπό </w:t>
      </w:r>
      <w:r w:rsidR="003430DC">
        <w:rPr>
          <w:i/>
          <w:iCs/>
        </w:rPr>
        <w:lastRenderedPageBreak/>
        <w:t>ποιες προϋποθέσεις</w:t>
      </w:r>
      <w:r w:rsidR="00A55FA8">
        <w:rPr>
          <w:i/>
          <w:iCs/>
        </w:rPr>
        <w:t xml:space="preserve"> δικαιούται να π</w:t>
      </w:r>
      <w:r w:rsidR="008A660D">
        <w:rPr>
          <w:i/>
          <w:iCs/>
        </w:rPr>
        <w:t>ροσφύγει</w:t>
      </w:r>
      <w:r w:rsidR="00A55FA8">
        <w:rPr>
          <w:i/>
          <w:iCs/>
        </w:rPr>
        <w:t xml:space="preserve"> ενώπιον του ΕΔΔΑ</w:t>
      </w:r>
      <w:r w:rsidR="008A660D">
        <w:rPr>
          <w:i/>
          <w:iCs/>
        </w:rPr>
        <w:t xml:space="preserve"> </w:t>
      </w:r>
      <w:r w:rsidR="008A660D" w:rsidRPr="008A660D">
        <w:t xml:space="preserve">για την παραβίαση του άρθρου </w:t>
      </w:r>
      <w:r w:rsidR="00ED3257">
        <w:t>αυτού</w:t>
      </w:r>
      <w:r w:rsidR="00A55FA8" w:rsidRPr="008A660D">
        <w:t>.</w:t>
      </w:r>
    </w:p>
    <w:p w14:paraId="422DE6C8" w14:textId="44B78B1E" w:rsidR="00ED3257" w:rsidRDefault="00ED3257" w:rsidP="00E72ECE">
      <w:pPr>
        <w:spacing w:before="120" w:after="120" w:line="360" w:lineRule="auto"/>
      </w:pPr>
      <w:r>
        <w:tab/>
        <w:t>Αρχικώς, το Δικαστήριο είχε υποστηρίξει ότι δικαίωμα αποτελεσματικής προσφυγής έχει «</w:t>
      </w:r>
      <w:r w:rsidRPr="00ED3257">
        <w:rPr>
          <w:b/>
          <w:bCs/>
        </w:rPr>
        <w:t>οποιο</w:t>
      </w:r>
      <w:r>
        <w:rPr>
          <w:b/>
          <w:bCs/>
        </w:rPr>
        <w:t>σ</w:t>
      </w:r>
      <w:r w:rsidRPr="00ED3257">
        <w:rPr>
          <w:b/>
          <w:bCs/>
        </w:rPr>
        <w:t xml:space="preserve">δήποτε </w:t>
      </w:r>
      <w:r w:rsidRPr="00A91F50">
        <w:rPr>
          <w:b/>
          <w:bCs/>
          <w:i/>
          <w:iCs/>
        </w:rPr>
        <w:t>ισχυρίζεται</w:t>
      </w:r>
      <w:r w:rsidRPr="00ED3257">
        <w:rPr>
          <w:b/>
          <w:bCs/>
        </w:rPr>
        <w:t xml:space="preserve"> ότι έχει υποστεί βλάβη</w:t>
      </w:r>
      <w:r>
        <w:t>» και όχι μόνο όποιος έχει, πράγματι</w:t>
      </w:r>
      <w:r w:rsidR="008B1927">
        <w:t>,</w:t>
      </w:r>
      <w:r>
        <w:t xml:space="preserve"> υποστεί. Συγκεκριμένα, στην </w:t>
      </w:r>
      <w:r w:rsidR="003A37AA">
        <w:t>υπόθεση</w:t>
      </w:r>
      <w:r>
        <w:t xml:space="preserve"> </w:t>
      </w:r>
      <w:r w:rsidRPr="004B79E4">
        <w:rPr>
          <w:b/>
          <w:bCs/>
          <w:i/>
          <w:iCs/>
          <w:lang w:val="en-US"/>
        </w:rPr>
        <w:t>Klass</w:t>
      </w:r>
      <w:r w:rsidR="00F41D36">
        <w:rPr>
          <w:b/>
          <w:bCs/>
          <w:i/>
          <w:iCs/>
        </w:rPr>
        <w:t xml:space="preserve"> και άλλοι</w:t>
      </w:r>
      <w:r w:rsidRPr="004B79E4">
        <w:rPr>
          <w:b/>
          <w:bCs/>
          <w:i/>
          <w:iCs/>
        </w:rPr>
        <w:t xml:space="preserve"> κατά Γερμανίας</w:t>
      </w:r>
      <w:r w:rsidRPr="008B1927">
        <w:rPr>
          <w:rStyle w:val="a7"/>
        </w:rPr>
        <w:footnoteReference w:id="10"/>
      </w:r>
      <w:r w:rsidRPr="008B1927">
        <w:t>,</w:t>
      </w:r>
      <w:r>
        <w:t xml:space="preserve"> το Δικαστήριο διατύπωσε τη θέση ότι </w:t>
      </w:r>
      <w:r w:rsidRPr="008B1927">
        <w:rPr>
          <w:b/>
          <w:bCs/>
        </w:rPr>
        <w:t>δεν αποτελεί προϋπόθεση</w:t>
      </w:r>
      <w:r>
        <w:t xml:space="preserve"> για την παραβίαση του άρθρου 13 </w:t>
      </w:r>
      <w:r w:rsidR="00A351EE">
        <w:t>η πραγματική παραβίαση δικαιώματος που κατοχυρώνεται στη Σύμβαση</w:t>
      </w:r>
      <w:r>
        <w:t>. Αντιθέτως, κάθε πρόσωπο που θεωρεί ότι έχει παραβιαστεί κάποιο δικαίωμά του, ακόμη και αν αυτό δεν έχει παραβιαστεί στην πραγματικότητα, πρέπει να έχει τη δυνατότητα να προσφύγει αποτελεσματικά προς τούτο ενώπιον των εθνικών αρχών του κράτους μέρους</w:t>
      </w:r>
      <w:r w:rsidR="006C6B8C">
        <w:rPr>
          <w:rStyle w:val="a7"/>
        </w:rPr>
        <w:footnoteReference w:id="11"/>
      </w:r>
      <w:r>
        <w:t>.</w:t>
      </w:r>
    </w:p>
    <w:p w14:paraId="20C6196C" w14:textId="74537646" w:rsidR="00C25C2D" w:rsidRDefault="00C25C2D" w:rsidP="00E72ECE">
      <w:pPr>
        <w:spacing w:before="120" w:after="120" w:line="360" w:lineRule="auto"/>
      </w:pPr>
      <w:r>
        <w:tab/>
        <w:t xml:space="preserve">Με την εν λόγω θέση του, </w:t>
      </w:r>
      <w:r w:rsidR="00A91F50">
        <w:t xml:space="preserve">όμως, </w:t>
      </w:r>
      <w:r w:rsidR="005C24EF">
        <w:t xml:space="preserve">το Δικαστήριο, ορίζοντας ως προϋπόθεση εφαρμογής του άρθρου 13 απλώς και μόνο την ύπαρξη ενός </w:t>
      </w:r>
      <w:r w:rsidR="005C24EF">
        <w:rPr>
          <w:i/>
          <w:iCs/>
        </w:rPr>
        <w:t xml:space="preserve">απλού ισχυρισμού </w:t>
      </w:r>
      <w:r w:rsidR="005C24EF">
        <w:t xml:space="preserve">του προσώπου περί παραβίασης της Σύμβασης, </w:t>
      </w:r>
      <w:r w:rsidR="00D733AC" w:rsidRPr="005C24EF">
        <w:rPr>
          <w:b/>
          <w:bCs/>
        </w:rPr>
        <w:t xml:space="preserve">διεύρυνε </w:t>
      </w:r>
      <w:r w:rsidR="005C24EF">
        <w:rPr>
          <w:b/>
          <w:bCs/>
        </w:rPr>
        <w:t xml:space="preserve">κατά πολύ </w:t>
      </w:r>
      <w:r w:rsidR="0076115D">
        <w:t>το πεδίο εφαρμογής του</w:t>
      </w:r>
      <w:r w:rsidR="002A6125">
        <w:t>, ώστε σύντομα μετέβαλε</w:t>
      </w:r>
      <w:r w:rsidR="005C24EF">
        <w:t xml:space="preserve"> τη στάση του</w:t>
      </w:r>
      <w:r w:rsidR="0076115D">
        <w:t>.</w:t>
      </w:r>
    </w:p>
    <w:p w14:paraId="582AE609" w14:textId="466A6E67" w:rsidR="00690A83" w:rsidRDefault="00690A83" w:rsidP="00E72ECE">
      <w:pPr>
        <w:spacing w:before="120" w:after="120" w:line="360" w:lineRule="auto"/>
      </w:pPr>
      <w:r>
        <w:tab/>
      </w:r>
      <w:r w:rsidR="003A37AA">
        <w:t>Μεταξύ άλλων</w:t>
      </w:r>
      <w:r w:rsidR="00401413">
        <w:rPr>
          <w:rStyle w:val="a7"/>
        </w:rPr>
        <w:footnoteReference w:id="12"/>
      </w:r>
      <w:r w:rsidR="003A37AA">
        <w:t>, σ</w:t>
      </w:r>
      <w:r w:rsidR="002A6125">
        <w:t>την</w:t>
      </w:r>
      <w:r w:rsidR="002A6125" w:rsidRPr="002A6125">
        <w:t xml:space="preserve"> </w:t>
      </w:r>
      <w:r w:rsidR="003A37AA">
        <w:t>υπόθεση</w:t>
      </w:r>
      <w:r w:rsidR="002A6125" w:rsidRPr="002A6125">
        <w:t xml:space="preserve"> </w:t>
      </w:r>
      <w:r w:rsidR="002A6125" w:rsidRPr="004B79E4">
        <w:rPr>
          <w:b/>
          <w:bCs/>
          <w:i/>
          <w:iCs/>
          <w:lang w:val="en-US"/>
        </w:rPr>
        <w:t>Silver</w:t>
      </w:r>
      <w:r w:rsidR="002A6125" w:rsidRPr="004B79E4">
        <w:rPr>
          <w:b/>
          <w:bCs/>
          <w:i/>
          <w:iCs/>
        </w:rPr>
        <w:t xml:space="preserve"> και άλλοι κατά Ηνωμένου Βασιλείου</w:t>
      </w:r>
      <w:r w:rsidR="00547718" w:rsidRPr="00DA189D">
        <w:rPr>
          <w:rStyle w:val="a7"/>
        </w:rPr>
        <w:footnoteReference w:id="13"/>
      </w:r>
      <w:r w:rsidR="002A6125" w:rsidRPr="00DA189D">
        <w:t xml:space="preserve">, </w:t>
      </w:r>
      <w:r w:rsidR="002A6125">
        <w:t xml:space="preserve">το Δικαστήριο διατύπωσε τη θέση ότι </w:t>
      </w:r>
      <w:r w:rsidR="00DA189D">
        <w:t xml:space="preserve">δικαίωμα αποτελεσματικής προσφυγής έχει μόνο </w:t>
      </w:r>
      <w:r w:rsidR="003A37AA">
        <w:t>«</w:t>
      </w:r>
      <w:r w:rsidR="00DA189D" w:rsidRPr="003A37AA">
        <w:rPr>
          <w:b/>
          <w:bCs/>
        </w:rPr>
        <w:t xml:space="preserve">όποιος διαθέτει έναν </w:t>
      </w:r>
      <w:proofErr w:type="spellStart"/>
      <w:r w:rsidR="00DA189D" w:rsidRPr="00F96EE3">
        <w:rPr>
          <w:b/>
          <w:bCs/>
          <w:i/>
          <w:iCs/>
        </w:rPr>
        <w:t>υποστηρίξιμο</w:t>
      </w:r>
      <w:proofErr w:type="spellEnd"/>
      <w:r w:rsidR="00DA189D" w:rsidRPr="003A37AA">
        <w:rPr>
          <w:b/>
          <w:bCs/>
        </w:rPr>
        <w:t xml:space="preserve"> ισχυρισμό</w:t>
      </w:r>
      <w:r w:rsidR="003A37AA">
        <w:t>»</w:t>
      </w:r>
      <w:r w:rsidR="00EB0E1A">
        <w:rPr>
          <w:rStyle w:val="a7"/>
        </w:rPr>
        <w:footnoteReference w:id="14"/>
      </w:r>
      <w:r w:rsidR="003A37AA">
        <w:t xml:space="preserve"> </w:t>
      </w:r>
      <w:r w:rsidR="00EB0E1A">
        <w:t>σχετικά με την παραβίαση ενός δικαιώματος</w:t>
      </w:r>
      <w:r w:rsidR="00110BD6">
        <w:t xml:space="preserve"> που απορρέει από τη Σύμβαση</w:t>
      </w:r>
      <w:r w:rsidR="003A37AA">
        <w:t xml:space="preserve">, ενώ στην χαρακτηριστική υπόθεση </w:t>
      </w:r>
      <w:r w:rsidR="003A37AA" w:rsidRPr="004B79E4">
        <w:rPr>
          <w:b/>
          <w:bCs/>
          <w:i/>
          <w:iCs/>
          <w:lang w:val="en-US"/>
        </w:rPr>
        <w:t>Boyle</w:t>
      </w:r>
      <w:r w:rsidR="003A37AA" w:rsidRPr="004B79E4">
        <w:rPr>
          <w:b/>
          <w:bCs/>
          <w:i/>
          <w:iCs/>
        </w:rPr>
        <w:t xml:space="preserve"> </w:t>
      </w:r>
      <w:r w:rsidR="003A37AA" w:rsidRPr="004B79E4">
        <w:rPr>
          <w:b/>
          <w:bCs/>
          <w:i/>
          <w:iCs/>
          <w:lang w:val="en-US"/>
        </w:rPr>
        <w:t>and</w:t>
      </w:r>
      <w:r w:rsidR="003A37AA" w:rsidRPr="004B79E4">
        <w:rPr>
          <w:b/>
          <w:bCs/>
          <w:i/>
          <w:iCs/>
        </w:rPr>
        <w:t xml:space="preserve"> </w:t>
      </w:r>
      <w:r w:rsidR="003A37AA" w:rsidRPr="004B79E4">
        <w:rPr>
          <w:b/>
          <w:bCs/>
          <w:i/>
          <w:iCs/>
          <w:lang w:val="en-US"/>
        </w:rPr>
        <w:t>Rice</w:t>
      </w:r>
      <w:r w:rsidR="003A37AA" w:rsidRPr="004B79E4">
        <w:rPr>
          <w:b/>
          <w:bCs/>
          <w:i/>
          <w:iCs/>
        </w:rPr>
        <w:t xml:space="preserve"> κατά Ηνωμένου Βασιλείου</w:t>
      </w:r>
      <w:r w:rsidR="00A7444C" w:rsidRPr="00401413">
        <w:rPr>
          <w:rStyle w:val="a7"/>
        </w:rPr>
        <w:footnoteReference w:id="15"/>
      </w:r>
      <w:r w:rsidR="00A7444C" w:rsidRPr="00401413">
        <w:t>, το Δικαστήριο, για πρώτη φορά,</w:t>
      </w:r>
      <w:r w:rsidR="00401413">
        <w:t xml:space="preserve"> προέβη σε εκτενή ανάλυση</w:t>
      </w:r>
      <w:r w:rsidR="00A7444C" w:rsidRPr="00401413">
        <w:t xml:space="preserve"> τη</w:t>
      </w:r>
      <w:r w:rsidR="00401413">
        <w:t>ς</w:t>
      </w:r>
      <w:r w:rsidR="00A7444C" w:rsidRPr="00401413">
        <w:t xml:space="preserve"> έννοια</w:t>
      </w:r>
      <w:r w:rsidR="00401413">
        <w:t>ς</w:t>
      </w:r>
      <w:r w:rsidR="00A7444C" w:rsidRPr="00401413">
        <w:t xml:space="preserve"> του «</w:t>
      </w:r>
      <w:proofErr w:type="spellStart"/>
      <w:r w:rsidR="00A7444C" w:rsidRPr="00401413">
        <w:t>υποστηρίξιμου</w:t>
      </w:r>
      <w:proofErr w:type="spellEnd"/>
      <w:r w:rsidR="00A7444C" w:rsidRPr="00401413">
        <w:t>»</w:t>
      </w:r>
      <w:r w:rsidR="00401413" w:rsidRPr="00401413">
        <w:t>.</w:t>
      </w:r>
      <w:r w:rsidR="003A37AA" w:rsidRPr="00401413">
        <w:t xml:space="preserve"> </w:t>
      </w:r>
    </w:p>
    <w:p w14:paraId="19C3B407" w14:textId="3223EDB0" w:rsidR="004C04CE" w:rsidRDefault="00AC67F5" w:rsidP="00E72ECE">
      <w:pPr>
        <w:spacing w:before="120" w:after="120" w:line="360" w:lineRule="auto"/>
      </w:pPr>
      <w:r>
        <w:tab/>
        <w:t xml:space="preserve">Στην υπόθεση αυτή, το Δικαστήριο </w:t>
      </w:r>
      <w:r w:rsidR="00B55238">
        <w:t>έκρινε</w:t>
      </w:r>
      <w:r w:rsidR="00A91F50">
        <w:t>,</w:t>
      </w:r>
      <w:r w:rsidR="002C0A2A">
        <w:t xml:space="preserve"> </w:t>
      </w:r>
      <w:r w:rsidR="004C04CE">
        <w:t xml:space="preserve">κατά την πάγια νομολογία </w:t>
      </w:r>
      <w:r w:rsidR="002C0A2A">
        <w:t xml:space="preserve">του </w:t>
      </w:r>
      <w:r w:rsidR="004C04CE">
        <w:t>των τελευταίων ετών,</w:t>
      </w:r>
      <w:r w:rsidR="00B55238">
        <w:t xml:space="preserve"> ότι δεν χρειάζεται να παρέχεται από το εθνικό δίκαιο η δυνατότητα προσφυγής για κάθε παράπονο / ισχυρισμό</w:t>
      </w:r>
      <w:r w:rsidR="00761C5D">
        <w:t xml:space="preserve"> περί </w:t>
      </w:r>
      <w:r w:rsidR="0091230D">
        <w:t>παραβίασης</w:t>
      </w:r>
      <w:r w:rsidR="00761C5D">
        <w:t xml:space="preserve"> </w:t>
      </w:r>
      <w:r w:rsidR="00A91F50">
        <w:t xml:space="preserve">κάποιου δικαιώματος που </w:t>
      </w:r>
      <w:r w:rsidR="005444E3">
        <w:t>απορρέει</w:t>
      </w:r>
      <w:r w:rsidR="00A91F50">
        <w:t xml:space="preserve"> από </w:t>
      </w:r>
      <w:r w:rsidR="00761C5D">
        <w:t>άλλη διάταξη της Σύμβασης</w:t>
      </w:r>
      <w:r w:rsidR="00B55238">
        <w:t xml:space="preserve">, όσο αβάσιμος και αν αυτός είναι, αλλά, </w:t>
      </w:r>
      <w:r w:rsidR="004C04CE">
        <w:t>αντιθέτως</w:t>
      </w:r>
      <w:r w:rsidR="00B55238">
        <w:t xml:space="preserve">, χρειάζεται να παρέχεται η δυνατότητα προσφυγής </w:t>
      </w:r>
      <w:r w:rsidR="00A91F50">
        <w:t xml:space="preserve">μόνο </w:t>
      </w:r>
      <w:r w:rsidR="00B55238">
        <w:t xml:space="preserve">για </w:t>
      </w:r>
      <w:r w:rsidR="00A91F50">
        <w:t>κάθε</w:t>
      </w:r>
      <w:r w:rsidR="00B55238">
        <w:t xml:space="preserve"> ισχυρισμό που είναι </w:t>
      </w:r>
      <w:r w:rsidR="004C04CE">
        <w:t>«</w:t>
      </w:r>
      <w:proofErr w:type="spellStart"/>
      <w:r w:rsidR="00B55238">
        <w:t>υποστηρίξιμος</w:t>
      </w:r>
      <w:proofErr w:type="spellEnd"/>
      <w:r w:rsidR="004C04CE">
        <w:t>»</w:t>
      </w:r>
      <w:r w:rsidR="00B55238">
        <w:t xml:space="preserve">. </w:t>
      </w:r>
    </w:p>
    <w:p w14:paraId="6C85BE3F" w14:textId="27BD35A4" w:rsidR="00FE5183" w:rsidRDefault="00403128" w:rsidP="00E72ECE">
      <w:pPr>
        <w:spacing w:before="120" w:after="120" w:line="360" w:lineRule="auto"/>
        <w:ind w:firstLine="720"/>
      </w:pPr>
      <w:r>
        <w:lastRenderedPageBreak/>
        <w:t>Τούτο απορρέει από την πάγια θέση</w:t>
      </w:r>
      <w:r w:rsidR="002C0A2A">
        <w:t xml:space="preserve"> ότι</w:t>
      </w:r>
      <w:r w:rsidR="00CA22CD">
        <w:t xml:space="preserve"> η ΕΣΔΑ δεν έχει σκοπό να εγγυηθεί δικαιώματα που είναι θεωρητικά ή </w:t>
      </w:r>
      <w:r w:rsidR="002F63C2">
        <w:t>ουτοπικά</w:t>
      </w:r>
      <w:r w:rsidR="00CA22CD">
        <w:t>, αλλά δικαιώματα που είναι πρακτικά και αποτελεσματικά</w:t>
      </w:r>
      <w:r w:rsidR="00CA22CD">
        <w:rPr>
          <w:rStyle w:val="a7"/>
        </w:rPr>
        <w:footnoteReference w:id="16"/>
      </w:r>
      <w:r w:rsidR="00CA22CD">
        <w:t>.</w:t>
      </w:r>
      <w:r w:rsidR="00FE5183" w:rsidRPr="00FE5183">
        <w:t xml:space="preserve"> </w:t>
      </w:r>
    </w:p>
    <w:p w14:paraId="3F220EC9" w14:textId="101ADAEA" w:rsidR="00FE5183" w:rsidRDefault="00FE5183" w:rsidP="00E72ECE">
      <w:pPr>
        <w:spacing w:before="120" w:after="120" w:line="360" w:lineRule="auto"/>
        <w:ind w:firstLine="720"/>
      </w:pPr>
      <w:r>
        <w:t xml:space="preserve">Παράλληλα, στην ανωτέρω αναφερόμενη υπόθεση, </w:t>
      </w:r>
      <w:r w:rsidRPr="004B79E4">
        <w:rPr>
          <w:b/>
          <w:bCs/>
          <w:i/>
          <w:iCs/>
          <w:lang w:val="en-US"/>
        </w:rPr>
        <w:t>Boyle</w:t>
      </w:r>
      <w:r w:rsidRPr="004B79E4">
        <w:rPr>
          <w:b/>
          <w:bCs/>
          <w:i/>
          <w:iCs/>
        </w:rPr>
        <w:t xml:space="preserve"> </w:t>
      </w:r>
      <w:r w:rsidRPr="004B79E4">
        <w:rPr>
          <w:b/>
          <w:bCs/>
          <w:i/>
          <w:iCs/>
          <w:lang w:val="en-US"/>
        </w:rPr>
        <w:t>and</w:t>
      </w:r>
      <w:r w:rsidRPr="004B79E4">
        <w:rPr>
          <w:b/>
          <w:bCs/>
          <w:i/>
          <w:iCs/>
        </w:rPr>
        <w:t xml:space="preserve"> </w:t>
      </w:r>
      <w:r w:rsidRPr="004B79E4">
        <w:rPr>
          <w:b/>
          <w:bCs/>
          <w:i/>
          <w:iCs/>
          <w:lang w:val="en-US"/>
        </w:rPr>
        <w:t>Rice</w:t>
      </w:r>
      <w:r w:rsidRPr="004B79E4">
        <w:rPr>
          <w:b/>
          <w:bCs/>
          <w:i/>
          <w:iCs/>
        </w:rPr>
        <w:t xml:space="preserve"> κατά Ηνωμένου Βασιλείου</w:t>
      </w:r>
      <w:r w:rsidRPr="00FE5183">
        <w:t xml:space="preserve">, </w:t>
      </w:r>
      <w:r>
        <w:t>κρίθηκε ότι δεν είναι απαραίτητο να δοθεί ένας αφηρημένος ορισμός της έννοιας του «</w:t>
      </w:r>
      <w:proofErr w:type="spellStart"/>
      <w:r>
        <w:t>υποστηρίξιμου</w:t>
      </w:r>
      <w:proofErr w:type="spellEnd"/>
      <w:r>
        <w:t>»</w:t>
      </w:r>
      <w:r w:rsidR="00613257">
        <w:t xml:space="preserve"> </w:t>
      </w:r>
      <w:r>
        <w:t xml:space="preserve">ισχυρισμού, διότι </w:t>
      </w:r>
      <w:r w:rsidR="00B4118A">
        <w:t xml:space="preserve">το </w:t>
      </w:r>
      <w:proofErr w:type="spellStart"/>
      <w:r w:rsidR="00B4118A">
        <w:t>υποστηρίξιμο</w:t>
      </w:r>
      <w:proofErr w:type="spellEnd"/>
      <w:r w:rsidR="00B4118A">
        <w:t xml:space="preserve"> αυτού </w:t>
      </w:r>
      <w:r>
        <w:t xml:space="preserve">πρέπει να καθορίζεται με βάση τα πραγματικά περιστατικά της κάθε υπόθεσης, </w:t>
      </w:r>
      <w:r w:rsidR="00B939A0">
        <w:t xml:space="preserve">τη φύση του δικαιώματος που φέρεται να παραβιάστηκε, </w:t>
      </w:r>
      <w:r>
        <w:t xml:space="preserve">καθώς και τη φύση των νομικών </w:t>
      </w:r>
      <w:r w:rsidR="00A91F50">
        <w:t xml:space="preserve">και </w:t>
      </w:r>
      <w:r>
        <w:t xml:space="preserve">πραγματικών ζητημάτων </w:t>
      </w:r>
      <w:r w:rsidR="00AC7B4E">
        <w:t xml:space="preserve">που ανακύπτουν </w:t>
      </w:r>
      <w:r w:rsidR="00055CE1">
        <w:t>κάθε φορά</w:t>
      </w:r>
      <w:r w:rsidR="00403128">
        <w:rPr>
          <w:rStyle w:val="a7"/>
        </w:rPr>
        <w:footnoteReference w:id="17"/>
      </w:r>
      <w:r>
        <w:t xml:space="preserve">. </w:t>
      </w:r>
    </w:p>
    <w:p w14:paraId="6F6E6F91" w14:textId="48E3810B" w:rsidR="005F5293" w:rsidRDefault="00403128" w:rsidP="00E72ECE">
      <w:pPr>
        <w:spacing w:before="120" w:after="120" w:line="360" w:lineRule="auto"/>
        <w:ind w:firstLine="720"/>
      </w:pPr>
      <w:r>
        <w:t>Εκ των ανωτέρω</w:t>
      </w:r>
      <w:r w:rsidR="00A91F50">
        <w:t xml:space="preserve"> </w:t>
      </w:r>
      <w:r>
        <w:t>συνάγεται</w:t>
      </w:r>
      <w:r w:rsidR="003263A9">
        <w:t xml:space="preserve"> </w:t>
      </w:r>
      <w:r>
        <w:t xml:space="preserve">ότι </w:t>
      </w:r>
      <w:r w:rsidR="00F05BE7">
        <w:t>η παραβίαση του δικαιώματος αποτελεσματικής προσφυγής κατά το άρθρο 13 της Σύμβασης εξετάζεται από το Δικαστήριο είτε προέκυψε πραγματική</w:t>
      </w:r>
      <w:r w:rsidR="00FA7AF3">
        <w:t xml:space="preserve"> </w:t>
      </w:r>
      <w:r w:rsidR="00F05BE7">
        <w:t xml:space="preserve">παραβίαση ενός δικαιώματος που κατοχυρώνεται στη Σύμβαση είτε όχι. </w:t>
      </w:r>
      <w:r w:rsidR="005F5293">
        <w:t>Αρκεί</w:t>
      </w:r>
      <w:r w:rsidR="00FA7AF3">
        <w:t xml:space="preserve">, όπως </w:t>
      </w:r>
      <w:proofErr w:type="spellStart"/>
      <w:r w:rsidR="00FA7AF3">
        <w:t>προει</w:t>
      </w:r>
      <w:r w:rsidR="005444E3">
        <w:t>πώθηκε</w:t>
      </w:r>
      <w:proofErr w:type="spellEnd"/>
      <w:r w:rsidR="00FA7AF3">
        <w:t>,</w:t>
      </w:r>
      <w:r w:rsidR="005F5293">
        <w:t xml:space="preserve"> ο ισχυρισμός του προσφεύγοντος για την παραβίαση του δικαιώματος να είναι </w:t>
      </w:r>
      <w:proofErr w:type="spellStart"/>
      <w:r w:rsidR="005F5293" w:rsidRPr="003263A9">
        <w:rPr>
          <w:i/>
          <w:iCs/>
        </w:rPr>
        <w:t>υποστηρίξιμος</w:t>
      </w:r>
      <w:proofErr w:type="spellEnd"/>
      <w:r w:rsidR="005F5293">
        <w:t>.</w:t>
      </w:r>
    </w:p>
    <w:p w14:paraId="0422E6B2" w14:textId="77777777" w:rsidR="00321CA9" w:rsidRDefault="00321CA9" w:rsidP="00321CA9">
      <w:pPr>
        <w:spacing w:before="120" w:after="120" w:line="360" w:lineRule="auto"/>
        <w:ind w:firstLine="720"/>
      </w:pPr>
      <w:r>
        <w:t xml:space="preserve">Περαιτέρω, παρόλο που η ύπαρξη </w:t>
      </w:r>
      <w:proofErr w:type="spellStart"/>
      <w:r>
        <w:t>υποστηρίξιμου</w:t>
      </w:r>
      <w:proofErr w:type="spellEnd"/>
      <w:r>
        <w:t xml:space="preserve"> ισχυρισμού εξετάζεται </w:t>
      </w:r>
      <w:r>
        <w:rPr>
          <w:lang w:val="en-US"/>
        </w:rPr>
        <w:t>in</w:t>
      </w:r>
      <w:r w:rsidRPr="007A2991">
        <w:t xml:space="preserve"> </w:t>
      </w:r>
      <w:proofErr w:type="spellStart"/>
      <w:r>
        <w:rPr>
          <w:lang w:val="en-US"/>
        </w:rPr>
        <w:t>concreto</w:t>
      </w:r>
      <w:proofErr w:type="spellEnd"/>
      <w:r>
        <w:t xml:space="preserve">, στη νομολογία του </w:t>
      </w:r>
      <w:proofErr w:type="spellStart"/>
      <w:r>
        <w:t>ΕΔΔΑ</w:t>
      </w:r>
      <w:proofErr w:type="spellEnd"/>
      <w:r>
        <w:t xml:space="preserve"> έχουν διαμορφωθεί ορισμένες </w:t>
      </w:r>
      <w:r w:rsidRPr="007A2991">
        <w:rPr>
          <w:b/>
          <w:bCs/>
        </w:rPr>
        <w:t>γενικές τάσεις</w:t>
      </w:r>
      <w:r>
        <w:t xml:space="preserve"> ή, αλλιώς, </w:t>
      </w:r>
      <w:proofErr w:type="spellStart"/>
      <w:r w:rsidRPr="007A2991">
        <w:rPr>
          <w:b/>
          <w:bCs/>
        </w:rPr>
        <w:t>ενδείκτες</w:t>
      </w:r>
      <w:proofErr w:type="spellEnd"/>
      <w:r>
        <w:t xml:space="preserve"> αναφορικά με τη διαπίστωση της ύπαρξης ή όχι ενός τέτοιου ισχυρισμού. Τέτοιος </w:t>
      </w:r>
      <w:proofErr w:type="spellStart"/>
      <w:r>
        <w:t>ενδείκτης</w:t>
      </w:r>
      <w:proofErr w:type="spellEnd"/>
      <w:r>
        <w:t xml:space="preserve"> είναι, κατ’ αρχήν, η, </w:t>
      </w:r>
      <w:r w:rsidRPr="006C22B0">
        <w:rPr>
          <w:b/>
          <w:bCs/>
        </w:rPr>
        <w:t>ήδη</w:t>
      </w:r>
      <w:r>
        <w:t xml:space="preserve">, </w:t>
      </w:r>
      <w:r w:rsidRPr="006C22B0">
        <w:rPr>
          <w:b/>
          <w:bCs/>
        </w:rPr>
        <w:t>υπάρχουσα</w:t>
      </w:r>
      <w:r>
        <w:t xml:space="preserve"> </w:t>
      </w:r>
      <w:r w:rsidRPr="006C22B0">
        <w:rPr>
          <w:b/>
          <w:bCs/>
        </w:rPr>
        <w:t>απόφανση</w:t>
      </w:r>
      <w:r>
        <w:t xml:space="preserve"> </w:t>
      </w:r>
      <w:r w:rsidRPr="006C22B0">
        <w:rPr>
          <w:b/>
          <w:bCs/>
        </w:rPr>
        <w:t>του</w:t>
      </w:r>
      <w:r>
        <w:t xml:space="preserve"> </w:t>
      </w:r>
      <w:r w:rsidRPr="006C22B0">
        <w:rPr>
          <w:b/>
          <w:bCs/>
        </w:rPr>
        <w:t>Δικαστηρίου</w:t>
      </w:r>
      <w:r>
        <w:t xml:space="preserve"> επί άλλης παρόμοιας υπόθεσης περί του παραδεκτού του κρίσιμου ισχυρισμού</w:t>
      </w:r>
      <w:r>
        <w:rPr>
          <w:rStyle w:val="a7"/>
        </w:rPr>
        <w:footnoteReference w:id="18"/>
      </w:r>
      <w:r>
        <w:t xml:space="preserve">. Ως εκ τούτου, αν ένας ισχυρισμός έχει, προηγουμένως, θεωρηθεί παραδεκτός από το </w:t>
      </w:r>
      <w:proofErr w:type="spellStart"/>
      <w:r>
        <w:t>ΕΔΔΑ</w:t>
      </w:r>
      <w:proofErr w:type="spellEnd"/>
      <w:r>
        <w:t xml:space="preserve">, τότε έχει πολλές πιθανότητες να θεωρηθεί και </w:t>
      </w:r>
      <w:proofErr w:type="spellStart"/>
      <w:r>
        <w:t>υποστηρίξιμος</w:t>
      </w:r>
      <w:proofErr w:type="spellEnd"/>
      <w:r>
        <w:t xml:space="preserve"> ενόψει της εφαρμογής του άρθρου 13, ενώ, αν, αντιθέτως, έχει απορριφθεί ως απαράδεκτος, για οποιονδήποτε λόγο, τότε είναι πιθανό το Δικαστήριο να οδηγηθεί στην εκτίμηση ότι αυτός δεν είναι και </w:t>
      </w:r>
      <w:proofErr w:type="spellStart"/>
      <w:r>
        <w:t>υποστηρίξιμος</w:t>
      </w:r>
      <w:proofErr w:type="spellEnd"/>
      <w:r>
        <w:t>.</w:t>
      </w:r>
    </w:p>
    <w:p w14:paraId="5ADA4F59" w14:textId="77777777" w:rsidR="00321CA9" w:rsidRDefault="00321CA9" w:rsidP="00E72ECE">
      <w:pPr>
        <w:spacing w:before="120" w:after="120" w:line="360" w:lineRule="auto"/>
        <w:ind w:firstLine="720"/>
      </w:pPr>
    </w:p>
    <w:p w14:paraId="217DDBD2" w14:textId="7466CFAB" w:rsidR="00FA7AF3" w:rsidRDefault="00FA7AF3" w:rsidP="00E72ECE">
      <w:pPr>
        <w:spacing w:before="120" w:after="120" w:line="360" w:lineRule="auto"/>
      </w:pPr>
    </w:p>
    <w:p w14:paraId="2739BECB" w14:textId="329EDA2B" w:rsidR="00FA7AF3" w:rsidRPr="00160CE5" w:rsidRDefault="00EC488F" w:rsidP="00E72ECE">
      <w:pPr>
        <w:pStyle w:val="3"/>
        <w:spacing w:before="120" w:after="120" w:line="360" w:lineRule="auto"/>
        <w:rPr>
          <w:rFonts w:cs="Times New Roman"/>
        </w:rPr>
      </w:pPr>
      <w:bookmarkStart w:id="4" w:name="_Toc166060917"/>
      <w:r>
        <w:rPr>
          <w:rFonts w:cs="Times New Roman"/>
        </w:rPr>
        <w:lastRenderedPageBreak/>
        <w:t>Διαπίστωση π</w:t>
      </w:r>
      <w:r w:rsidR="00FA7AF3" w:rsidRPr="00160CE5">
        <w:rPr>
          <w:rFonts w:cs="Times New Roman"/>
        </w:rPr>
        <w:t>ραγματική</w:t>
      </w:r>
      <w:r>
        <w:rPr>
          <w:rFonts w:cs="Times New Roman"/>
        </w:rPr>
        <w:t>ς</w:t>
      </w:r>
      <w:r w:rsidR="00FA7AF3" w:rsidRPr="00160CE5">
        <w:rPr>
          <w:rFonts w:cs="Times New Roman"/>
        </w:rPr>
        <w:t xml:space="preserve"> παραβίαση</w:t>
      </w:r>
      <w:r>
        <w:rPr>
          <w:rFonts w:cs="Times New Roman"/>
        </w:rPr>
        <w:t>ς άλλου</w:t>
      </w:r>
      <w:r w:rsidR="00FA7AF3" w:rsidRPr="00160CE5">
        <w:rPr>
          <w:rFonts w:cs="Times New Roman"/>
        </w:rPr>
        <w:t xml:space="preserve"> δικαιώματος</w:t>
      </w:r>
      <w:r w:rsidR="00CF5862" w:rsidRPr="00160CE5">
        <w:rPr>
          <w:rFonts w:cs="Times New Roman"/>
        </w:rPr>
        <w:t xml:space="preserve"> κατοχυρωμένου στην ΕΣΔΑ</w:t>
      </w:r>
      <w:bookmarkEnd w:id="4"/>
    </w:p>
    <w:p w14:paraId="4796614E" w14:textId="18C54264" w:rsidR="005F5293" w:rsidRDefault="005F5293" w:rsidP="00E72ECE">
      <w:pPr>
        <w:spacing w:before="120" w:after="120" w:line="360" w:lineRule="auto"/>
        <w:ind w:firstLine="720"/>
      </w:pPr>
      <w:r>
        <w:t xml:space="preserve">Σε κάθε περίπτωση, </w:t>
      </w:r>
      <w:r w:rsidR="003263A9">
        <w:t xml:space="preserve">πάντως, </w:t>
      </w:r>
      <w:proofErr w:type="spellStart"/>
      <w:r>
        <w:t>υποστηρίξιμος</w:t>
      </w:r>
      <w:proofErr w:type="spellEnd"/>
      <w:r>
        <w:t xml:space="preserve"> θεωρείται ο ισχυρισμός, όταν το Δικαστήριο διαπιστώνει</w:t>
      </w:r>
      <w:r w:rsidR="003B1453">
        <w:t>, πράγματι,</w:t>
      </w:r>
      <w:r>
        <w:t xml:space="preserve"> </w:t>
      </w:r>
      <w:r w:rsidRPr="005F5293">
        <w:rPr>
          <w:b/>
          <w:bCs/>
        </w:rPr>
        <w:t>παραβίαση της συμβατικής διάταξης</w:t>
      </w:r>
      <w:r>
        <w:t xml:space="preserve"> σε σχέση με την οποία προβάλλεται η ανυπαρξία αποτελεσματικής προσφυγής.</w:t>
      </w:r>
    </w:p>
    <w:p w14:paraId="695F766E" w14:textId="698088FB" w:rsidR="00403128" w:rsidRDefault="005F5293" w:rsidP="00E72ECE">
      <w:pPr>
        <w:spacing w:before="120" w:after="120" w:line="360" w:lineRule="auto"/>
        <w:ind w:firstLine="720"/>
      </w:pPr>
      <w:r>
        <w:t xml:space="preserve"> </w:t>
      </w:r>
      <w:r w:rsidR="003B1453">
        <w:t>Έτσι,</w:t>
      </w:r>
      <w:r w:rsidR="00324C5B">
        <w:t xml:space="preserve"> </w:t>
      </w:r>
      <w:r w:rsidR="00CA210D">
        <w:t xml:space="preserve">στην υπόθεση </w:t>
      </w:r>
      <w:r w:rsidR="00C86C99" w:rsidRPr="004B79E4">
        <w:rPr>
          <w:b/>
          <w:bCs/>
          <w:i/>
          <w:iCs/>
          <w:lang w:val="en-US"/>
        </w:rPr>
        <w:t>Paul</w:t>
      </w:r>
      <w:r w:rsidR="00C86C99" w:rsidRPr="004B79E4">
        <w:rPr>
          <w:b/>
          <w:bCs/>
          <w:i/>
          <w:iCs/>
        </w:rPr>
        <w:t xml:space="preserve"> </w:t>
      </w:r>
      <w:r w:rsidR="00C86C99" w:rsidRPr="004B79E4">
        <w:rPr>
          <w:b/>
          <w:bCs/>
          <w:i/>
          <w:iCs/>
          <w:lang w:val="en-US"/>
        </w:rPr>
        <w:t>and</w:t>
      </w:r>
      <w:r w:rsidR="00C86C99" w:rsidRPr="004B79E4">
        <w:rPr>
          <w:b/>
          <w:bCs/>
          <w:i/>
          <w:iCs/>
        </w:rPr>
        <w:t xml:space="preserve"> </w:t>
      </w:r>
      <w:r w:rsidR="00C86C99" w:rsidRPr="004B79E4">
        <w:rPr>
          <w:b/>
          <w:bCs/>
          <w:i/>
          <w:iCs/>
          <w:lang w:val="en-US"/>
        </w:rPr>
        <w:t>Audrey</w:t>
      </w:r>
      <w:r w:rsidR="00C86C99" w:rsidRPr="004B79E4">
        <w:rPr>
          <w:b/>
          <w:bCs/>
          <w:i/>
          <w:iCs/>
        </w:rPr>
        <w:t xml:space="preserve"> </w:t>
      </w:r>
      <w:r w:rsidR="00C86C99" w:rsidRPr="004B79E4">
        <w:rPr>
          <w:b/>
          <w:bCs/>
          <w:i/>
          <w:iCs/>
          <w:lang w:val="en-US"/>
        </w:rPr>
        <w:t>Edwards</w:t>
      </w:r>
      <w:r w:rsidR="00C86C99" w:rsidRPr="004B79E4">
        <w:rPr>
          <w:b/>
          <w:bCs/>
          <w:i/>
          <w:iCs/>
        </w:rPr>
        <w:t xml:space="preserve"> κατά Ηνωμένου Βασιλείου</w:t>
      </w:r>
      <w:r w:rsidR="00E77BB1">
        <w:rPr>
          <w:rStyle w:val="a7"/>
          <w:b/>
          <w:bCs/>
          <w:i/>
          <w:iCs/>
        </w:rPr>
        <w:footnoteReference w:id="19"/>
      </w:r>
      <w:r w:rsidR="00C86C99">
        <w:t>,</w:t>
      </w:r>
      <w:r w:rsidR="00324C5B">
        <w:t xml:space="preserve"> που αφορούσε στη </w:t>
      </w:r>
      <w:r w:rsidR="00740377">
        <w:t xml:space="preserve">δολοφονία </w:t>
      </w:r>
      <w:r w:rsidR="00324C5B">
        <w:t>ενός κρατουμένου</w:t>
      </w:r>
      <w:r w:rsidR="007A7414">
        <w:t>,</w:t>
      </w:r>
      <w:r w:rsidR="00324C5B">
        <w:t xml:space="preserve"> </w:t>
      </w:r>
      <w:r w:rsidR="007A7414">
        <w:t xml:space="preserve">εντός του </w:t>
      </w:r>
      <w:r w:rsidR="00D30EE2">
        <w:t>σωφρονιστικού καταστήματος</w:t>
      </w:r>
      <w:r w:rsidR="007A7414">
        <w:t xml:space="preserve"> όπου κρατούνταν, </w:t>
      </w:r>
      <w:r w:rsidR="00F02BD1">
        <w:t>από συγκρατούμενό του που έπασχε από σχιζοφρένεια</w:t>
      </w:r>
      <w:r w:rsidR="00324C5B">
        <w:t xml:space="preserve">, το Δικαστήριο έκρινε ότι </w:t>
      </w:r>
      <w:r w:rsidR="00324C5B" w:rsidRPr="007A7414">
        <w:rPr>
          <w:b/>
          <w:bCs/>
        </w:rPr>
        <w:t>παρα</w:t>
      </w:r>
      <w:r w:rsidR="00DC6D36" w:rsidRPr="007A7414">
        <w:rPr>
          <w:b/>
          <w:bCs/>
        </w:rPr>
        <w:t xml:space="preserve">βιάστηκε </w:t>
      </w:r>
      <w:r w:rsidR="00F02BD1" w:rsidRPr="007A7414">
        <w:rPr>
          <w:b/>
          <w:bCs/>
        </w:rPr>
        <w:t>το άρθρο 2 της Σύμβασης</w:t>
      </w:r>
      <w:r w:rsidR="007A7414">
        <w:t>,</w:t>
      </w:r>
      <w:r w:rsidR="00F02BD1">
        <w:t xml:space="preserve"> διότι </w:t>
      </w:r>
      <w:r w:rsidR="00C9278D">
        <w:t xml:space="preserve">το εναγόμενο κράτος </w:t>
      </w:r>
      <w:r w:rsidR="00F02BD1">
        <w:t xml:space="preserve">α) δεν έλαβε τα απαραίτητα μέτρα, ώστε να ενημερωθεί το </w:t>
      </w:r>
      <w:r w:rsidR="00055CE1">
        <w:t>σωφρονιστικό κατάστημα</w:t>
      </w:r>
      <w:r w:rsidR="00F02BD1">
        <w:t xml:space="preserve"> </w:t>
      </w:r>
      <w:r w:rsidR="00FE0B51">
        <w:t xml:space="preserve">σχετικά με την ψυχιατρική του νόσο </w:t>
      </w:r>
      <w:r w:rsidR="00F02BD1">
        <w:t xml:space="preserve">από τις αρμόδιες αρχές που </w:t>
      </w:r>
      <w:r w:rsidR="00055CE1">
        <w:t xml:space="preserve">τελούσαν εν γνώσει </w:t>
      </w:r>
      <w:r w:rsidR="00FE0B51">
        <w:t xml:space="preserve">αυτής </w:t>
      </w:r>
      <w:r w:rsidR="00C9278D">
        <w:t>και</w:t>
      </w:r>
      <w:r w:rsidR="00615524">
        <w:t xml:space="preserve"> να προστατεύσει το θύμα από την επίθεση, καθώς και</w:t>
      </w:r>
      <w:r w:rsidR="00C9278D">
        <w:t xml:space="preserve"> β) δεν </w:t>
      </w:r>
      <w:r w:rsidR="00740377">
        <w:t>προέβη σε αποτελεσματική διερεύνηση της υπόθεσης</w:t>
      </w:r>
      <w:r w:rsidR="007A7414">
        <w:t>, ώστε να εντοπιστούν και να τιμωρηθούν τα υπαίτια πρόσωπα</w:t>
      </w:r>
      <w:r w:rsidR="00740377">
        <w:t>.</w:t>
      </w:r>
    </w:p>
    <w:p w14:paraId="46A32DD9" w14:textId="343D491A" w:rsidR="007A7414" w:rsidRPr="00C86C99" w:rsidRDefault="007A7414" w:rsidP="00E72ECE">
      <w:pPr>
        <w:spacing w:before="120" w:after="120" w:line="360" w:lineRule="auto"/>
        <w:ind w:firstLine="720"/>
      </w:pPr>
      <w:r>
        <w:t>Ταυτοχρόνως, το Δικαστήριο</w:t>
      </w:r>
      <w:r w:rsidR="00615524">
        <w:t>, αφού έκρινε ότι οι ισχυρισμοί των προσφευγόντων γονέων του θύματος</w:t>
      </w:r>
      <w:r w:rsidR="007C57DE">
        <w:t>,</w:t>
      </w:r>
      <w:r w:rsidR="00615524">
        <w:t xml:space="preserve"> </w:t>
      </w:r>
      <w:r w:rsidR="007C57DE">
        <w:t xml:space="preserve">σχετικά με την παραβίαση του άρθρου 2, </w:t>
      </w:r>
      <w:r w:rsidR="00615524">
        <w:t xml:space="preserve">ήταν </w:t>
      </w:r>
      <w:proofErr w:type="spellStart"/>
      <w:r w:rsidR="00615524">
        <w:t>υποστηρίξιμοι</w:t>
      </w:r>
      <w:proofErr w:type="spellEnd"/>
      <w:r w:rsidR="009B060A">
        <w:t xml:space="preserve">, έκρινε ότι </w:t>
      </w:r>
      <w:r w:rsidR="009B060A" w:rsidRPr="00E44E7B">
        <w:rPr>
          <w:b/>
          <w:bCs/>
        </w:rPr>
        <w:t xml:space="preserve">παραβιάστηκε </w:t>
      </w:r>
      <w:r w:rsidR="00FE0B51">
        <w:rPr>
          <w:b/>
          <w:bCs/>
        </w:rPr>
        <w:t xml:space="preserve">και </w:t>
      </w:r>
      <w:r w:rsidR="009B060A" w:rsidRPr="00E44E7B">
        <w:rPr>
          <w:b/>
          <w:bCs/>
        </w:rPr>
        <w:t xml:space="preserve">το δικαίωμα αποτελεσματικής προσφυγής </w:t>
      </w:r>
      <w:r w:rsidR="009B060A">
        <w:t xml:space="preserve">τους ενώπιον των εθνικών αρχών του εναγόμενου κράτους, διότι δεν τους </w:t>
      </w:r>
      <w:proofErr w:type="spellStart"/>
      <w:r w:rsidR="009B060A">
        <w:t>παρείχε</w:t>
      </w:r>
      <w:r w:rsidR="00FE0B51">
        <w:t>το</w:t>
      </w:r>
      <w:proofErr w:type="spellEnd"/>
      <w:r w:rsidR="00FE0B51">
        <w:t xml:space="preserve"> </w:t>
      </w:r>
      <w:r w:rsidR="009B060A">
        <w:t xml:space="preserve">η δυνατότητα να αποζημιωθούν </w:t>
      </w:r>
      <w:r w:rsidR="005444E3">
        <w:t xml:space="preserve">επαρκώς </w:t>
      </w:r>
      <w:r w:rsidR="009B060A">
        <w:t>για τις ανωτέρω περιγραφόμενες παραλείψεις του</w:t>
      </w:r>
      <w:r w:rsidR="009B060A">
        <w:rPr>
          <w:rStyle w:val="a7"/>
        </w:rPr>
        <w:footnoteReference w:id="20"/>
      </w:r>
      <w:r w:rsidR="009B060A">
        <w:t>.</w:t>
      </w:r>
    </w:p>
    <w:p w14:paraId="366E3E0D" w14:textId="468D7800" w:rsidR="000210BA" w:rsidRDefault="000210BA" w:rsidP="00E72ECE">
      <w:pPr>
        <w:spacing w:before="120" w:after="120" w:line="360" w:lineRule="auto"/>
      </w:pPr>
      <w:r>
        <w:tab/>
        <w:t xml:space="preserve">Σημειώνεται, ωστόσο, ότι δεν ελλείπουν και υποθέσεις του Δικαστηρίου, όπου κρίθηκε ότι </w:t>
      </w:r>
      <w:r w:rsidRPr="00896740">
        <w:rPr>
          <w:b/>
          <w:bCs/>
        </w:rPr>
        <w:t xml:space="preserve">παρέλκει </w:t>
      </w:r>
      <w:r w:rsidRPr="00896740">
        <w:t>η εξέταση της παραβίασης του άρθρου 13</w:t>
      </w:r>
      <w:r>
        <w:t xml:space="preserve">, </w:t>
      </w:r>
      <w:r w:rsidRPr="00896740">
        <w:t>αν διαπιστ</w:t>
      </w:r>
      <w:r w:rsidR="00735E8B">
        <w:t xml:space="preserve">ώνεται </w:t>
      </w:r>
      <w:r w:rsidRPr="00896740">
        <w:rPr>
          <w:b/>
          <w:bCs/>
        </w:rPr>
        <w:t>πραγματική παραβίαση κάποιου άλλου δικαιώματος</w:t>
      </w:r>
      <w:r>
        <w:t xml:space="preserve"> της Σύμβασης.</w:t>
      </w:r>
    </w:p>
    <w:p w14:paraId="019B4CF5" w14:textId="4C5F4E47" w:rsidR="000210BA" w:rsidRPr="00F61051" w:rsidRDefault="00896740" w:rsidP="00E72ECE">
      <w:pPr>
        <w:spacing w:before="120" w:after="120" w:line="360" w:lineRule="auto"/>
      </w:pPr>
      <w:r>
        <w:tab/>
      </w:r>
      <w:r w:rsidR="009904A4">
        <w:t xml:space="preserve">Στην </w:t>
      </w:r>
      <w:r>
        <w:t xml:space="preserve">ελληνικού ενδιαφέροντος υπόθεση </w:t>
      </w:r>
      <w:r w:rsidR="00F61051" w:rsidRPr="009904A4">
        <w:rPr>
          <w:b/>
          <w:bCs/>
          <w:i/>
          <w:iCs/>
        </w:rPr>
        <w:t>Λ.Μ. και Ε.Κ. κατά Ελλάδος</w:t>
      </w:r>
      <w:r w:rsidR="009904A4">
        <w:t xml:space="preserve">, που αφορούσε στην απάνθρωπη και εξευτελιστική μεταχείριση που υπέστησαν δύο </w:t>
      </w:r>
      <w:proofErr w:type="spellStart"/>
      <w:r w:rsidR="009904A4">
        <w:t>Ρομά</w:t>
      </w:r>
      <w:proofErr w:type="spellEnd"/>
      <w:r w:rsidR="009904A4">
        <w:t xml:space="preserve"> από αστυνομικούς, μετά την επ’ αυτοφώρω σύλληψή τους κατά την τέλεση απόπειρας κλοπής, εντός του αστυνομικού τμήματος όπου κρατούνταν, το Δικαστήριο έκρινε </w:t>
      </w:r>
      <w:r w:rsidR="00675751">
        <w:t>μεν</w:t>
      </w:r>
      <w:r w:rsidR="009904A4">
        <w:t xml:space="preserve"> ότι </w:t>
      </w:r>
      <w:r w:rsidR="009904A4" w:rsidRPr="009904A4">
        <w:rPr>
          <w:b/>
          <w:bCs/>
        </w:rPr>
        <w:t>παραβιάστηκε το άρθρο 3 της Σύμβασης</w:t>
      </w:r>
      <w:r w:rsidR="009904A4">
        <w:t xml:space="preserve">, </w:t>
      </w:r>
      <w:r w:rsidR="007236EF">
        <w:t xml:space="preserve">διότι </w:t>
      </w:r>
      <w:r w:rsidR="00C3434A" w:rsidRPr="00CF5398">
        <w:rPr>
          <w:b/>
          <w:bCs/>
        </w:rPr>
        <w:t>α)</w:t>
      </w:r>
      <w:r w:rsidR="00C3434A">
        <w:t xml:space="preserve"> οι σωματικές βλάβες που υπέστησαν κατά τη διάρκεια της κράτησής τους, ο φόβος, η αγωνία και το αίσθημα κατωτερότητας που τους προκάλεσε η καταγγελλόμενη μεταχείριση τους προξένησε σοβαρό πόνο που μπορούν να χαρακτηριστούν απάνθρωπη και εξευτελιστική μεταχείριση</w:t>
      </w:r>
      <w:r w:rsidR="00166244" w:rsidRPr="00166244">
        <w:t xml:space="preserve"> </w:t>
      </w:r>
      <w:r w:rsidR="00166244">
        <w:t xml:space="preserve">και </w:t>
      </w:r>
      <w:r w:rsidR="00CF5398">
        <w:t xml:space="preserve">διότι </w:t>
      </w:r>
      <w:r w:rsidR="00166244" w:rsidRPr="00CF5398">
        <w:rPr>
          <w:b/>
          <w:bCs/>
        </w:rPr>
        <w:t>β)</w:t>
      </w:r>
      <w:r w:rsidR="00166244">
        <w:t xml:space="preserve"> το </w:t>
      </w:r>
      <w:r w:rsidR="00166244">
        <w:lastRenderedPageBreak/>
        <w:t>εναγόμενο κράτος δεν προέβη σε αποτελεσματική διερεύνηση της υπόθεσης</w:t>
      </w:r>
      <w:r w:rsidR="00532B04">
        <w:t>,</w:t>
      </w:r>
      <w:r w:rsidR="007236EF">
        <w:t xml:space="preserve"> </w:t>
      </w:r>
      <w:r w:rsidR="00675751">
        <w:t>καταλήγοντας, όμως, στο συμπέρασμα</w:t>
      </w:r>
      <w:r w:rsidR="00971C3B">
        <w:t xml:space="preserve"> </w:t>
      </w:r>
      <w:r w:rsidR="009904A4">
        <w:t xml:space="preserve">ότι </w:t>
      </w:r>
      <w:r w:rsidR="009904A4" w:rsidRPr="00FD19EE">
        <w:rPr>
          <w:b/>
          <w:bCs/>
        </w:rPr>
        <w:t>δεν χρειάζεται να εξετάσει χωριστά</w:t>
      </w:r>
      <w:r w:rsidR="009904A4">
        <w:t xml:space="preserve"> τον ισχυρισμό περί παραβίασης του δικαιώματος αποτελεσματικής προσφυγής</w:t>
      </w:r>
      <w:r w:rsidR="00C24D06">
        <w:rPr>
          <w:rStyle w:val="a7"/>
        </w:rPr>
        <w:footnoteReference w:id="21"/>
      </w:r>
      <w:r w:rsidR="00160CE5">
        <w:t>. Τούτο δε</w:t>
      </w:r>
      <w:r w:rsidR="00FD19EE">
        <w:t xml:space="preserve"> χωρίς κάποια περαιτέρω αιτιολογία.</w:t>
      </w:r>
    </w:p>
    <w:p w14:paraId="64F57587" w14:textId="37AA9A14" w:rsidR="00160CE5" w:rsidRDefault="00160CE5" w:rsidP="00E72ECE">
      <w:pPr>
        <w:spacing w:before="120" w:after="120" w:line="360" w:lineRule="auto"/>
      </w:pPr>
    </w:p>
    <w:p w14:paraId="26E5C988" w14:textId="4B3CF888" w:rsidR="00160CE5" w:rsidRDefault="009F3177" w:rsidP="00E72ECE">
      <w:pPr>
        <w:pStyle w:val="3"/>
        <w:spacing w:before="120" w:after="120" w:line="360" w:lineRule="auto"/>
      </w:pPr>
      <w:bookmarkStart w:id="5" w:name="_Toc166060918"/>
      <w:r w:rsidRPr="009F3177">
        <w:t>Μη διαπίστωση παραβίασης άλλου δικαιώματος κατοχυρωμένου στην ΕΣΔΑ</w:t>
      </w:r>
      <w:bookmarkEnd w:id="5"/>
    </w:p>
    <w:p w14:paraId="6E537661" w14:textId="4694FF1E" w:rsidR="00F05BE7" w:rsidRDefault="00E44E7B" w:rsidP="00E72ECE">
      <w:pPr>
        <w:spacing w:before="120" w:after="120" w:line="360" w:lineRule="auto"/>
        <w:ind w:firstLine="720"/>
      </w:pPr>
      <w:r>
        <w:t xml:space="preserve">Αντιστρόφως, </w:t>
      </w:r>
      <w:r w:rsidR="000210BA">
        <w:t xml:space="preserve">η μη διαπίστωση </w:t>
      </w:r>
      <w:r w:rsidR="009F3177">
        <w:t xml:space="preserve">παραβίασης </w:t>
      </w:r>
      <w:r w:rsidR="00DC6DCF">
        <w:t>δικαιώματος κατοχυρωμένου σε άλλη διάταξη</w:t>
      </w:r>
      <w:r w:rsidR="009F3177">
        <w:t xml:space="preserve"> της Σύμβασης </w:t>
      </w:r>
      <w:r w:rsidR="00417816" w:rsidRPr="00735E8B">
        <w:rPr>
          <w:b/>
          <w:bCs/>
        </w:rPr>
        <w:t xml:space="preserve">δεν προεξοφλεί την ανυπαρξία </w:t>
      </w:r>
      <w:proofErr w:type="spellStart"/>
      <w:r w:rsidR="00417816" w:rsidRPr="00735E8B">
        <w:rPr>
          <w:b/>
          <w:bCs/>
        </w:rPr>
        <w:t>υποστηρίξιμης</w:t>
      </w:r>
      <w:proofErr w:type="spellEnd"/>
      <w:r w:rsidR="00417816" w:rsidRPr="00735E8B">
        <w:rPr>
          <w:b/>
          <w:bCs/>
        </w:rPr>
        <w:t xml:space="preserve"> αιτίασης</w:t>
      </w:r>
      <w:r w:rsidR="00417816">
        <w:t xml:space="preserve"> για την εφαρμογή του άρθρου 13</w:t>
      </w:r>
      <w:r w:rsidR="00735E8B">
        <w:t>, αφού η πραγματική παραβίαση κάποι</w:t>
      </w:r>
      <w:r w:rsidR="002437CE">
        <w:t>ου</w:t>
      </w:r>
      <w:r w:rsidR="00735E8B">
        <w:t xml:space="preserve"> εξ αυτών δεν συνιστά απαραίτητη προϋπόθεση της εφαρμογής του.</w:t>
      </w:r>
    </w:p>
    <w:p w14:paraId="5F976208" w14:textId="682EBB96" w:rsidR="00F05BE7" w:rsidRDefault="00735E8B" w:rsidP="00E72ECE">
      <w:pPr>
        <w:spacing w:before="120" w:after="120" w:line="360" w:lineRule="auto"/>
        <w:ind w:firstLine="720"/>
      </w:pPr>
      <w:r>
        <w:t xml:space="preserve">Έτσι, στην υπόθεση </w:t>
      </w:r>
      <w:r w:rsidR="00C24D06" w:rsidRPr="009D79DC">
        <w:rPr>
          <w:b/>
          <w:bCs/>
          <w:i/>
          <w:iCs/>
        </w:rPr>
        <w:t>Βαλσάμης κατά Ελλάδος</w:t>
      </w:r>
      <w:r w:rsidR="009216BE" w:rsidRPr="00086294">
        <w:rPr>
          <w:rStyle w:val="a7"/>
        </w:rPr>
        <w:footnoteReference w:id="22"/>
      </w:r>
      <w:r w:rsidR="00C24D06">
        <w:rPr>
          <w:i/>
          <w:iCs/>
        </w:rPr>
        <w:t xml:space="preserve">, </w:t>
      </w:r>
      <w:r w:rsidR="00C24D06">
        <w:t>που αφορούσε στην αποβολή μαθήτριας</w:t>
      </w:r>
      <w:r w:rsidR="009216BE">
        <w:t>, μάρτυρος του Ιεχωβά,</w:t>
      </w:r>
      <w:r w:rsidR="00C24D06">
        <w:t xml:space="preserve"> από το </w:t>
      </w:r>
      <w:r w:rsidR="009216BE">
        <w:t>σχολείο εξαιτίας της άρνησής της να συμμετάσχει σε σχολική παρέλαση</w:t>
      </w:r>
      <w:r w:rsidR="00C24D06">
        <w:t xml:space="preserve"> </w:t>
      </w:r>
      <w:r w:rsidR="009216BE">
        <w:t xml:space="preserve">λόγω των θρησκευτικών της πεποιθήσεων, το Δικαστήριο έκρινε ότι </w:t>
      </w:r>
      <w:r w:rsidR="009216BE" w:rsidRPr="009D79DC">
        <w:rPr>
          <w:b/>
          <w:bCs/>
        </w:rPr>
        <w:t>δεν παραβιάστηκε τόσο το άρθρο 2 του 1</w:t>
      </w:r>
      <w:r w:rsidR="009216BE" w:rsidRPr="009D79DC">
        <w:rPr>
          <w:b/>
          <w:bCs/>
          <w:vertAlign w:val="superscript"/>
        </w:rPr>
        <w:t>ου</w:t>
      </w:r>
      <w:r w:rsidR="009216BE" w:rsidRPr="009D79DC">
        <w:rPr>
          <w:b/>
          <w:bCs/>
        </w:rPr>
        <w:t xml:space="preserve"> Πρόσθετου Πρωτοκόλλου της Σύμβασης </w:t>
      </w:r>
      <w:r w:rsidR="009216BE">
        <w:t>σχετικά με το δικαίωμ</w:t>
      </w:r>
      <w:r w:rsidR="002437CE">
        <w:t xml:space="preserve">α </w:t>
      </w:r>
      <w:r w:rsidR="009216BE">
        <w:t xml:space="preserve">στην εκπαίδευση </w:t>
      </w:r>
      <w:r w:rsidR="009216BE" w:rsidRPr="009D79DC">
        <w:rPr>
          <w:b/>
          <w:bCs/>
        </w:rPr>
        <w:t>όσο και το άρθρο 9 της Σύμβασης</w:t>
      </w:r>
      <w:r w:rsidR="009216BE">
        <w:t xml:space="preserve"> σχετικά με τη θρησκευτική ελευθερία, </w:t>
      </w:r>
      <w:r w:rsidR="009216BE" w:rsidRPr="009D79DC">
        <w:rPr>
          <w:b/>
          <w:bCs/>
        </w:rPr>
        <w:t>πλην όμως</w:t>
      </w:r>
      <w:r w:rsidR="009216BE">
        <w:t xml:space="preserve"> </w:t>
      </w:r>
      <w:r w:rsidR="002437CE">
        <w:t>διέγνωσε</w:t>
      </w:r>
      <w:r w:rsidR="009216BE">
        <w:t xml:space="preserve"> ότι συνέτρεχε </w:t>
      </w:r>
      <w:proofErr w:type="spellStart"/>
      <w:r w:rsidR="009216BE" w:rsidRPr="009D79DC">
        <w:rPr>
          <w:b/>
          <w:bCs/>
        </w:rPr>
        <w:t>υποστηρίξιμος</w:t>
      </w:r>
      <w:proofErr w:type="spellEnd"/>
      <w:r w:rsidR="009216BE" w:rsidRPr="009D79DC">
        <w:rPr>
          <w:b/>
          <w:bCs/>
        </w:rPr>
        <w:t xml:space="preserve"> ισχυρισμός</w:t>
      </w:r>
      <w:r w:rsidR="009216BE">
        <w:t xml:space="preserve"> αντλούμενος από τις διατάξεις αυτές. Συνεπώς, κατέληξε στο συμπέρασμα ότι οι </w:t>
      </w:r>
      <w:r w:rsidR="009D79DC">
        <w:t>προσφεύγοντες</w:t>
      </w:r>
      <w:r w:rsidR="009216BE">
        <w:t xml:space="preserve"> γονείς της </w:t>
      </w:r>
      <w:r w:rsidR="009D79DC">
        <w:t>μαθήτρι</w:t>
      </w:r>
      <w:r w:rsidR="00EB5433">
        <w:t>α</w:t>
      </w:r>
      <w:r w:rsidR="009D79DC">
        <w:t xml:space="preserve">ς </w:t>
      </w:r>
      <w:r w:rsidR="000B1FF7">
        <w:t xml:space="preserve">θα </w:t>
      </w:r>
      <w:r w:rsidR="009216BE">
        <w:t xml:space="preserve">έπρεπε να έχουν το δικαίωμα να προσφύγουν </w:t>
      </w:r>
      <w:r w:rsidR="000B1FF7">
        <w:t xml:space="preserve">ενώπιον των εθνικών αρχών του εναγόμενου κράτους </w:t>
      </w:r>
      <w:r w:rsidR="009216BE">
        <w:t xml:space="preserve">κατά της απόφασης περί αποβολής της, δικαίωμα </w:t>
      </w:r>
      <w:r w:rsidR="009D79DC">
        <w:t xml:space="preserve">το οποίο </w:t>
      </w:r>
      <w:r w:rsidR="009216BE">
        <w:t>στερούνταν</w:t>
      </w:r>
      <w:r w:rsidR="009D79DC">
        <w:t xml:space="preserve"> </w:t>
      </w:r>
      <w:r w:rsidR="00EB5433">
        <w:t xml:space="preserve">δεδομένης </w:t>
      </w:r>
      <w:r w:rsidR="009D79DC">
        <w:t>της ανυπαρξίας τέτοιου ενδίκου βοηθήματος στο εσωτερικό δίκαιο</w:t>
      </w:r>
      <w:r w:rsidR="009216BE">
        <w:t>, ώστε</w:t>
      </w:r>
      <w:r w:rsidR="000B1FF7">
        <w:t>, τελικώς,</w:t>
      </w:r>
      <w:r w:rsidR="009216BE">
        <w:t xml:space="preserve"> </w:t>
      </w:r>
      <w:r w:rsidR="009216BE" w:rsidRPr="009D79DC">
        <w:rPr>
          <w:b/>
          <w:bCs/>
        </w:rPr>
        <w:t>παραβιάστηκε το άρθρο 13 της Σύμβασης</w:t>
      </w:r>
      <w:r w:rsidR="009216BE">
        <w:t>.</w:t>
      </w:r>
    </w:p>
    <w:p w14:paraId="28478E8C" w14:textId="5C34521F" w:rsidR="0026113A" w:rsidRDefault="0026113A" w:rsidP="00E72ECE">
      <w:pPr>
        <w:pStyle w:val="3"/>
        <w:spacing w:before="120" w:after="120" w:line="360" w:lineRule="auto"/>
      </w:pPr>
    </w:p>
    <w:p w14:paraId="5E3F511E" w14:textId="4CC87345" w:rsidR="0026113A" w:rsidRDefault="0026113A" w:rsidP="00E72ECE">
      <w:pPr>
        <w:pStyle w:val="3"/>
        <w:spacing w:before="120" w:after="120" w:line="360" w:lineRule="auto"/>
      </w:pPr>
      <w:bookmarkStart w:id="6" w:name="_Toc166060919"/>
      <w:r>
        <w:t>Προφανώς αβάσιμο</w:t>
      </w:r>
      <w:r w:rsidR="00E72ECE">
        <w:t xml:space="preserve"> του</w:t>
      </w:r>
      <w:r>
        <w:t xml:space="preserve"> ισχυρισμ</w:t>
      </w:r>
      <w:r w:rsidR="00E72ECE">
        <w:t>ού</w:t>
      </w:r>
      <w:r>
        <w:t xml:space="preserve"> περί παραβίασης </w:t>
      </w:r>
      <w:r w:rsidRPr="009F3177">
        <w:t>δικαιώματος κατοχυρωμένου στην ΕΣΔΑ</w:t>
      </w:r>
      <w:bookmarkEnd w:id="6"/>
    </w:p>
    <w:p w14:paraId="6F3AA864" w14:textId="4CE39CA0" w:rsidR="00DD7D64" w:rsidRPr="00580234" w:rsidRDefault="0026113A" w:rsidP="00E72ECE">
      <w:pPr>
        <w:spacing w:before="120" w:after="120" w:line="360" w:lineRule="auto"/>
        <w:ind w:firstLine="720"/>
      </w:pPr>
      <w:r>
        <w:t xml:space="preserve">Επιπλέον, </w:t>
      </w:r>
      <w:r w:rsidR="000302F7">
        <w:t xml:space="preserve">σε περίπτωση καταφατικής κρίσης περί του </w:t>
      </w:r>
      <w:r>
        <w:t>«</w:t>
      </w:r>
      <w:r w:rsidRPr="0026113A">
        <w:rPr>
          <w:b/>
          <w:bCs/>
        </w:rPr>
        <w:t>προφανώς αβάσιμο</w:t>
      </w:r>
      <w:r w:rsidR="000302F7">
        <w:rPr>
          <w:b/>
          <w:bCs/>
        </w:rPr>
        <w:t>υ</w:t>
      </w:r>
      <w:r>
        <w:t>»</w:t>
      </w:r>
      <w:r w:rsidR="000302F7">
        <w:t xml:space="preserve"> </w:t>
      </w:r>
      <w:r w:rsidR="008754E0">
        <w:t>ενός</w:t>
      </w:r>
      <w:r w:rsidR="000302F7">
        <w:t xml:space="preserve"> ισχυρισμού</w:t>
      </w:r>
      <w:r w:rsidR="008754E0">
        <w:t xml:space="preserve"> περί παραβίασης δικαιώματος απορρέοντος από τη Σύμβαση</w:t>
      </w:r>
      <w:r w:rsidR="000302F7">
        <w:t>, το Δικαστήριο</w:t>
      </w:r>
      <w:r w:rsidR="00AF5F94" w:rsidRPr="00AF5F94">
        <w:t xml:space="preserve">, </w:t>
      </w:r>
      <w:r w:rsidR="00AF5F94">
        <w:t>κατά κανόνα,</w:t>
      </w:r>
      <w:r w:rsidR="000302F7">
        <w:t xml:space="preserve"> </w:t>
      </w:r>
      <w:r w:rsidR="000302F7" w:rsidRPr="000B1FF7">
        <w:rPr>
          <w:b/>
          <w:bCs/>
        </w:rPr>
        <w:t xml:space="preserve">δεν δέχεται ότι </w:t>
      </w:r>
      <w:r w:rsidR="00DD7D64" w:rsidRPr="000B1FF7">
        <w:rPr>
          <w:b/>
          <w:bCs/>
        </w:rPr>
        <w:t>αυτός</w:t>
      </w:r>
      <w:r w:rsidR="000302F7" w:rsidRPr="000B1FF7">
        <w:rPr>
          <w:b/>
          <w:bCs/>
        </w:rPr>
        <w:t xml:space="preserve"> μπορεί να </w:t>
      </w:r>
      <w:r w:rsidRPr="000B1FF7">
        <w:rPr>
          <w:b/>
          <w:bCs/>
        </w:rPr>
        <w:t xml:space="preserve">είναι </w:t>
      </w:r>
      <w:proofErr w:type="spellStart"/>
      <w:r w:rsidRPr="000B1FF7">
        <w:rPr>
          <w:b/>
          <w:bCs/>
        </w:rPr>
        <w:t>υποστηρίξιμος</w:t>
      </w:r>
      <w:proofErr w:type="spellEnd"/>
      <w:r>
        <w:t xml:space="preserve"> στο πλαίσιο της εφαρμογής του άρθρου 13</w:t>
      </w:r>
      <w:r w:rsidR="00DD7D64">
        <w:t>, ώστε</w:t>
      </w:r>
      <w:r w:rsidR="00AF5F94">
        <w:t>, τελικώς,</w:t>
      </w:r>
      <w:r w:rsidR="00DD7D64">
        <w:t xml:space="preserve"> δεν τον εξετάζει καν υπό το πρίσμα </w:t>
      </w:r>
      <w:r w:rsidR="00DD7D64">
        <w:lastRenderedPageBreak/>
        <w:t>αυτού</w:t>
      </w:r>
      <w:r>
        <w:t>.</w:t>
      </w:r>
      <w:r w:rsidR="00D96564">
        <w:t xml:space="preserve"> Προφανώς αβάσιμος δε είναι ένας ισχυρισμός </w:t>
      </w:r>
      <w:r w:rsidR="00580234">
        <w:t xml:space="preserve">όταν δεν υπάρχει ούτε </w:t>
      </w:r>
      <w:r w:rsidR="00580234" w:rsidRPr="002A2ACB">
        <w:rPr>
          <w:i/>
          <w:iCs/>
        </w:rPr>
        <w:t>μια</w:t>
      </w:r>
      <w:r w:rsidR="00580234" w:rsidRPr="00185A20">
        <w:rPr>
          <w:i/>
          <w:iCs/>
        </w:rPr>
        <w:t xml:space="preserve"> εκ πρώτης όψεως (</w:t>
      </w:r>
      <w:r w:rsidR="00580234" w:rsidRPr="00185A20">
        <w:rPr>
          <w:i/>
          <w:iCs/>
          <w:lang w:val="en-US"/>
        </w:rPr>
        <w:t>prima</w:t>
      </w:r>
      <w:r w:rsidR="00580234" w:rsidRPr="00185A20">
        <w:rPr>
          <w:i/>
          <w:iCs/>
        </w:rPr>
        <w:t xml:space="preserve"> </w:t>
      </w:r>
      <w:r w:rsidR="00580234" w:rsidRPr="00185A20">
        <w:rPr>
          <w:i/>
          <w:iCs/>
          <w:lang w:val="en-US"/>
        </w:rPr>
        <w:t>facie</w:t>
      </w:r>
      <w:r w:rsidR="00580234" w:rsidRPr="00185A20">
        <w:rPr>
          <w:i/>
          <w:iCs/>
        </w:rPr>
        <w:t>) απόδειξη</w:t>
      </w:r>
      <w:r w:rsidR="00580234">
        <w:t>, παρόλο που είν</w:t>
      </w:r>
      <w:r w:rsidR="00F74647">
        <w:t>αι δυσχερής η συναγωγή ενός τέτοιου συμπεράσματος</w:t>
      </w:r>
      <w:r w:rsidR="00F74647">
        <w:rPr>
          <w:rStyle w:val="a7"/>
        </w:rPr>
        <w:footnoteReference w:id="23"/>
      </w:r>
      <w:r w:rsidR="00FE0B51">
        <w:t>.</w:t>
      </w:r>
    </w:p>
    <w:p w14:paraId="3CC0C9CF" w14:textId="268A329B" w:rsidR="004B79E4" w:rsidRPr="00EF7973" w:rsidRDefault="004B79E4" w:rsidP="00E72ECE">
      <w:pPr>
        <w:spacing w:before="120" w:after="120" w:line="360" w:lineRule="auto"/>
        <w:ind w:firstLine="720"/>
      </w:pPr>
      <w:r>
        <w:t xml:space="preserve">Έτσι, στην υπόθεση </w:t>
      </w:r>
      <w:r w:rsidRPr="004B79E4">
        <w:rPr>
          <w:b/>
          <w:bCs/>
          <w:i/>
          <w:iCs/>
          <w:lang w:val="en-US"/>
        </w:rPr>
        <w:t>Boyle</w:t>
      </w:r>
      <w:r w:rsidRPr="004B79E4">
        <w:rPr>
          <w:b/>
          <w:bCs/>
          <w:i/>
          <w:iCs/>
        </w:rPr>
        <w:t xml:space="preserve"> </w:t>
      </w:r>
      <w:r w:rsidRPr="004B79E4">
        <w:rPr>
          <w:b/>
          <w:bCs/>
          <w:i/>
          <w:iCs/>
          <w:lang w:val="en-US"/>
        </w:rPr>
        <w:t>and</w:t>
      </w:r>
      <w:r w:rsidRPr="004B79E4">
        <w:rPr>
          <w:b/>
          <w:bCs/>
          <w:i/>
          <w:iCs/>
        </w:rPr>
        <w:t xml:space="preserve"> </w:t>
      </w:r>
      <w:r w:rsidRPr="004B79E4">
        <w:rPr>
          <w:b/>
          <w:bCs/>
          <w:i/>
          <w:iCs/>
          <w:lang w:val="en-US"/>
        </w:rPr>
        <w:t>Rice</w:t>
      </w:r>
      <w:r w:rsidRPr="004B79E4">
        <w:rPr>
          <w:b/>
          <w:bCs/>
          <w:i/>
          <w:iCs/>
        </w:rPr>
        <w:t xml:space="preserve"> κατά Ηνωμένου Βασιλείου</w:t>
      </w:r>
      <w:r>
        <w:t>, το Δικαστήριο</w:t>
      </w:r>
      <w:r w:rsidR="00121C90">
        <w:t>, μεταξύ άλλων,</w:t>
      </w:r>
      <w:r>
        <w:t xml:space="preserve"> </w:t>
      </w:r>
      <w:r w:rsidR="00455520">
        <w:t xml:space="preserve">εξέφρασε αμφιβολίες ως προς το αν είναι </w:t>
      </w:r>
      <w:r w:rsidR="003E5967">
        <w:t xml:space="preserve">δυνατόν ένας προφανώς αβάσιμος ισχυρισμός να χαρακτηρισθεί </w:t>
      </w:r>
      <w:r w:rsidR="00EF7973">
        <w:t xml:space="preserve">ως </w:t>
      </w:r>
      <w:proofErr w:type="spellStart"/>
      <w:r w:rsidR="003E5967">
        <w:t>υποστηρίξιμος</w:t>
      </w:r>
      <w:proofErr w:type="spellEnd"/>
      <w:r w:rsidR="003E5967">
        <w:t xml:space="preserve"> </w:t>
      </w:r>
      <w:r w:rsidR="00121C90">
        <w:t xml:space="preserve">για την εφαρμογή του άρθρου 13 της Σύμβασης, </w:t>
      </w:r>
      <w:r w:rsidR="00EF7973">
        <w:t>καταλήγοντας</w:t>
      </w:r>
      <w:r w:rsidR="00455520">
        <w:t xml:space="preserve"> στο</w:t>
      </w:r>
      <w:r w:rsidR="00121C90">
        <w:t xml:space="preserve"> συμπέρασμα ότι </w:t>
      </w:r>
      <w:r w:rsidR="00EF7973">
        <w:t xml:space="preserve">το προφανώς αβάσιμο του ισχυρισμού </w:t>
      </w:r>
      <w:r w:rsidR="00EF7973" w:rsidRPr="00EF7973">
        <w:rPr>
          <w:b/>
          <w:bCs/>
        </w:rPr>
        <w:t xml:space="preserve">αποτελεί ισχυρό </w:t>
      </w:r>
      <w:proofErr w:type="spellStart"/>
      <w:r w:rsidR="00EF7973" w:rsidRPr="00EF7973">
        <w:rPr>
          <w:b/>
          <w:bCs/>
        </w:rPr>
        <w:t>ενδείκτη</w:t>
      </w:r>
      <w:proofErr w:type="spellEnd"/>
      <w:r w:rsidR="00EF7973">
        <w:t xml:space="preserve"> και για το μη </w:t>
      </w:r>
      <w:proofErr w:type="spellStart"/>
      <w:r w:rsidR="00EF7973">
        <w:t>υποστηρίξιμο</w:t>
      </w:r>
      <w:proofErr w:type="spellEnd"/>
      <w:r w:rsidR="00EF7973">
        <w:t xml:space="preserve"> αυτού</w:t>
      </w:r>
      <w:r w:rsidR="00EF7973">
        <w:rPr>
          <w:rStyle w:val="a7"/>
        </w:rPr>
        <w:footnoteReference w:id="24"/>
      </w:r>
      <w:r w:rsidR="00EF7973">
        <w:t>.</w:t>
      </w:r>
    </w:p>
    <w:p w14:paraId="07F2FC5F" w14:textId="784F5CB3" w:rsidR="000B1FF7" w:rsidRPr="0025217F" w:rsidRDefault="000B1FF7" w:rsidP="00E72ECE">
      <w:pPr>
        <w:spacing w:before="120" w:after="120" w:line="360" w:lineRule="auto"/>
        <w:ind w:firstLine="720"/>
      </w:pPr>
      <w:r>
        <w:t>Τούτο</w:t>
      </w:r>
      <w:r w:rsidR="004B79E4">
        <w:t xml:space="preserve"> </w:t>
      </w:r>
      <w:r>
        <w:t xml:space="preserve">συνέβη </w:t>
      </w:r>
      <w:r w:rsidR="004B79E4">
        <w:t xml:space="preserve">και </w:t>
      </w:r>
      <w:r>
        <w:t>στην υπόθεση</w:t>
      </w:r>
      <w:r w:rsidR="004B79E4">
        <w:t xml:space="preserve"> </w:t>
      </w:r>
      <w:r w:rsidR="00177C6A" w:rsidRPr="004B7E7A">
        <w:rPr>
          <w:b/>
          <w:bCs/>
          <w:i/>
          <w:iCs/>
        </w:rPr>
        <w:t>Για</w:t>
      </w:r>
      <w:r w:rsidR="00940B6F" w:rsidRPr="004B7E7A">
        <w:rPr>
          <w:b/>
          <w:bCs/>
          <w:i/>
          <w:iCs/>
        </w:rPr>
        <w:t xml:space="preserve">ννακοπούλου </w:t>
      </w:r>
      <w:r w:rsidR="004B7E7A" w:rsidRPr="004B7E7A">
        <w:rPr>
          <w:b/>
          <w:bCs/>
          <w:i/>
          <w:iCs/>
        </w:rPr>
        <w:t>κατά Ελλάδος</w:t>
      </w:r>
      <w:r w:rsidR="00305B25">
        <w:t xml:space="preserve">, που αφορούσε </w:t>
      </w:r>
      <w:r w:rsidR="008701F7">
        <w:t xml:space="preserve">σε </w:t>
      </w:r>
      <w:r w:rsidR="005E076A">
        <w:t>ισχυρισμό της προσφεύγουσας για παραβίαση της αρχής της δίκαιης δίκης εκ μέρους του ελληνικού κράτους</w:t>
      </w:r>
      <w:r w:rsidR="00AA0EEC">
        <w:t>,</w:t>
      </w:r>
      <w:r w:rsidR="005E076A">
        <w:t xml:space="preserve"> διότι </w:t>
      </w:r>
      <w:r w:rsidR="00A426C4">
        <w:t>τα ελληνικά δικαστήρι</w:t>
      </w:r>
      <w:r w:rsidR="00A002F9">
        <w:t xml:space="preserve">α προέβησαν σε </w:t>
      </w:r>
      <w:r w:rsidR="00AA0EEC">
        <w:t xml:space="preserve">λάθη επί του δικαίου και επί της ουσίας της υπόθεσης που ευνόησαν </w:t>
      </w:r>
      <w:r w:rsidR="00880853">
        <w:t xml:space="preserve">τον αντίδικό της. Στην εν λόγω υπόθεση, το Δικαστήριο αφενός </w:t>
      </w:r>
      <w:proofErr w:type="spellStart"/>
      <w:r w:rsidR="00443EC9">
        <w:t>απεφάνθη</w:t>
      </w:r>
      <w:proofErr w:type="spellEnd"/>
      <w:r w:rsidR="00443EC9">
        <w:t xml:space="preserve"> ότι </w:t>
      </w:r>
      <w:r w:rsidR="00443EC9" w:rsidRPr="000F31C8">
        <w:rPr>
          <w:b/>
          <w:bCs/>
        </w:rPr>
        <w:t>δεν συνέτρεξε παραβίαση του άρθρου 6 της Σύμβασης</w:t>
      </w:r>
      <w:r w:rsidR="00443EC9">
        <w:t xml:space="preserve">, δεδομένου ότι </w:t>
      </w:r>
      <w:r w:rsidR="001A7BA2" w:rsidRPr="008F02AB">
        <w:rPr>
          <w:b/>
          <w:bCs/>
        </w:rPr>
        <w:t>α)</w:t>
      </w:r>
      <w:r w:rsidR="001A7BA2">
        <w:t xml:space="preserve"> </w:t>
      </w:r>
      <w:r w:rsidR="00622E4E">
        <w:t>ο έλεγχος της</w:t>
      </w:r>
      <w:r w:rsidR="006F486E">
        <w:t xml:space="preserve"> ορθή</w:t>
      </w:r>
      <w:r w:rsidR="00622E4E">
        <w:t>ς</w:t>
      </w:r>
      <w:r w:rsidR="006F486E">
        <w:t xml:space="preserve"> εφαρμογή</w:t>
      </w:r>
      <w:r w:rsidR="00622E4E">
        <w:t>ς</w:t>
      </w:r>
      <w:r w:rsidR="006F486E">
        <w:t xml:space="preserve"> και ερμηνεία</w:t>
      </w:r>
      <w:r w:rsidR="00622E4E">
        <w:t>ς</w:t>
      </w:r>
      <w:r w:rsidR="006F486E">
        <w:t xml:space="preserve"> του εθνικού δικαίου </w:t>
      </w:r>
      <w:r w:rsidR="004B2529">
        <w:t>ουδόλως</w:t>
      </w:r>
      <w:r w:rsidR="006F486E">
        <w:t xml:space="preserve"> </w:t>
      </w:r>
      <w:r w:rsidR="00622E4E">
        <w:t>εμπίπτει στην αρμοδιότητά του και</w:t>
      </w:r>
      <w:r w:rsidR="001A7BA2">
        <w:t xml:space="preserve"> </w:t>
      </w:r>
      <w:r w:rsidR="001A7BA2" w:rsidRPr="008F02AB">
        <w:rPr>
          <w:b/>
          <w:bCs/>
        </w:rPr>
        <w:t>β)</w:t>
      </w:r>
      <w:r w:rsidR="001A7BA2">
        <w:t xml:space="preserve"> δεν διαπιστώθηκε κάποια αυθαιρεσία στη</w:t>
      </w:r>
      <w:r w:rsidR="003E015C">
        <w:t xml:space="preserve"> δικονομική </w:t>
      </w:r>
      <w:r w:rsidR="001A7BA2">
        <w:t xml:space="preserve">εξέλιξη της διαδικασίας, η οποία διενεργήθηκε με σεβασμό στην αρχή της </w:t>
      </w:r>
      <w:r w:rsidR="00622E4E">
        <w:t>κατ’ αντιμωλία συζήτησης</w:t>
      </w:r>
      <w:r w:rsidR="003E015C">
        <w:t>, ενώ</w:t>
      </w:r>
      <w:r w:rsidR="00CE353F">
        <w:t xml:space="preserve"> αφετέρου έκρινε ότι ο </w:t>
      </w:r>
      <w:r w:rsidR="00CE353F" w:rsidRPr="0025217F">
        <w:t xml:space="preserve">ισχυρισμός </w:t>
      </w:r>
      <w:r w:rsidR="0025217F" w:rsidRPr="0025217F">
        <w:t>της</w:t>
      </w:r>
      <w:r w:rsidR="0025217F">
        <w:rPr>
          <w:b/>
          <w:bCs/>
        </w:rPr>
        <w:t xml:space="preserve"> </w:t>
      </w:r>
      <w:r w:rsidR="003E015C">
        <w:rPr>
          <w:b/>
          <w:bCs/>
        </w:rPr>
        <w:t xml:space="preserve">προσφεύγουσας </w:t>
      </w:r>
      <w:r w:rsidR="00CE353F" w:rsidRPr="0025217F">
        <w:rPr>
          <w:b/>
          <w:bCs/>
        </w:rPr>
        <w:t>δεν ήταν</w:t>
      </w:r>
      <w:r w:rsidR="003E015C">
        <w:rPr>
          <w:b/>
          <w:bCs/>
        </w:rPr>
        <w:t xml:space="preserve"> </w:t>
      </w:r>
      <w:r w:rsidR="00185A20">
        <w:rPr>
          <w:b/>
          <w:bCs/>
        </w:rPr>
        <w:t xml:space="preserve">ούτε </w:t>
      </w:r>
      <w:proofErr w:type="spellStart"/>
      <w:r w:rsidR="00CE353F" w:rsidRPr="0025217F">
        <w:rPr>
          <w:b/>
          <w:bCs/>
        </w:rPr>
        <w:t>υποστηρίξιμος</w:t>
      </w:r>
      <w:proofErr w:type="spellEnd"/>
      <w:r w:rsidR="0025217F">
        <w:t xml:space="preserve">, </w:t>
      </w:r>
      <w:r w:rsidR="0092112C">
        <w:t>ώστε δεν</w:t>
      </w:r>
      <w:r w:rsidR="0025217F">
        <w:t xml:space="preserve"> </w:t>
      </w:r>
      <w:r w:rsidR="00801964">
        <w:t>παραβιάστηκε το δικαίωμα αποτελεσματικής προσφυγής της ενώπιον των εθνικών αρχών</w:t>
      </w:r>
      <w:r w:rsidR="00DD370F">
        <w:rPr>
          <w:rStyle w:val="a7"/>
        </w:rPr>
        <w:footnoteReference w:id="25"/>
      </w:r>
      <w:r w:rsidR="00801964">
        <w:t xml:space="preserve">. </w:t>
      </w:r>
    </w:p>
    <w:p w14:paraId="74BB7052" w14:textId="492D7051" w:rsidR="0026113A" w:rsidRDefault="0026113A" w:rsidP="00E72ECE">
      <w:pPr>
        <w:spacing w:before="120" w:after="120" w:line="360" w:lineRule="auto"/>
        <w:ind w:firstLine="720"/>
      </w:pPr>
      <w:r>
        <w:t xml:space="preserve"> </w:t>
      </w:r>
    </w:p>
    <w:p w14:paraId="1315643E" w14:textId="1A4C056E" w:rsidR="00E72ECE" w:rsidRPr="00E72ECE" w:rsidRDefault="00E72ECE" w:rsidP="00E72ECE">
      <w:pPr>
        <w:pStyle w:val="3"/>
        <w:spacing w:before="120" w:after="120" w:line="360" w:lineRule="auto"/>
        <w:rPr>
          <w:rFonts w:eastAsiaTheme="minorHAnsi"/>
        </w:rPr>
      </w:pPr>
      <w:bookmarkStart w:id="7" w:name="_Toc166060920"/>
      <w:r>
        <w:t>Μη προφανώς αβάσιμο του ισχυρισμού</w:t>
      </w:r>
      <w:r w:rsidRPr="00E72ECE">
        <w:t xml:space="preserve"> </w:t>
      </w:r>
      <w:r w:rsidRPr="00E72ECE">
        <w:rPr>
          <w:rFonts w:eastAsiaTheme="minorHAnsi"/>
        </w:rPr>
        <w:t>περί παραβίασης δικαιώματος κατοχυρωμένου στην ΕΣΔΑ</w:t>
      </w:r>
      <w:bookmarkEnd w:id="7"/>
    </w:p>
    <w:p w14:paraId="6495FAF2" w14:textId="439E4ADA" w:rsidR="001528FF" w:rsidRDefault="00E72ECE" w:rsidP="00E72ECE">
      <w:pPr>
        <w:spacing w:before="120" w:after="120" w:line="360" w:lineRule="auto"/>
      </w:pPr>
      <w:r>
        <w:tab/>
      </w:r>
      <w:r w:rsidR="00A51735">
        <w:t xml:space="preserve">Αντιστρόφως, στις περιπτώσεις που ο ισχυρισμός </w:t>
      </w:r>
      <w:r w:rsidR="001C3B76">
        <w:t xml:space="preserve">του </w:t>
      </w:r>
      <w:r w:rsidR="00370FED">
        <w:t>προσφεύγοντος</w:t>
      </w:r>
      <w:r w:rsidR="001C3B76">
        <w:t xml:space="preserve"> </w:t>
      </w:r>
      <w:r w:rsidR="00A51735">
        <w:t xml:space="preserve">για την παραβίαση ενός δικαιώματος της Σύμβασης </w:t>
      </w:r>
      <w:r w:rsidR="00A51735" w:rsidRPr="00185A20">
        <w:rPr>
          <w:b/>
          <w:bCs/>
        </w:rPr>
        <w:t>δεν είναι εκ πρώτης όψεως αβάσιμος</w:t>
      </w:r>
      <w:r w:rsidR="00A51735">
        <w:t xml:space="preserve">, το Δικαστήριο καταλήγει, συνήθως, </w:t>
      </w:r>
      <w:r w:rsidR="001C3B76">
        <w:t xml:space="preserve">στο συμπέρασμα ότι αυτός </w:t>
      </w:r>
      <w:r w:rsidR="001C3B76" w:rsidRPr="00185A20">
        <w:rPr>
          <w:b/>
          <w:bCs/>
        </w:rPr>
        <w:t xml:space="preserve">μπορεί να χαρακτηριστεί </w:t>
      </w:r>
      <w:proofErr w:type="spellStart"/>
      <w:r w:rsidR="001C3B76" w:rsidRPr="00185A20">
        <w:rPr>
          <w:b/>
          <w:bCs/>
        </w:rPr>
        <w:t>υπο</w:t>
      </w:r>
      <w:r w:rsidR="00A31253" w:rsidRPr="00185A20">
        <w:rPr>
          <w:b/>
          <w:bCs/>
        </w:rPr>
        <w:t>σ</w:t>
      </w:r>
      <w:r w:rsidR="001C3B76" w:rsidRPr="00185A20">
        <w:rPr>
          <w:b/>
          <w:bCs/>
        </w:rPr>
        <w:t>τηρίξιμος</w:t>
      </w:r>
      <w:proofErr w:type="spellEnd"/>
      <w:r w:rsidR="00A31253">
        <w:t xml:space="preserve"> για την εφαρμογή του </w:t>
      </w:r>
      <w:r w:rsidR="0037183F">
        <w:t xml:space="preserve">άρθρου </w:t>
      </w:r>
      <w:r w:rsidR="00A31253">
        <w:t>13</w:t>
      </w:r>
      <w:r w:rsidR="001C3B76">
        <w:t>.</w:t>
      </w:r>
    </w:p>
    <w:p w14:paraId="0AFE838B" w14:textId="2A8E6425" w:rsidR="000302F7" w:rsidRPr="00AB4881" w:rsidRDefault="00A31253" w:rsidP="00E72ECE">
      <w:pPr>
        <w:spacing w:before="120" w:after="120" w:line="360" w:lineRule="auto"/>
        <w:ind w:firstLine="720"/>
      </w:pPr>
      <w:r>
        <w:t xml:space="preserve">Τέτοιο παράδειγμα συνιστά η υπόθεση </w:t>
      </w:r>
      <w:r w:rsidRPr="004875A8">
        <w:rPr>
          <w:b/>
          <w:bCs/>
          <w:i/>
          <w:iCs/>
          <w:lang w:val="en-US"/>
        </w:rPr>
        <w:t>D</w:t>
      </w:r>
      <w:r w:rsidRPr="004875A8">
        <w:rPr>
          <w:b/>
          <w:bCs/>
          <w:i/>
          <w:iCs/>
        </w:rPr>
        <w:t>.</w:t>
      </w:r>
      <w:r w:rsidRPr="004875A8">
        <w:rPr>
          <w:b/>
          <w:bCs/>
          <w:i/>
          <w:iCs/>
          <w:lang w:val="en-US"/>
        </w:rPr>
        <w:t>M</w:t>
      </w:r>
      <w:r w:rsidRPr="004875A8">
        <w:rPr>
          <w:b/>
          <w:bCs/>
          <w:i/>
          <w:iCs/>
        </w:rPr>
        <w:t>. κατά Ελλάδος</w:t>
      </w:r>
      <w:r w:rsidR="00AB4881" w:rsidRPr="00AB4881">
        <w:t>, που αφορούσε</w:t>
      </w:r>
      <w:r w:rsidR="00AB4881">
        <w:rPr>
          <w:i/>
          <w:iCs/>
        </w:rPr>
        <w:t xml:space="preserve"> </w:t>
      </w:r>
      <w:r w:rsidR="007575EE">
        <w:t xml:space="preserve">στις συνθήκες κράτησης του προσφεύγοντος εντός </w:t>
      </w:r>
      <w:r w:rsidR="0037183F">
        <w:t xml:space="preserve">του </w:t>
      </w:r>
      <w:r w:rsidR="007575EE">
        <w:t xml:space="preserve">σωφρονιστικού καταστήματος </w:t>
      </w:r>
      <w:r w:rsidR="0037183F">
        <w:t>όπου κρατούνταν</w:t>
      </w:r>
      <w:r w:rsidR="004D6E4F">
        <w:t>. Εν προκειμένω,</w:t>
      </w:r>
      <w:r w:rsidR="00904D00">
        <w:t xml:space="preserve"> το Δικαστήριο </w:t>
      </w:r>
      <w:r w:rsidR="00904D00" w:rsidRPr="00185A20">
        <w:rPr>
          <w:b/>
          <w:bCs/>
        </w:rPr>
        <w:t>δεν διαπίστωσε παραβίαση του άρθρου 3</w:t>
      </w:r>
      <w:r w:rsidR="006F34F3">
        <w:t xml:space="preserve">, </w:t>
      </w:r>
      <w:r w:rsidR="006F34F3">
        <w:lastRenderedPageBreak/>
        <w:t>αλλά</w:t>
      </w:r>
      <w:r w:rsidR="00040C2A">
        <w:t xml:space="preserve"> αποφάνθηκε ότι ο ισχυρισμός του </w:t>
      </w:r>
      <w:r w:rsidR="005075D1">
        <w:t xml:space="preserve">προσφεύγοντος </w:t>
      </w:r>
      <w:r w:rsidR="00851773">
        <w:t xml:space="preserve">περί παραβίασης αυτού </w:t>
      </w:r>
      <w:r w:rsidR="00040C2A" w:rsidRPr="00185A20">
        <w:rPr>
          <w:b/>
          <w:bCs/>
        </w:rPr>
        <w:t xml:space="preserve">δεν ήταν εκ πρώτης όψεως μη </w:t>
      </w:r>
      <w:proofErr w:type="spellStart"/>
      <w:r w:rsidR="00040C2A" w:rsidRPr="00185A20">
        <w:rPr>
          <w:b/>
          <w:bCs/>
        </w:rPr>
        <w:t>υποστηρίξιμος</w:t>
      </w:r>
      <w:proofErr w:type="spellEnd"/>
      <w:r w:rsidR="00C438DE">
        <w:t>, επομένως συνέτρεχαν οι προϋποθέσεις για την παραβίαση του δικαιώματος αποτελεσματικής προσφυγής του</w:t>
      </w:r>
      <w:r w:rsidR="00185A20">
        <w:t xml:space="preserve"> ενώπιον των εθνικών αρχών</w:t>
      </w:r>
      <w:r w:rsidR="00391E6A">
        <w:t xml:space="preserve"> σχετικά με την παραβίαση του άρθρου </w:t>
      </w:r>
      <w:r w:rsidR="005075D1">
        <w:t>αυτού</w:t>
      </w:r>
      <w:r w:rsidR="00C700DA">
        <w:t xml:space="preserve">. Το Δικαστήριο, μάλιστα, κατέληξε στο </w:t>
      </w:r>
      <w:r w:rsidR="009F59E3">
        <w:t xml:space="preserve">εν λόγω </w:t>
      </w:r>
      <w:r w:rsidR="00C700DA">
        <w:t xml:space="preserve">συμπέρασμα </w:t>
      </w:r>
      <w:r w:rsidR="00185A20">
        <w:t>κατόπιν</w:t>
      </w:r>
      <w:r w:rsidR="00D51F06">
        <w:t xml:space="preserve"> εξέταση</w:t>
      </w:r>
      <w:r w:rsidR="00185A20">
        <w:t>ς του συνόλου</w:t>
      </w:r>
      <w:r w:rsidR="00D51F06">
        <w:t xml:space="preserve"> της υπόθεσης</w:t>
      </w:r>
      <w:r w:rsidR="009F59E3">
        <w:t xml:space="preserve"> </w:t>
      </w:r>
      <w:r w:rsidR="00185A20">
        <w:t xml:space="preserve">επί της ουσίας της, καθώς </w:t>
      </w:r>
      <w:r w:rsidR="009F59E3">
        <w:t xml:space="preserve">και του </w:t>
      </w:r>
      <w:r w:rsidR="00FA49CC">
        <w:t>βάσιμου</w:t>
      </w:r>
      <w:r w:rsidR="009F59E3">
        <w:t xml:space="preserve"> αυτής</w:t>
      </w:r>
      <w:r w:rsidR="00C04C91">
        <w:rPr>
          <w:rStyle w:val="a7"/>
        </w:rPr>
        <w:footnoteReference w:id="26"/>
      </w:r>
      <w:r w:rsidR="009F59E3">
        <w:t>.</w:t>
      </w:r>
    </w:p>
    <w:p w14:paraId="4D8A2EF2" w14:textId="77777777" w:rsidR="000302F7" w:rsidRDefault="000302F7" w:rsidP="00493E82">
      <w:pPr>
        <w:spacing w:before="120" w:after="120" w:line="360" w:lineRule="auto"/>
      </w:pPr>
    </w:p>
    <w:p w14:paraId="3D8D165B" w14:textId="7446A14D" w:rsidR="00493E82" w:rsidRPr="003F5B9F" w:rsidRDefault="00493E82" w:rsidP="00C15156">
      <w:pPr>
        <w:pStyle w:val="2"/>
      </w:pPr>
      <w:bookmarkStart w:id="8" w:name="_Toc166060921"/>
      <w:r w:rsidRPr="003F5B9F">
        <w:rPr>
          <w:lang w:val="en-US"/>
        </w:rPr>
        <w:t>II</w:t>
      </w:r>
      <w:r w:rsidRPr="003F5B9F">
        <w:t xml:space="preserve">. </w:t>
      </w:r>
      <w:r w:rsidR="003F5B9F" w:rsidRPr="003F5B9F">
        <w:t>Προσφυγή ενώπιον εθνικής αρχής</w:t>
      </w:r>
      <w:bookmarkEnd w:id="8"/>
    </w:p>
    <w:p w14:paraId="32451700" w14:textId="08B2B97F" w:rsidR="00580CFC" w:rsidRDefault="00580CFC" w:rsidP="00580CFC">
      <w:pPr>
        <w:spacing w:before="120" w:after="120" w:line="360" w:lineRule="auto"/>
        <w:ind w:firstLine="720"/>
      </w:pPr>
      <w:r>
        <w:t xml:space="preserve">Περαιτέρω, σε περίπτωση συνδρομής, κατά τα ανωτέρω, </w:t>
      </w:r>
      <w:proofErr w:type="spellStart"/>
      <w:r>
        <w:t>υποστηρίξιμο</w:t>
      </w:r>
      <w:r w:rsidR="00C94064">
        <w:t>υ</w:t>
      </w:r>
      <w:proofErr w:type="spellEnd"/>
      <w:r>
        <w:t xml:space="preserve"> ισχυρισμ</w:t>
      </w:r>
      <w:r w:rsidR="000F1E38">
        <w:t>ού</w:t>
      </w:r>
      <w:r>
        <w:t xml:space="preserve"> περί παραβίασης ενός δικαιώματος που κατοχυρώνεται στη Σύμβαση, τα κράτη μέρη </w:t>
      </w:r>
      <w:r w:rsidR="00C94064" w:rsidRPr="00C94064">
        <w:rPr>
          <w:b/>
          <w:bCs/>
        </w:rPr>
        <w:t>επιτάσσονται</w:t>
      </w:r>
      <w:r w:rsidR="00145B60">
        <w:t>, κατά το άρθρο 13,</w:t>
      </w:r>
      <w:r w:rsidR="00C94064" w:rsidRPr="00C94064">
        <w:rPr>
          <w:b/>
          <w:bCs/>
        </w:rPr>
        <w:t xml:space="preserve"> </w:t>
      </w:r>
      <w:r w:rsidRPr="00C94064">
        <w:rPr>
          <w:b/>
          <w:bCs/>
        </w:rPr>
        <w:t>να παρέχουν στα άτομα τη δυνατότητα να προσφύγουν προς τούτο ενώπιον εθνικής αρχής</w:t>
      </w:r>
      <w:r w:rsidR="00145B60">
        <w:t>,</w:t>
      </w:r>
      <w:r>
        <w:t xml:space="preserve"> αρμόδιας να </w:t>
      </w:r>
      <w:r w:rsidR="00E81B00">
        <w:t>αποφανθεί επί του ισχυρισμού</w:t>
      </w:r>
      <w:r>
        <w:t>, καθώς και</w:t>
      </w:r>
      <w:r w:rsidR="00E81B00">
        <w:t>, κατά περίπτωση,</w:t>
      </w:r>
      <w:r>
        <w:t xml:space="preserve"> να διατάξει την </w:t>
      </w:r>
      <w:r w:rsidR="00E81B00">
        <w:t>αποκατάσταση</w:t>
      </w:r>
      <w:r>
        <w:t xml:space="preserve"> της παραβίασης</w:t>
      </w:r>
      <w:r w:rsidR="00F41D36">
        <w:rPr>
          <w:rStyle w:val="a7"/>
        </w:rPr>
        <w:footnoteReference w:id="27"/>
      </w:r>
      <w:r>
        <w:t>.</w:t>
      </w:r>
    </w:p>
    <w:p w14:paraId="3D42E240" w14:textId="0483C65E" w:rsidR="00471FBA" w:rsidRDefault="00471FBA" w:rsidP="00580CFC">
      <w:pPr>
        <w:spacing w:before="120" w:after="120" w:line="360" w:lineRule="auto"/>
        <w:ind w:firstLine="720"/>
      </w:pPr>
      <w:r>
        <w:t xml:space="preserve">Η επιλογή της αρμόδιας εθνικής αρχής </w:t>
      </w:r>
      <w:r w:rsidR="006D62F4">
        <w:t>εν</w:t>
      </w:r>
      <w:r>
        <w:t xml:space="preserve">απόκειται στη </w:t>
      </w:r>
      <w:r w:rsidRPr="00471FBA">
        <w:rPr>
          <w:b/>
          <w:bCs/>
        </w:rPr>
        <w:t>διακριτική ευχέρεια των κρατών μερών</w:t>
      </w:r>
      <w:r>
        <w:t>. Πολλάκις δε έχει υποστηριχθεί από το ΕΔΔΑ ότι</w:t>
      </w:r>
      <w:r w:rsidR="00D841F7" w:rsidRPr="00D841F7">
        <w:t xml:space="preserve"> </w:t>
      </w:r>
      <w:r w:rsidR="00D841F7">
        <w:t>η αρμόδια αρχή</w:t>
      </w:r>
      <w:r>
        <w:t xml:space="preserve"> </w:t>
      </w:r>
      <w:r w:rsidRPr="00471FBA">
        <w:rPr>
          <w:b/>
          <w:bCs/>
        </w:rPr>
        <w:t>δεν είναι απαραίτητο να είναι δικαστική</w:t>
      </w:r>
      <w:r w:rsidRPr="00C06270">
        <w:rPr>
          <w:rStyle w:val="a7"/>
        </w:rPr>
        <w:footnoteReference w:id="28"/>
      </w:r>
      <w:r w:rsidR="00AB08CA">
        <w:t xml:space="preserve">, αλλά μπορεί να είναι και </w:t>
      </w:r>
      <w:r w:rsidR="00AB08CA" w:rsidRPr="00AB08CA">
        <w:rPr>
          <w:b/>
          <w:bCs/>
        </w:rPr>
        <w:t>διοικητική</w:t>
      </w:r>
      <w:r w:rsidR="00AB08CA">
        <w:t xml:space="preserve">, </w:t>
      </w:r>
      <w:r w:rsidR="00AB08CA" w:rsidRPr="00AB08CA">
        <w:rPr>
          <w:b/>
          <w:bCs/>
        </w:rPr>
        <w:t>πολιτική</w:t>
      </w:r>
      <w:r w:rsidR="00AB08CA">
        <w:t xml:space="preserve"> ή </w:t>
      </w:r>
      <w:r w:rsidR="00AB08CA" w:rsidRPr="00AB08CA">
        <w:rPr>
          <w:b/>
          <w:bCs/>
        </w:rPr>
        <w:t>οποιουδήποτε άλλου είδους</w:t>
      </w:r>
      <w:r w:rsidR="00AB08CA">
        <w:t xml:space="preserve"> αρχή.</w:t>
      </w:r>
    </w:p>
    <w:p w14:paraId="7F0E7A69" w14:textId="7DABDBC9" w:rsidR="00145B60" w:rsidRPr="00B045FD" w:rsidRDefault="003C5537" w:rsidP="00580CFC">
      <w:pPr>
        <w:spacing w:before="120" w:after="120" w:line="360" w:lineRule="auto"/>
        <w:ind w:firstLine="720"/>
      </w:pPr>
      <w:r>
        <w:t>Τούτο υποστηρίχθηκε, μεταξύ άλλων</w:t>
      </w:r>
      <w:r w:rsidR="00145B60">
        <w:t xml:space="preserve">, στην υπόθεση </w:t>
      </w:r>
      <w:r w:rsidR="00B045FD" w:rsidRPr="00B045FD">
        <w:rPr>
          <w:b/>
          <w:bCs/>
          <w:i/>
          <w:iCs/>
          <w:lang w:val="en-US"/>
        </w:rPr>
        <w:t>M</w:t>
      </w:r>
      <w:r w:rsidR="00B045FD" w:rsidRPr="00B045FD">
        <w:rPr>
          <w:b/>
          <w:bCs/>
          <w:i/>
          <w:iCs/>
        </w:rPr>
        <w:t>.</w:t>
      </w:r>
      <w:r w:rsidR="00B045FD" w:rsidRPr="00B045FD">
        <w:rPr>
          <w:b/>
          <w:bCs/>
          <w:i/>
          <w:iCs/>
          <w:lang w:val="en-US"/>
        </w:rPr>
        <w:t>S</w:t>
      </w:r>
      <w:r w:rsidR="00B045FD" w:rsidRPr="00B045FD">
        <w:rPr>
          <w:b/>
          <w:bCs/>
          <w:i/>
          <w:iCs/>
        </w:rPr>
        <w:t>.</w:t>
      </w:r>
      <w:r w:rsidR="00B045FD" w:rsidRPr="00B045FD">
        <w:rPr>
          <w:b/>
          <w:bCs/>
          <w:i/>
          <w:iCs/>
          <w:lang w:val="en-US"/>
        </w:rPr>
        <w:t>S</w:t>
      </w:r>
      <w:r w:rsidR="00B045FD" w:rsidRPr="00B045FD">
        <w:rPr>
          <w:b/>
          <w:bCs/>
          <w:i/>
          <w:iCs/>
        </w:rPr>
        <w:t>. κατά Βελγίου και Ελλάδας</w:t>
      </w:r>
      <w:r w:rsidR="00B045FD">
        <w:t>, η οποία αφορούσε στις ελλείψεις της διαδικασίας χορήγησης ασύλου στην Ελλάδα και στην έλλειψη πραγματικής προσφυγής κατά της απόφασης απέλασης στο Βέλγιο</w:t>
      </w:r>
      <w:r>
        <w:t>. Τ</w:t>
      </w:r>
      <w:r w:rsidR="00B045FD">
        <w:t>ο Δικαστήριο</w:t>
      </w:r>
      <w:r w:rsidR="003C6DAF">
        <w:t xml:space="preserve">, παράλληλα, </w:t>
      </w:r>
      <w:proofErr w:type="spellStart"/>
      <w:r w:rsidR="00B045FD">
        <w:t>απεφάνθη</w:t>
      </w:r>
      <w:proofErr w:type="spellEnd"/>
      <w:r>
        <w:t xml:space="preserve"> </w:t>
      </w:r>
      <w:r w:rsidR="00B045FD">
        <w:t xml:space="preserve">ότι </w:t>
      </w:r>
      <w:r>
        <w:t>στην περίπτωση που η</w:t>
      </w:r>
      <w:r w:rsidR="00B045FD">
        <w:t xml:space="preserve"> </w:t>
      </w:r>
      <w:r>
        <w:t xml:space="preserve">αρμόδια </w:t>
      </w:r>
      <w:r w:rsidR="00B045FD">
        <w:t>εθνική αρχή</w:t>
      </w:r>
      <w:r>
        <w:t xml:space="preserve"> </w:t>
      </w:r>
      <w:r w:rsidR="00C56EC4" w:rsidRPr="003C5537">
        <w:rPr>
          <w:b/>
          <w:bCs/>
        </w:rPr>
        <w:t>δεν είναι δικαστική</w:t>
      </w:r>
      <w:r w:rsidR="00C56EC4">
        <w:t>, πρ</w:t>
      </w:r>
      <w:r>
        <w:t xml:space="preserve">οκειμένου να κριθεί η αποτελεσματικότητά της, πρέπει, επιπλέον, </w:t>
      </w:r>
      <w:r w:rsidR="00C56EC4">
        <w:t xml:space="preserve">να λαμβάνονται υπόψη η έκταση των εξουσιών </w:t>
      </w:r>
      <w:r>
        <w:t>αυτής, καθώς</w:t>
      </w:r>
      <w:r w:rsidR="00C56EC4">
        <w:t xml:space="preserve"> και </w:t>
      </w:r>
      <w:r>
        <w:t>το σύνολο των εγγυήσεων</w:t>
      </w:r>
      <w:r w:rsidR="00C56EC4">
        <w:t xml:space="preserve"> που την περιβάλλουν</w:t>
      </w:r>
      <w:r w:rsidR="0090152D">
        <w:rPr>
          <w:rStyle w:val="a7"/>
        </w:rPr>
        <w:footnoteReference w:id="29"/>
      </w:r>
      <w:r w:rsidR="00C56EC4">
        <w:t xml:space="preserve">. </w:t>
      </w:r>
    </w:p>
    <w:p w14:paraId="5BF48BC9" w14:textId="79436FA0" w:rsidR="00340FF1" w:rsidRDefault="00340FF1" w:rsidP="00580CFC">
      <w:pPr>
        <w:spacing w:before="120" w:after="120" w:line="360" w:lineRule="auto"/>
        <w:ind w:firstLine="720"/>
      </w:pPr>
      <w:r>
        <w:t xml:space="preserve">Επιπλέον, </w:t>
      </w:r>
      <w:r w:rsidR="003D771C">
        <w:t xml:space="preserve">στην υπόθεση </w:t>
      </w:r>
      <w:r w:rsidR="003D771C" w:rsidRPr="00001A6C">
        <w:rPr>
          <w:b/>
          <w:bCs/>
          <w:i/>
          <w:iCs/>
          <w:lang w:val="en-US"/>
        </w:rPr>
        <w:t>Boyle</w:t>
      </w:r>
      <w:r w:rsidR="003D771C" w:rsidRPr="00001A6C">
        <w:rPr>
          <w:b/>
          <w:bCs/>
          <w:i/>
          <w:iCs/>
        </w:rPr>
        <w:t xml:space="preserve"> </w:t>
      </w:r>
      <w:r w:rsidR="003D771C" w:rsidRPr="00001A6C">
        <w:rPr>
          <w:b/>
          <w:bCs/>
          <w:i/>
          <w:iCs/>
          <w:lang w:val="en-US"/>
        </w:rPr>
        <w:t>and</w:t>
      </w:r>
      <w:r w:rsidR="003D771C" w:rsidRPr="00001A6C">
        <w:rPr>
          <w:b/>
          <w:bCs/>
          <w:i/>
          <w:iCs/>
        </w:rPr>
        <w:t xml:space="preserve"> </w:t>
      </w:r>
      <w:r w:rsidR="003D771C" w:rsidRPr="00001A6C">
        <w:rPr>
          <w:b/>
          <w:bCs/>
          <w:i/>
          <w:iCs/>
          <w:lang w:val="en-US"/>
        </w:rPr>
        <w:t>Rice</w:t>
      </w:r>
      <w:r w:rsidR="003D771C" w:rsidRPr="00001A6C">
        <w:rPr>
          <w:b/>
          <w:bCs/>
          <w:i/>
          <w:iCs/>
        </w:rPr>
        <w:t xml:space="preserve"> κατά Ηνωμένου Βασιλείου</w:t>
      </w:r>
      <w:r w:rsidR="003A413D">
        <w:rPr>
          <w:i/>
          <w:iCs/>
        </w:rPr>
        <w:t>,</w:t>
      </w:r>
      <w:r w:rsidR="00704BD8">
        <w:rPr>
          <w:i/>
          <w:iCs/>
        </w:rPr>
        <w:t xml:space="preserve"> </w:t>
      </w:r>
      <w:r w:rsidR="009615B2">
        <w:t>η οποία αφορούσε σ</w:t>
      </w:r>
      <w:r w:rsidR="00675404">
        <w:t xml:space="preserve">ε ισχυρισμό </w:t>
      </w:r>
      <w:r w:rsidR="003C6DAF">
        <w:t xml:space="preserve">των προσφευγόντων, κρατουμένων, </w:t>
      </w:r>
      <w:r w:rsidR="00675404">
        <w:t xml:space="preserve">περί </w:t>
      </w:r>
      <w:r w:rsidR="009615B2">
        <w:t>παραβίαση</w:t>
      </w:r>
      <w:r w:rsidR="00675404">
        <w:t>ς</w:t>
      </w:r>
      <w:r w:rsidR="009615B2">
        <w:t xml:space="preserve"> του δικαιώματος σεβασμού της ιδιωτικής και οικογενειακής ζωής </w:t>
      </w:r>
      <w:r w:rsidR="003C6DAF">
        <w:t>τους</w:t>
      </w:r>
      <w:r w:rsidR="009615B2">
        <w:t xml:space="preserve">, κατά το άρθρο 8 της </w:t>
      </w:r>
      <w:r w:rsidR="009615B2">
        <w:lastRenderedPageBreak/>
        <w:t>Σύμβασης, λόγω της παρεμπόδισης, από τον Διευθυντή του σωφρονιστικού καταστήματος, της αλληλογραφίας</w:t>
      </w:r>
      <w:r w:rsidR="00305438">
        <w:t xml:space="preserve"> τους</w:t>
      </w:r>
      <w:r w:rsidR="009615B2">
        <w:t xml:space="preserve"> με πρόσωπα εκτός αυτού, το Δικαστήριο έκρινε ότι η δυνατότητα υποβολής αναφοράς προς τούτο ενώπιον του </w:t>
      </w:r>
      <w:r w:rsidR="009615B2" w:rsidRPr="009615B2">
        <w:rPr>
          <w:b/>
          <w:bCs/>
        </w:rPr>
        <w:t>Υπουργού Εσωτερικών</w:t>
      </w:r>
      <w:r w:rsidR="009615B2">
        <w:t xml:space="preserve">, πληρούσε </w:t>
      </w:r>
      <w:r w:rsidR="005A7311">
        <w:t>τον όρο</w:t>
      </w:r>
      <w:r w:rsidR="009615B2">
        <w:t xml:space="preserve"> της «εθνικής αρχής» που απαιτεί το άρθρο 13</w:t>
      </w:r>
      <w:r w:rsidR="00030506">
        <w:rPr>
          <w:rStyle w:val="a7"/>
        </w:rPr>
        <w:footnoteReference w:id="30"/>
      </w:r>
      <w:r w:rsidR="009615B2">
        <w:t xml:space="preserve">. </w:t>
      </w:r>
    </w:p>
    <w:p w14:paraId="0E5F3A15" w14:textId="7FE5B318" w:rsidR="005227D4" w:rsidRDefault="00E26269" w:rsidP="00DD2ED6">
      <w:pPr>
        <w:spacing w:before="120" w:after="120" w:line="360" w:lineRule="auto"/>
        <w:ind w:firstLine="720"/>
      </w:pPr>
      <w:r>
        <w:t>Στη</w:t>
      </w:r>
      <w:r w:rsidR="00783A92">
        <w:t>ν</w:t>
      </w:r>
      <w:r w:rsidR="008E5AC2">
        <w:t xml:space="preserve"> </w:t>
      </w:r>
      <w:r>
        <w:t xml:space="preserve">υπόθεση </w:t>
      </w:r>
      <w:r w:rsidRPr="00E26269">
        <w:rPr>
          <w:b/>
          <w:bCs/>
          <w:i/>
          <w:iCs/>
          <w:lang w:val="en-US"/>
        </w:rPr>
        <w:t>Klass</w:t>
      </w:r>
      <w:r w:rsidRPr="00E26269">
        <w:rPr>
          <w:b/>
          <w:bCs/>
          <w:i/>
          <w:iCs/>
        </w:rPr>
        <w:t xml:space="preserve"> και άλλοι κατά Γερμανίας</w:t>
      </w:r>
      <w:r w:rsidR="00FE480F">
        <w:t xml:space="preserve">, που αφορούσε σε ισχυρισμό των προσφευγόντων ότι </w:t>
      </w:r>
      <w:r w:rsidR="002F2569">
        <w:t xml:space="preserve">παρανόμως, ήτοι χωρίς να πληρούνται οι προϋποθέσεις του γερμανικού νόμου και χωρίς να έχουν ενημερωθεί προς τούτο, </w:t>
      </w:r>
      <w:r w:rsidR="006459A7">
        <w:t xml:space="preserve">οι τηλεφωνικές τους επικοινωνίες </w:t>
      </w:r>
      <w:r w:rsidR="002F2569">
        <w:t xml:space="preserve">είχαν τεθεί υπό επιτήρηση από το εναγόμενο κράτος, </w:t>
      </w:r>
      <w:r w:rsidR="008528AB">
        <w:t xml:space="preserve">το Δικαστήριο </w:t>
      </w:r>
      <w:proofErr w:type="spellStart"/>
      <w:r w:rsidR="00C65CC1">
        <w:t>απεφάνθη</w:t>
      </w:r>
      <w:proofErr w:type="spellEnd"/>
      <w:r w:rsidR="008528AB">
        <w:t xml:space="preserve"> ότι η προσφυγή τους ενώπιον της</w:t>
      </w:r>
      <w:r w:rsidR="00D73206">
        <w:t xml:space="preserve"> </w:t>
      </w:r>
      <w:r w:rsidR="005F5A85" w:rsidRPr="00D73206">
        <w:rPr>
          <w:b/>
          <w:bCs/>
        </w:rPr>
        <w:t>κοινοβουλευτικής</w:t>
      </w:r>
      <w:r w:rsidR="008528AB">
        <w:t xml:space="preserve"> </w:t>
      </w:r>
      <w:r w:rsidR="008528AB" w:rsidRPr="006459A7">
        <w:rPr>
          <w:b/>
          <w:bCs/>
        </w:rPr>
        <w:t xml:space="preserve">Επιτροπής </w:t>
      </w:r>
      <w:r w:rsidR="00624186" w:rsidRPr="006459A7">
        <w:rPr>
          <w:b/>
          <w:bCs/>
          <w:lang w:val="en-US"/>
        </w:rPr>
        <w:t>G</w:t>
      </w:r>
      <w:r w:rsidR="00624186" w:rsidRPr="006459A7">
        <w:rPr>
          <w:b/>
          <w:bCs/>
        </w:rPr>
        <w:t>10</w:t>
      </w:r>
      <w:r w:rsidR="00624186" w:rsidRPr="00624186">
        <w:t xml:space="preserve"> </w:t>
      </w:r>
      <w:r w:rsidR="00624186">
        <w:t xml:space="preserve">που είχε οριστεί </w:t>
      </w:r>
      <w:r w:rsidR="00597D66">
        <w:t>υπεύθυνη</w:t>
      </w:r>
      <w:r w:rsidR="00624186">
        <w:t xml:space="preserve"> για τα ζητήματα επιτήρησης / παρακολούθησης</w:t>
      </w:r>
      <w:r w:rsidR="003465E9">
        <w:t xml:space="preserve"> </w:t>
      </w:r>
      <w:r w:rsidR="00C539CA">
        <w:t>εντός του γερμανικού κράτους</w:t>
      </w:r>
      <w:r w:rsidR="00EF228B">
        <w:t xml:space="preserve">, </w:t>
      </w:r>
      <w:r w:rsidR="008E5AC2">
        <w:t>πληρούσε, επίσης, τον όρο της «εθνικής αρχής» που απαιτεί το άρθρο 13</w:t>
      </w:r>
      <w:r w:rsidR="008E5AC2">
        <w:rPr>
          <w:rStyle w:val="a7"/>
        </w:rPr>
        <w:footnoteReference w:id="31"/>
      </w:r>
      <w:r w:rsidR="008E5AC2">
        <w:t xml:space="preserve">. </w:t>
      </w:r>
    </w:p>
    <w:p w14:paraId="2A14998E" w14:textId="7DF9EB8C" w:rsidR="00783A92" w:rsidRPr="00AA5BA2" w:rsidRDefault="00783A92" w:rsidP="00DD2ED6">
      <w:pPr>
        <w:spacing w:before="120" w:after="120" w:line="360" w:lineRule="auto"/>
        <w:ind w:firstLine="720"/>
      </w:pPr>
      <w:r>
        <w:t>Στη</w:t>
      </w:r>
      <w:r w:rsidR="003C6DAF">
        <w:t xml:space="preserve">ν </w:t>
      </w:r>
      <w:r>
        <w:t xml:space="preserve">υπόθεση </w:t>
      </w:r>
      <w:r w:rsidRPr="00783A92">
        <w:rPr>
          <w:b/>
          <w:bCs/>
          <w:i/>
          <w:iCs/>
          <w:lang w:val="en-US"/>
        </w:rPr>
        <w:t>Leander</w:t>
      </w:r>
      <w:r w:rsidRPr="00783A92">
        <w:rPr>
          <w:b/>
          <w:bCs/>
          <w:i/>
          <w:iCs/>
        </w:rPr>
        <w:t xml:space="preserve"> κατά Σουηδίας</w:t>
      </w:r>
      <w:r>
        <w:rPr>
          <w:i/>
          <w:iCs/>
        </w:rPr>
        <w:t xml:space="preserve">, </w:t>
      </w:r>
      <w:r>
        <w:t>η οποία αφορούσε σε εργαζόμενο στο Ναυτικό Μουσείο που απομακρύνθηκε από τη</w:t>
      </w:r>
      <w:r w:rsidR="009A485E">
        <w:t xml:space="preserve"> θέση </w:t>
      </w:r>
      <w:r>
        <w:t>του, κατόπιν εσωτερικού ελέγχου που έλαβε χώρα σε βάρος του</w:t>
      </w:r>
      <w:r w:rsidR="00E75DAF">
        <w:t xml:space="preserve">, </w:t>
      </w:r>
      <w:r>
        <w:t>το πόρισμα του οποίου οι αρμόδιες αρχές αρνούνταν να του γνωστοποιήσουν</w:t>
      </w:r>
      <w:r w:rsidR="005D2538">
        <w:t>, τ</w:t>
      </w:r>
      <w:r>
        <w:t>ο Δικαστήριο έκρινε</w:t>
      </w:r>
      <w:r w:rsidR="005D2538">
        <w:t xml:space="preserve"> </w:t>
      </w:r>
      <w:r>
        <w:t xml:space="preserve">ότι </w:t>
      </w:r>
      <w:r w:rsidR="00E75DAF">
        <w:t xml:space="preserve">η προσφυγή ενώπιον του </w:t>
      </w:r>
      <w:r w:rsidR="00E75DAF">
        <w:rPr>
          <w:lang w:val="en-US"/>
        </w:rPr>
        <w:t>Chancellor</w:t>
      </w:r>
      <w:r w:rsidR="00E75DAF" w:rsidRPr="00E75DAF">
        <w:t xml:space="preserve"> </w:t>
      </w:r>
      <w:r w:rsidR="00E75DAF">
        <w:rPr>
          <w:lang w:val="en-US"/>
        </w:rPr>
        <w:t>of</w:t>
      </w:r>
      <w:r w:rsidR="00E75DAF" w:rsidRPr="00E75DAF">
        <w:t xml:space="preserve"> </w:t>
      </w:r>
      <w:r w:rsidR="00E75DAF">
        <w:rPr>
          <w:lang w:val="en-US"/>
        </w:rPr>
        <w:t>Justice</w:t>
      </w:r>
      <w:r w:rsidR="00E75DAF">
        <w:rPr>
          <w:rStyle w:val="a7"/>
          <w:lang w:val="en-US"/>
        </w:rPr>
        <w:footnoteReference w:id="32"/>
      </w:r>
      <w:r w:rsidR="00E75DAF">
        <w:t xml:space="preserve"> και του </w:t>
      </w:r>
      <w:r w:rsidR="00E75DAF" w:rsidRPr="00B56BC7">
        <w:rPr>
          <w:b/>
          <w:bCs/>
          <w:lang w:val="en-US"/>
        </w:rPr>
        <w:t>Parliamentary</w:t>
      </w:r>
      <w:r w:rsidR="00E75DAF" w:rsidRPr="00B56BC7">
        <w:rPr>
          <w:b/>
          <w:bCs/>
        </w:rPr>
        <w:t xml:space="preserve"> </w:t>
      </w:r>
      <w:r w:rsidR="00E75DAF" w:rsidRPr="00B56BC7">
        <w:rPr>
          <w:b/>
          <w:bCs/>
          <w:lang w:val="en-US"/>
        </w:rPr>
        <w:t>Ombudsman</w:t>
      </w:r>
      <w:r w:rsidR="00E75DAF">
        <w:rPr>
          <w:rStyle w:val="a7"/>
          <w:lang w:val="en-US"/>
        </w:rPr>
        <w:footnoteReference w:id="33"/>
      </w:r>
      <w:r w:rsidR="00AA5BA2">
        <w:t xml:space="preserve"> καλύπτ</w:t>
      </w:r>
      <w:r w:rsidR="00451AC7">
        <w:t>ουν</w:t>
      </w:r>
      <w:r w:rsidR="00AA5BA2">
        <w:t xml:space="preserve"> τον όρο της «εθνικής αρχής»</w:t>
      </w:r>
      <w:r w:rsidR="00954FE5">
        <w:t xml:space="preserve"> </w:t>
      </w:r>
      <w:r w:rsidR="00D74007">
        <w:t>που απαιτεί το άρθρο 13</w:t>
      </w:r>
      <w:r w:rsidR="005D2538">
        <w:t>. Τούτο διότι</w:t>
      </w:r>
      <w:r w:rsidR="0091150F">
        <w:t xml:space="preserve">, εν προκειμένω, </w:t>
      </w:r>
      <w:r w:rsidR="003647BA">
        <w:t xml:space="preserve">οι </w:t>
      </w:r>
      <w:r w:rsidR="00451AC7">
        <w:t xml:space="preserve">αρχές αυτές </w:t>
      </w:r>
      <w:r w:rsidR="0091150F">
        <w:t>είχαν</w:t>
      </w:r>
      <w:r w:rsidR="00451AC7">
        <w:t xml:space="preserve"> πλήρη πρόσβαση στις προσωπικές πληροφορίες </w:t>
      </w:r>
      <w:r w:rsidR="005D2538">
        <w:t>του προσφεύγοντος, καθώς και πλήρη ευχέρεια εξέτασης των ισχυρισμών του</w:t>
      </w:r>
      <w:r w:rsidR="0041640D">
        <w:t xml:space="preserve"> περί άρνησης των αρχών να του γνωστοποιήσουν το περιεχόμενο των πληροφοριών που ελήφθησαν υπόψη για την απομάκρυνσή του</w:t>
      </w:r>
      <w:r w:rsidR="005D2538">
        <w:rPr>
          <w:rStyle w:val="a7"/>
        </w:rPr>
        <w:footnoteReference w:id="34"/>
      </w:r>
      <w:r w:rsidR="00D74007">
        <w:t>.</w:t>
      </w:r>
    </w:p>
    <w:p w14:paraId="1BA383A7" w14:textId="59C58381" w:rsidR="000F1E38" w:rsidRPr="00580CFC" w:rsidRDefault="00331F4D" w:rsidP="0097279C">
      <w:pPr>
        <w:spacing w:before="120" w:after="120" w:line="360" w:lineRule="auto"/>
        <w:ind w:firstLine="720"/>
      </w:pPr>
      <w:r>
        <w:t xml:space="preserve">Εντούτοις, </w:t>
      </w:r>
      <w:r w:rsidR="008510D1">
        <w:t>υποστηρίζεται από το Δικαστήριο</w:t>
      </w:r>
      <w:r w:rsidR="00471FBA">
        <w:t xml:space="preserve"> </w:t>
      </w:r>
      <w:r w:rsidR="008510D1">
        <w:t>ότι</w:t>
      </w:r>
      <w:r w:rsidR="00294043">
        <w:t xml:space="preserve">, σε αυτές τις περιπτώσεις, οι </w:t>
      </w:r>
      <w:r w:rsidR="00294043" w:rsidRPr="001214C5">
        <w:rPr>
          <w:b/>
          <w:bCs/>
        </w:rPr>
        <w:t>εξουσίες</w:t>
      </w:r>
      <w:r w:rsidR="00294043">
        <w:t xml:space="preserve"> που διαθέτει</w:t>
      </w:r>
      <w:r w:rsidR="008510D1">
        <w:t xml:space="preserve"> η αρμόδια</w:t>
      </w:r>
      <w:r w:rsidR="00294043">
        <w:t xml:space="preserve"> [μη δικαστική]</w:t>
      </w:r>
      <w:r w:rsidR="008510D1">
        <w:t xml:space="preserve"> εθνική αρχή</w:t>
      </w:r>
      <w:r w:rsidR="00294043">
        <w:t xml:space="preserve">, καθώς και οι </w:t>
      </w:r>
      <w:r w:rsidR="00294043" w:rsidRPr="001214C5">
        <w:rPr>
          <w:b/>
          <w:bCs/>
        </w:rPr>
        <w:t>διαδικαστικές εγγυήσεις</w:t>
      </w:r>
      <w:r w:rsidR="00294043">
        <w:t xml:space="preserve"> που διέπουν τη λειτουργία της είναι κρίσιμες για την κατάφαση της αποτελεσματικότητας ή μη της προσφυγής </w:t>
      </w:r>
      <w:proofErr w:type="spellStart"/>
      <w:r w:rsidR="00294043">
        <w:t>ενώπι</w:t>
      </w:r>
      <w:r w:rsidR="00FC2A58">
        <w:t>όν</w:t>
      </w:r>
      <w:proofErr w:type="spellEnd"/>
      <w:r w:rsidR="00FC2A58">
        <w:t xml:space="preserve"> </w:t>
      </w:r>
      <w:r w:rsidR="00D66D7C">
        <w:t>της</w:t>
      </w:r>
      <w:r w:rsidR="00F634B5">
        <w:t>.</w:t>
      </w:r>
      <w:r w:rsidR="00294043">
        <w:t xml:space="preserve"> </w:t>
      </w:r>
      <w:r w:rsidR="0097279C">
        <w:t xml:space="preserve">Έτι περαιτέρω, </w:t>
      </w:r>
      <w:r w:rsidR="0084429A">
        <w:t xml:space="preserve">κατά την πάγια νομολογία του Δικαστηρίου, </w:t>
      </w:r>
      <w:r w:rsidR="0097279C">
        <w:t xml:space="preserve">η αρμόδια αρχή πρέπει </w:t>
      </w:r>
      <w:r w:rsidR="008510D1">
        <w:t xml:space="preserve">να είναι </w:t>
      </w:r>
      <w:r w:rsidR="008510D1" w:rsidRPr="0097279C">
        <w:rPr>
          <w:b/>
          <w:bCs/>
        </w:rPr>
        <w:t>ανεξάρτητη</w:t>
      </w:r>
      <w:r w:rsidR="008510D1">
        <w:t xml:space="preserve">, να μπορεί να αποφασίσει </w:t>
      </w:r>
      <w:r w:rsidR="008510D1" w:rsidRPr="0097279C">
        <w:rPr>
          <w:b/>
          <w:bCs/>
        </w:rPr>
        <w:t>επί της ουσίας</w:t>
      </w:r>
      <w:r w:rsidR="008510D1">
        <w:t xml:space="preserve"> της υπόθεσης και να προχωρήσει σε </w:t>
      </w:r>
      <w:r w:rsidR="008510D1" w:rsidRPr="0097279C">
        <w:rPr>
          <w:b/>
          <w:bCs/>
        </w:rPr>
        <w:t>επαρκή αποκατάσταση</w:t>
      </w:r>
      <w:r w:rsidR="008510D1">
        <w:t xml:space="preserve"> της παραβίασης</w:t>
      </w:r>
      <w:r w:rsidR="0097279C">
        <w:t xml:space="preserve"> </w:t>
      </w:r>
      <w:r w:rsidR="008510D1">
        <w:t xml:space="preserve">με την πρέπουσα </w:t>
      </w:r>
      <w:r w:rsidR="008510D1" w:rsidRPr="0097279C">
        <w:rPr>
          <w:b/>
          <w:bCs/>
        </w:rPr>
        <w:t>ταχύτητα</w:t>
      </w:r>
      <w:r w:rsidR="00F634B5">
        <w:rPr>
          <w:rStyle w:val="a7"/>
        </w:rPr>
        <w:footnoteReference w:id="35"/>
      </w:r>
      <w:r w:rsidR="00F634B5">
        <w:t>.</w:t>
      </w:r>
    </w:p>
    <w:p w14:paraId="3C9D3D70" w14:textId="73513773" w:rsidR="00B53A06" w:rsidRDefault="006F7B0F" w:rsidP="005075D1">
      <w:pPr>
        <w:spacing w:before="120" w:after="120" w:line="360" w:lineRule="auto"/>
      </w:pPr>
      <w:r>
        <w:lastRenderedPageBreak/>
        <w:tab/>
      </w:r>
      <w:r w:rsidR="005C5A39">
        <w:t xml:space="preserve">Ενδεικτικώς, έχει κριθεί ότι ανεξάρτητη δεν είναι η αρχή που εξέδωσε την απόφαση ή την οδηγία στην οποία εδράζεται η </w:t>
      </w:r>
      <w:r w:rsidR="00BA5AB5">
        <w:t xml:space="preserve">φερόμενη </w:t>
      </w:r>
      <w:r w:rsidR="005C5A39">
        <w:t xml:space="preserve">παραβίαση του δικαιώματος του προσφεύγοντος. Χαρακτηριστικά, </w:t>
      </w:r>
      <w:r>
        <w:t xml:space="preserve">στην υπόθεση </w:t>
      </w:r>
      <w:r w:rsidRPr="006F7B0F">
        <w:rPr>
          <w:b/>
          <w:bCs/>
          <w:i/>
          <w:iCs/>
          <w:lang w:val="en-US"/>
        </w:rPr>
        <w:t>Silver</w:t>
      </w:r>
      <w:r w:rsidRPr="006F7B0F">
        <w:rPr>
          <w:b/>
          <w:bCs/>
          <w:i/>
          <w:iCs/>
        </w:rPr>
        <w:t xml:space="preserve"> και άλλοι κατά Ηνωμένου Βασιλείου</w:t>
      </w:r>
      <w:r w:rsidRPr="006F7B0F">
        <w:t xml:space="preserve">, </w:t>
      </w:r>
      <w:r w:rsidR="00BA5AB5">
        <w:t>η οποία</w:t>
      </w:r>
      <w:r w:rsidR="005C5A39">
        <w:t xml:space="preserve"> αφορούσε στην παρεμπόδιση, από τον Διευθυντή σωφρονιστικού καταστήματος, της αλληλογραφίας κρατουμένου με πρόσωπα εκτός αυτού</w:t>
      </w:r>
      <w:r w:rsidR="00BA5AB5">
        <w:t xml:space="preserve">, κρίθηκε ότι η προσφυγή προς τούτο ενώπιον του </w:t>
      </w:r>
      <w:r w:rsidR="00BA5AB5" w:rsidRPr="00BA5AB5">
        <w:rPr>
          <w:b/>
          <w:bCs/>
        </w:rPr>
        <w:t>Υπουργού Εσωτερικών</w:t>
      </w:r>
      <w:r w:rsidR="00BA5AB5">
        <w:t xml:space="preserve"> δεν ήταν αποτελεσματική, διότι εκείνος ήταν που εξέδωσε τις οδηγίες σχετικά με τον έλεγχο της αλληλογραφίας από τους Διευθυντές των </w:t>
      </w:r>
      <w:r w:rsidR="00997E7A">
        <w:t xml:space="preserve">σωφρονιστικών </w:t>
      </w:r>
      <w:r w:rsidR="00BA5AB5">
        <w:t xml:space="preserve">καταστημάτων, ώστε δεν θα μπορούσε να </w:t>
      </w:r>
      <w:r w:rsidR="00997E7A">
        <w:t xml:space="preserve">την </w:t>
      </w:r>
      <w:r w:rsidR="00BA5AB5">
        <w:t>εξετάσει αμερόληπτα</w:t>
      </w:r>
      <w:r w:rsidR="004419DC">
        <w:rPr>
          <w:rStyle w:val="a7"/>
        </w:rPr>
        <w:footnoteReference w:id="36"/>
      </w:r>
      <w:r w:rsidR="00BA5AB5">
        <w:t>.</w:t>
      </w:r>
    </w:p>
    <w:p w14:paraId="0DC91C02" w14:textId="0E40E494" w:rsidR="00B56BC7" w:rsidRDefault="00B56BC7" w:rsidP="005075D1">
      <w:pPr>
        <w:spacing w:before="120" w:after="120" w:line="360" w:lineRule="auto"/>
      </w:pPr>
      <w:r>
        <w:tab/>
      </w:r>
      <w:r w:rsidR="0078309B">
        <w:t xml:space="preserve">Σημειώνεται </w:t>
      </w:r>
      <w:r w:rsidR="006864A0">
        <w:t xml:space="preserve">δε </w:t>
      </w:r>
      <w:r w:rsidR="0078309B">
        <w:t>ότι</w:t>
      </w:r>
      <w:r>
        <w:t xml:space="preserve">, </w:t>
      </w:r>
      <w:r w:rsidR="0078309B">
        <w:t xml:space="preserve">σε ορισμένες περιπτώσεις, </w:t>
      </w:r>
      <w:r>
        <w:t xml:space="preserve">η </w:t>
      </w:r>
      <w:r w:rsidRPr="0078309B">
        <w:rPr>
          <w:b/>
          <w:bCs/>
        </w:rPr>
        <w:t>φύση του παραβιαζόμενου δικαιώματος</w:t>
      </w:r>
      <w:r>
        <w:t xml:space="preserve"> ενδέχεται</w:t>
      </w:r>
      <w:r w:rsidR="003F7A86">
        <w:t xml:space="preserve"> </w:t>
      </w:r>
      <w:r>
        <w:t xml:space="preserve">να </w:t>
      </w:r>
      <w:r w:rsidRPr="0078309B">
        <w:rPr>
          <w:b/>
          <w:bCs/>
        </w:rPr>
        <w:t>επιβάλλει</w:t>
      </w:r>
      <w:r>
        <w:t xml:space="preserve"> τη δυνατότητα </w:t>
      </w:r>
      <w:r w:rsidR="0078309B">
        <w:t>άσκησης</w:t>
      </w:r>
      <w:r>
        <w:t xml:space="preserve"> προσφυγής </w:t>
      </w:r>
      <w:r w:rsidR="006864A0" w:rsidRPr="0078309B">
        <w:rPr>
          <w:b/>
          <w:bCs/>
        </w:rPr>
        <w:t>αποκλειστικ</w:t>
      </w:r>
      <w:r w:rsidR="006864A0">
        <w:rPr>
          <w:b/>
          <w:bCs/>
        </w:rPr>
        <w:t>ά</w:t>
      </w:r>
      <w:r w:rsidR="006864A0">
        <w:t xml:space="preserve"> </w:t>
      </w:r>
      <w:r w:rsidR="0078309B" w:rsidRPr="006864A0">
        <w:rPr>
          <w:b/>
          <w:bCs/>
        </w:rPr>
        <w:t>ενώπιον</w:t>
      </w:r>
      <w:r w:rsidR="0078309B">
        <w:t xml:space="preserve"> </w:t>
      </w:r>
      <w:r w:rsidR="0078309B" w:rsidRPr="0078309B">
        <w:rPr>
          <w:b/>
          <w:bCs/>
        </w:rPr>
        <w:t>δικαστικής αρχής</w:t>
      </w:r>
      <w:r w:rsidR="0078309B">
        <w:t>.</w:t>
      </w:r>
    </w:p>
    <w:p w14:paraId="072625F5" w14:textId="28D78133" w:rsidR="0078309B" w:rsidRPr="00D8359E" w:rsidRDefault="0078309B" w:rsidP="005075D1">
      <w:pPr>
        <w:spacing w:before="120" w:after="120" w:line="360" w:lineRule="auto"/>
      </w:pPr>
      <w:r>
        <w:tab/>
      </w:r>
      <w:r w:rsidR="00D8359E">
        <w:t>Τούτο κρίθηκε, γ</w:t>
      </w:r>
      <w:r>
        <w:t xml:space="preserve">ια παράδειγμα, στην υπόθεση </w:t>
      </w:r>
      <w:r w:rsidR="006864A0" w:rsidRPr="006864A0">
        <w:rPr>
          <w:b/>
          <w:bCs/>
          <w:i/>
          <w:iCs/>
          <w:lang w:val="en-US"/>
        </w:rPr>
        <w:t>Ramirez</w:t>
      </w:r>
      <w:r w:rsidR="006864A0" w:rsidRPr="006864A0">
        <w:rPr>
          <w:b/>
          <w:bCs/>
          <w:i/>
          <w:iCs/>
        </w:rPr>
        <w:t xml:space="preserve"> </w:t>
      </w:r>
      <w:r w:rsidR="006864A0" w:rsidRPr="006864A0">
        <w:rPr>
          <w:b/>
          <w:bCs/>
          <w:i/>
          <w:iCs/>
          <w:lang w:val="en-US"/>
        </w:rPr>
        <w:t>Sanchez</w:t>
      </w:r>
      <w:r w:rsidR="006864A0" w:rsidRPr="006864A0">
        <w:rPr>
          <w:b/>
          <w:bCs/>
          <w:i/>
          <w:iCs/>
        </w:rPr>
        <w:t xml:space="preserve"> κατά Γαλλίας</w:t>
      </w:r>
      <w:r w:rsidR="00D8359E">
        <w:rPr>
          <w:i/>
          <w:iCs/>
        </w:rPr>
        <w:t xml:space="preserve">, </w:t>
      </w:r>
      <w:r w:rsidR="00D8359E">
        <w:t>η οποία αφορούσε στην πολυετή απομόνωση κρατο</w:t>
      </w:r>
      <w:r w:rsidR="003C6DAF">
        <w:t>υμέ</w:t>
      </w:r>
      <w:r w:rsidR="00D8359E">
        <w:t xml:space="preserve">νου εντός του σωφρονιστικού καταστήματος, </w:t>
      </w:r>
      <w:proofErr w:type="spellStart"/>
      <w:r w:rsidR="00D8359E">
        <w:t>στερουμένου</w:t>
      </w:r>
      <w:proofErr w:type="spellEnd"/>
      <w:r w:rsidR="00D8359E">
        <w:t xml:space="preserve"> της δυνατότητας να προσφύγει τόσο κατά της αρχικής επιβολής του μέτρου της απομόνωσης όσο και κατά των πολυάριθμων παρατάσεών αυτής ενώπιον δικαστικής αρχής, διότι το μέτρο αυτό θεωρούνταν, κατά το γαλλικό δίκαιο, μέτρο εσωτερικής τάξης ανεπίδεκτο δικαστικής εκτίμησης. Το Δικαστήριο, εν προκειμένω, έκρινε ότι</w:t>
      </w:r>
      <w:r w:rsidR="003C6DAF">
        <w:t>,</w:t>
      </w:r>
      <w:r w:rsidR="00D8359E">
        <w:t xml:space="preserve"> </w:t>
      </w:r>
      <w:r w:rsidR="00D8359E" w:rsidRPr="004922B7">
        <w:rPr>
          <w:b/>
          <w:bCs/>
        </w:rPr>
        <w:t>δεδομένων των επιπτώσεων που μπορεί να επιφέρει η απομόνωση</w:t>
      </w:r>
      <w:r w:rsidR="00D8359E">
        <w:t xml:space="preserve"> </w:t>
      </w:r>
      <w:r w:rsidR="003C6DAF">
        <w:t xml:space="preserve">του κρατούμενου </w:t>
      </w:r>
      <w:r w:rsidR="00D8359E">
        <w:t>στις συνθήκες κράτησ</w:t>
      </w:r>
      <w:r w:rsidR="003C6DAF">
        <w:t>ής του</w:t>
      </w:r>
      <w:r w:rsidR="00D8359E">
        <w:t>, η δυνατότητα προσφυγής ενώπιον δικαστικής αρχής είναι απαραίτητη</w:t>
      </w:r>
      <w:r w:rsidR="00823202">
        <w:rPr>
          <w:rStyle w:val="a7"/>
        </w:rPr>
        <w:footnoteReference w:id="37"/>
      </w:r>
      <w:r w:rsidR="00D8359E">
        <w:t xml:space="preserve">. </w:t>
      </w:r>
    </w:p>
    <w:p w14:paraId="7BDAC510" w14:textId="21B4B53B" w:rsidR="0041640D" w:rsidRDefault="00200C59" w:rsidP="005075D1">
      <w:pPr>
        <w:spacing w:before="120" w:after="120" w:line="360" w:lineRule="auto"/>
      </w:pPr>
      <w:r>
        <w:tab/>
        <w:t xml:space="preserve">Σε κάθε περίπτωση, </w:t>
      </w:r>
      <w:r w:rsidR="0041640D">
        <w:t xml:space="preserve">η αρμόδια </w:t>
      </w:r>
      <w:r w:rsidR="004922B7">
        <w:t xml:space="preserve">[δικαστική ή μη] </w:t>
      </w:r>
      <w:r w:rsidR="0041640D">
        <w:t xml:space="preserve">εθνική αρχή πρέπει να έχει τη δυνατότητα να εκδίδει </w:t>
      </w:r>
      <w:r w:rsidR="0041640D" w:rsidRPr="0041640D">
        <w:rPr>
          <w:b/>
          <w:bCs/>
        </w:rPr>
        <w:t xml:space="preserve">νομικά δεσμευτικές </w:t>
      </w:r>
      <w:r w:rsidR="0041640D">
        <w:rPr>
          <w:b/>
          <w:bCs/>
        </w:rPr>
        <w:t>αποφάσεις</w:t>
      </w:r>
      <w:r w:rsidR="0041640D">
        <w:t>. Σε αντίθετη περίπτωση</w:t>
      </w:r>
      <w:r w:rsidR="004922B7">
        <w:t>,</w:t>
      </w:r>
      <w:r w:rsidR="0041640D">
        <w:t xml:space="preserve"> </w:t>
      </w:r>
      <w:r w:rsidR="004922B7">
        <w:t xml:space="preserve">το δικαίωμα αποτελεσματικής προσφυγής, κατά το άρθρο 13 της Σύμβασης, </w:t>
      </w:r>
      <w:r w:rsidR="0041640D">
        <w:t xml:space="preserve">παραβιάζεται. </w:t>
      </w:r>
    </w:p>
    <w:p w14:paraId="44B0B0E1" w14:textId="180C9890" w:rsidR="0041640D" w:rsidRDefault="0041640D" w:rsidP="0041640D">
      <w:pPr>
        <w:spacing w:before="120" w:after="120" w:line="360" w:lineRule="auto"/>
        <w:ind w:firstLine="720"/>
      </w:pPr>
      <w:r>
        <w:t xml:space="preserve">Έτσι, στην υπόθεση </w:t>
      </w:r>
      <w:proofErr w:type="spellStart"/>
      <w:r w:rsidRPr="0041640D">
        <w:rPr>
          <w:b/>
          <w:bCs/>
          <w:i/>
          <w:iCs/>
        </w:rPr>
        <w:t>Ζαζάνης</w:t>
      </w:r>
      <w:proofErr w:type="spellEnd"/>
      <w:r w:rsidRPr="0041640D">
        <w:rPr>
          <w:b/>
          <w:bCs/>
          <w:i/>
          <w:iCs/>
        </w:rPr>
        <w:t xml:space="preserve"> κατά Ελλάδος</w:t>
      </w:r>
      <w:r>
        <w:t xml:space="preserve">, κρίθηκε ότι η ειδική επιτροπή του άρθρου 72 του </w:t>
      </w:r>
      <w:proofErr w:type="spellStart"/>
      <w:r>
        <w:t>π.δ.</w:t>
      </w:r>
      <w:proofErr w:type="spellEnd"/>
      <w:r>
        <w:t xml:space="preserve"> 18/1989, αρμόδια για τον έλεγχο της συμμόρφωσης της Διοίκησης με τις αποφάσεις του Συμβουλίου της Επικρατείας, δεν πληρούσε τις προϋποθέσεις του άρθρου 13 της Σύμβασης, διότι διέθετε μόνο </w:t>
      </w:r>
      <w:r w:rsidRPr="004922B7">
        <w:rPr>
          <w:b/>
          <w:bCs/>
        </w:rPr>
        <w:t>συμβουλευτικές αρμοδιότητες</w:t>
      </w:r>
      <w:r>
        <w:t xml:space="preserve"> και, κατά </w:t>
      </w:r>
      <w:r>
        <w:lastRenderedPageBreak/>
        <w:t xml:space="preserve">συνέπεια, η προσφυγή σε αυτήν δεν </w:t>
      </w:r>
      <w:r w:rsidR="00830E8C">
        <w:t xml:space="preserve">ήταν ικανή να οδηγήσει </w:t>
      </w:r>
      <w:r>
        <w:t>σε έκδοση δεσμευτικής απόφασης για τη Διοίκηση</w:t>
      </w:r>
      <w:r>
        <w:rPr>
          <w:rStyle w:val="a7"/>
        </w:rPr>
        <w:footnoteReference w:id="38"/>
      </w:r>
      <w:r>
        <w:t>.</w:t>
      </w:r>
    </w:p>
    <w:p w14:paraId="54B708FE" w14:textId="3C7A7005" w:rsidR="00200C59" w:rsidRDefault="00200C59" w:rsidP="00D64D73">
      <w:pPr>
        <w:spacing w:before="120" w:after="120" w:line="360" w:lineRule="auto"/>
      </w:pPr>
    </w:p>
    <w:p w14:paraId="4028459C" w14:textId="691BB8A1" w:rsidR="00D64D73" w:rsidRDefault="007D3456" w:rsidP="00245952">
      <w:pPr>
        <w:pStyle w:val="2"/>
        <w:spacing w:before="120" w:after="120" w:line="360" w:lineRule="auto"/>
      </w:pPr>
      <w:bookmarkStart w:id="9" w:name="_Toc166060922"/>
      <w:r w:rsidRPr="007D3456">
        <w:rPr>
          <w:lang w:val="en-US"/>
        </w:rPr>
        <w:t>III</w:t>
      </w:r>
      <w:r w:rsidRPr="00AE6731">
        <w:t xml:space="preserve">. </w:t>
      </w:r>
      <w:r w:rsidRPr="007D3456">
        <w:t xml:space="preserve">Αποτελεσματικότητα </w:t>
      </w:r>
      <w:r w:rsidR="0052407A">
        <w:t xml:space="preserve">της </w:t>
      </w:r>
      <w:r w:rsidRPr="007D3456">
        <w:t>προσφυγής</w:t>
      </w:r>
      <w:bookmarkEnd w:id="9"/>
    </w:p>
    <w:p w14:paraId="1E5D59B5" w14:textId="29E40FD9" w:rsidR="007D0B64" w:rsidRPr="007D0B64" w:rsidRDefault="007D0B64" w:rsidP="00245952">
      <w:pPr>
        <w:pStyle w:val="3"/>
        <w:spacing w:before="120" w:after="120" w:line="360" w:lineRule="auto"/>
      </w:pPr>
      <w:bookmarkStart w:id="10" w:name="_Toc166060923"/>
      <w:r>
        <w:t>Γενικά</w:t>
      </w:r>
      <w:bookmarkEnd w:id="10"/>
    </w:p>
    <w:p w14:paraId="1F70CF31" w14:textId="16C2F0F2" w:rsidR="00B74AF5" w:rsidRDefault="007D3456" w:rsidP="00245952">
      <w:pPr>
        <w:spacing w:before="120" w:after="120" w:line="360" w:lineRule="auto"/>
      </w:pPr>
      <w:r>
        <w:rPr>
          <w:b/>
          <w:bCs/>
        </w:rPr>
        <w:tab/>
      </w:r>
      <w:r w:rsidR="00C3196C">
        <w:t>Τ</w:t>
      </w:r>
      <w:r w:rsidR="00C80A76">
        <w:t>έλος, τ</w:t>
      </w:r>
      <w:r w:rsidR="00C3196C">
        <w:t xml:space="preserve">ο δικαίωμα πρόσβασης στο δικαστήριο πρέπει να είναι </w:t>
      </w:r>
      <w:r w:rsidR="00C3196C" w:rsidRPr="00CD5F4D">
        <w:rPr>
          <w:b/>
          <w:bCs/>
        </w:rPr>
        <w:t>πρακτικό</w:t>
      </w:r>
      <w:r w:rsidR="00C3196C">
        <w:t xml:space="preserve"> και </w:t>
      </w:r>
      <w:r w:rsidR="00C3196C" w:rsidRPr="00CD5F4D">
        <w:rPr>
          <w:b/>
          <w:bCs/>
        </w:rPr>
        <w:t>αποτελεσματικό</w:t>
      </w:r>
      <w:r w:rsidR="003F7A86">
        <w:t xml:space="preserve">, με την έννοια ότι ο προσφεύγων πρέπει να </w:t>
      </w:r>
      <w:r w:rsidR="00CD5F4D">
        <w:t xml:space="preserve">έχει </w:t>
      </w:r>
      <w:r w:rsidR="003F7A86">
        <w:t>μια πραγματική</w:t>
      </w:r>
      <w:r w:rsidR="00CD5F4D">
        <w:t xml:space="preserve">, και όχι </w:t>
      </w:r>
      <w:r w:rsidR="00C447FD">
        <w:t xml:space="preserve">μια </w:t>
      </w:r>
      <w:r w:rsidR="00B87566">
        <w:t xml:space="preserve">απλώς </w:t>
      </w:r>
      <w:r w:rsidR="00CD5F4D">
        <w:t>φαινομενική,</w:t>
      </w:r>
      <w:r w:rsidR="003F7A86">
        <w:t xml:space="preserve"> ευκαιρία να αμφισβητήσει </w:t>
      </w:r>
      <w:r w:rsidR="004D4862">
        <w:t>εκείνη την</w:t>
      </w:r>
      <w:r w:rsidR="003F7A86">
        <w:t xml:space="preserve"> πράξη που </w:t>
      </w:r>
      <w:r w:rsidR="004D4862">
        <w:t xml:space="preserve">ισχυρίζεται ότι προσβάλλει </w:t>
      </w:r>
      <w:r w:rsidR="00FB12AE">
        <w:t xml:space="preserve">κάποιο </w:t>
      </w:r>
      <w:r w:rsidR="00AD3E69">
        <w:t xml:space="preserve">συμβατικό του </w:t>
      </w:r>
      <w:r w:rsidR="004D4862">
        <w:t>δικαίωμα</w:t>
      </w:r>
      <w:r w:rsidR="003F7A86">
        <w:rPr>
          <w:rStyle w:val="a7"/>
        </w:rPr>
        <w:footnoteReference w:id="39"/>
      </w:r>
      <w:r w:rsidR="008B4AC7">
        <w:t>, καθώς</w:t>
      </w:r>
      <w:r w:rsidR="002F13FD">
        <w:t xml:space="preserve"> </w:t>
      </w:r>
      <w:r w:rsidR="009D4E38">
        <w:t xml:space="preserve">και να </w:t>
      </w:r>
      <w:r w:rsidR="008B4AC7">
        <w:t>άρει τις συνέπειες της προσβολής</w:t>
      </w:r>
      <w:r w:rsidR="009D4E38">
        <w:t xml:space="preserve"> </w:t>
      </w:r>
      <w:r w:rsidR="008B4AC7">
        <w:t>του</w:t>
      </w:r>
      <w:r w:rsidR="008B4AC7">
        <w:rPr>
          <w:rStyle w:val="a7"/>
        </w:rPr>
        <w:footnoteReference w:id="40"/>
      </w:r>
      <w:r w:rsidR="003F7A86">
        <w:t>.</w:t>
      </w:r>
      <w:r w:rsidR="00C3196C">
        <w:t xml:space="preserve"> </w:t>
      </w:r>
      <w:r w:rsidR="003E1637">
        <w:t xml:space="preserve">Η </w:t>
      </w:r>
      <w:r w:rsidR="006B659A">
        <w:t>επιλογή του είδους της προσφυγής που παρέχεται στ</w:t>
      </w:r>
      <w:r w:rsidR="00AD3E69">
        <w:t>α</w:t>
      </w:r>
      <w:r w:rsidR="006B659A">
        <w:t xml:space="preserve"> πρόσωπα, όπως ακριβώς και η επιλογή της αρμόδιας εθνικής αρχής, εναπόκειται στη </w:t>
      </w:r>
      <w:r w:rsidR="006B659A" w:rsidRPr="006B659A">
        <w:rPr>
          <w:b/>
          <w:bCs/>
        </w:rPr>
        <w:t>διακριτική ευχέρεια των κρατών μερών</w:t>
      </w:r>
      <w:r w:rsidR="006B659A" w:rsidRPr="00AD3E69">
        <w:rPr>
          <w:rStyle w:val="a7"/>
        </w:rPr>
        <w:footnoteReference w:id="41"/>
      </w:r>
      <w:r w:rsidR="006B659A" w:rsidRPr="00AD3E69">
        <w:t xml:space="preserve">. </w:t>
      </w:r>
    </w:p>
    <w:p w14:paraId="1EFA56C5" w14:textId="10630754" w:rsidR="007D3456" w:rsidRDefault="005F7457" w:rsidP="00245952">
      <w:pPr>
        <w:spacing w:before="120" w:after="120" w:line="360" w:lineRule="auto"/>
        <w:ind w:firstLine="720"/>
      </w:pPr>
      <w:r>
        <w:t>Επιπλέον,</w:t>
      </w:r>
      <w:r w:rsidR="003E1637">
        <w:t xml:space="preserve"> η</w:t>
      </w:r>
      <w:r w:rsidR="004D4862">
        <w:t xml:space="preserve"> αποτελεσματικότητα</w:t>
      </w:r>
      <w:r w:rsidR="003E1637">
        <w:t xml:space="preserve"> </w:t>
      </w:r>
      <w:r w:rsidR="004D4862">
        <w:t xml:space="preserve">της εκάστοτε προσφυγής κρίνεται κατά περίπτωση </w:t>
      </w:r>
      <w:r w:rsidR="00B05D44">
        <w:t xml:space="preserve">και, δη, </w:t>
      </w:r>
      <w:r w:rsidR="004D4862">
        <w:t>ανάλογα με τ</w:t>
      </w:r>
      <w:r w:rsidR="00D52308">
        <w:t xml:space="preserve">η </w:t>
      </w:r>
      <w:r w:rsidR="00D52308" w:rsidRPr="006B659A">
        <w:rPr>
          <w:b/>
          <w:bCs/>
        </w:rPr>
        <w:t>φύση του προσβαλλόμενου δικαιώματος</w:t>
      </w:r>
      <w:r w:rsidR="00D52308">
        <w:rPr>
          <w:rStyle w:val="a7"/>
        </w:rPr>
        <w:footnoteReference w:id="42"/>
      </w:r>
      <w:r w:rsidR="00B05D44">
        <w:t>. Ε</w:t>
      </w:r>
      <w:r w:rsidR="00B74AF5">
        <w:t xml:space="preserve">νόψει αυτού, παρατηρείται ότι οι απαιτήσεις του Δικαστηρίου είναι αυστηρότερες όταν τα προσβαλλόμενα δικαιώματα είναι </w:t>
      </w:r>
      <w:r w:rsidR="00C90DC0">
        <w:t>θεμελιώδους</w:t>
      </w:r>
      <w:r w:rsidR="00B74AF5">
        <w:t xml:space="preserve"> σημασίας, όπως το δικαίωμα στη ζωή και η απαγόρευση των βασανιστηρίων και της απάνθρωπης και εξευτελιστικής μεταχείρισης</w:t>
      </w:r>
      <w:r w:rsidR="00B74AF5">
        <w:rPr>
          <w:rStyle w:val="a7"/>
        </w:rPr>
        <w:footnoteReference w:id="43"/>
      </w:r>
      <w:r w:rsidR="000D319C">
        <w:t>.</w:t>
      </w:r>
      <w:r w:rsidR="00B74AF5">
        <w:t xml:space="preserve"> </w:t>
      </w:r>
    </w:p>
    <w:p w14:paraId="09BF74D0" w14:textId="5F0753AF" w:rsidR="00C11AD6" w:rsidRDefault="006B659A" w:rsidP="00245952">
      <w:pPr>
        <w:spacing w:before="120" w:after="120" w:line="360" w:lineRule="auto"/>
      </w:pPr>
      <w:r>
        <w:tab/>
        <w:t xml:space="preserve">Περαιτέρω, </w:t>
      </w:r>
      <w:r w:rsidR="007205F2">
        <w:t xml:space="preserve">όπως προκύπτει από </w:t>
      </w:r>
      <w:r>
        <w:t>τη νομολογία του ΕΔΔΑ</w:t>
      </w:r>
      <w:r w:rsidR="007205F2">
        <w:t xml:space="preserve">, για την εκτίμησης της αποτελεσματικότητας της διαθέσιμης προσφυγής λαμβάνονται υπόψη πολυάριθμες </w:t>
      </w:r>
      <w:r w:rsidR="007205F2" w:rsidRPr="006F616F">
        <w:rPr>
          <w:b/>
          <w:bCs/>
        </w:rPr>
        <w:t>παράμετροι</w:t>
      </w:r>
      <w:r>
        <w:t>. Κάποι</w:t>
      </w:r>
      <w:r w:rsidR="007205F2">
        <w:t>ες</w:t>
      </w:r>
      <w:r>
        <w:t xml:space="preserve"> εξ αυτών αφορούν στη </w:t>
      </w:r>
      <w:r w:rsidRPr="006F616F">
        <w:rPr>
          <w:b/>
          <w:bCs/>
        </w:rPr>
        <w:t>φυσιογνωμία</w:t>
      </w:r>
      <w:r>
        <w:t xml:space="preserve"> της προσφυγής και</w:t>
      </w:r>
      <w:r w:rsidR="00337BE5">
        <w:t>,</w:t>
      </w:r>
      <w:r>
        <w:t xml:space="preserve"> ενίοτε</w:t>
      </w:r>
      <w:r w:rsidR="00337BE5">
        <w:t>,</w:t>
      </w:r>
      <w:r>
        <w:t xml:space="preserve"> συμπλέκονται με τα χαρακτηριστικά της </w:t>
      </w:r>
      <w:r w:rsidRPr="006F616F">
        <w:rPr>
          <w:b/>
          <w:bCs/>
        </w:rPr>
        <w:t>εθνικής αρχής</w:t>
      </w:r>
      <w:r>
        <w:t xml:space="preserve"> που επιλαμβάνεται της προσφυγής, ενώ κάποι</w:t>
      </w:r>
      <w:r w:rsidR="006F616F">
        <w:t>ες</w:t>
      </w:r>
      <w:r>
        <w:t xml:space="preserve"> άλλ</w:t>
      </w:r>
      <w:r w:rsidR="006F616F">
        <w:t>ες</w:t>
      </w:r>
      <w:r>
        <w:t xml:space="preserve"> σχετίζονται </w:t>
      </w:r>
      <w:r w:rsidR="006F616F">
        <w:t xml:space="preserve">με τα </w:t>
      </w:r>
      <w:r w:rsidR="006F616F" w:rsidRPr="006F616F">
        <w:rPr>
          <w:b/>
          <w:bCs/>
        </w:rPr>
        <w:t>προσφερόμενα μέτρα αποκατάστασης</w:t>
      </w:r>
      <w:r w:rsidR="006F616F">
        <w:t xml:space="preserve"> της προβαλλόμενης παραβίασης και άλλες με το </w:t>
      </w:r>
      <w:r w:rsidR="006F616F" w:rsidRPr="006F616F">
        <w:rPr>
          <w:b/>
          <w:bCs/>
        </w:rPr>
        <w:t>νομικό και πραγματικό εθνικό πλαίσιο</w:t>
      </w:r>
      <w:r w:rsidR="006F616F">
        <w:t xml:space="preserve"> στο οποίο εντάσσεται η προσφυγή</w:t>
      </w:r>
      <w:r w:rsidR="009E4393">
        <w:rPr>
          <w:rStyle w:val="a7"/>
        </w:rPr>
        <w:footnoteReference w:id="44"/>
      </w:r>
      <w:r w:rsidR="006F616F">
        <w:t xml:space="preserve">. </w:t>
      </w:r>
      <w:r w:rsidR="00597C3B">
        <w:t>Γενικώς, κ</w:t>
      </w:r>
      <w:r w:rsidR="00506B4E">
        <w:t xml:space="preserve">ρίσιμη </w:t>
      </w:r>
      <w:r w:rsidR="00B7543E">
        <w:t xml:space="preserve">θεωρείται η </w:t>
      </w:r>
      <w:r w:rsidR="00B7543E" w:rsidRPr="00E7153E">
        <w:rPr>
          <w:b/>
          <w:bCs/>
        </w:rPr>
        <w:t>τήρηση των εγγυήσεων της δίκαιης δίκης</w:t>
      </w:r>
      <w:r w:rsidR="00E7153E" w:rsidRPr="00E7153E">
        <w:t xml:space="preserve"> </w:t>
      </w:r>
      <w:r w:rsidR="00E7153E">
        <w:t>ενώπιον της επιληφθείσας εθνικής αρχής</w:t>
      </w:r>
      <w:r w:rsidR="00B7543E">
        <w:t xml:space="preserve">, κατά το άρθρο </w:t>
      </w:r>
      <w:r w:rsidR="00B7543E">
        <w:lastRenderedPageBreak/>
        <w:t>6 της Σύμβασης,</w:t>
      </w:r>
      <w:r w:rsidR="00E7153E">
        <w:t xml:space="preserve"> </w:t>
      </w:r>
      <w:r w:rsidR="00EF5DC4">
        <w:t>όπως είναι, για παράδειγμα</w:t>
      </w:r>
      <w:r w:rsidR="00E7153E">
        <w:t>,</w:t>
      </w:r>
      <w:r w:rsidR="00EF5DC4">
        <w:t xml:space="preserve"> η ισότητα των όπλων, η ανεξαρτησία ή η αμεροληψία</w:t>
      </w:r>
      <w:r w:rsidR="009D11C8">
        <w:t xml:space="preserve"> κ.λπ.</w:t>
      </w:r>
      <w:r w:rsidR="005D24A7">
        <w:rPr>
          <w:rStyle w:val="a7"/>
        </w:rPr>
        <w:footnoteReference w:id="45"/>
      </w:r>
    </w:p>
    <w:p w14:paraId="1F2F1720" w14:textId="77777777" w:rsidR="00E52EA8" w:rsidRDefault="00E52EA8" w:rsidP="00245952">
      <w:pPr>
        <w:spacing w:before="120" w:after="120" w:line="360" w:lineRule="auto"/>
      </w:pPr>
    </w:p>
    <w:p w14:paraId="77362FB2" w14:textId="633C52CB" w:rsidR="00E52EA8" w:rsidRDefault="00B277CA" w:rsidP="00107677">
      <w:pPr>
        <w:pStyle w:val="3"/>
        <w:spacing w:before="120" w:after="120" w:line="360" w:lineRule="auto"/>
      </w:pPr>
      <w:bookmarkStart w:id="12" w:name="_Toc166060924"/>
      <w:r>
        <w:t xml:space="preserve">Άρση της προσβολής και </w:t>
      </w:r>
      <w:r w:rsidR="00DC53D4">
        <w:t xml:space="preserve">ικανοποιητική </w:t>
      </w:r>
      <w:r>
        <w:t>επανόρθωση</w:t>
      </w:r>
      <w:bookmarkEnd w:id="12"/>
    </w:p>
    <w:p w14:paraId="4F023C55" w14:textId="772C7E11" w:rsidR="00C81016" w:rsidRDefault="00B277CA" w:rsidP="00107677">
      <w:pPr>
        <w:spacing w:before="120" w:after="120" w:line="360" w:lineRule="auto"/>
      </w:pPr>
      <w:r>
        <w:tab/>
      </w:r>
      <w:r w:rsidR="001568F1">
        <w:t xml:space="preserve">Κατ’ αρχάς, η, διαθέσιμη στο εσωτερικό δίκαιο, προσφυγή </w:t>
      </w:r>
      <w:r w:rsidR="00C81016">
        <w:t xml:space="preserve">πρέπει να είναι </w:t>
      </w:r>
      <w:r w:rsidR="00C81016" w:rsidRPr="006B56A9">
        <w:rPr>
          <w:b/>
          <w:bCs/>
        </w:rPr>
        <w:t>κατάλληλη να θεραπεύσει</w:t>
      </w:r>
      <w:r w:rsidR="00C81016">
        <w:t xml:space="preserve"> την προβαλλόμενη προσβολή, </w:t>
      </w:r>
      <w:r w:rsidR="00C0503C">
        <w:t>όπως για παράδειγμα</w:t>
      </w:r>
      <w:r w:rsidR="0010035B">
        <w:t xml:space="preserve"> με την ακύρωση</w:t>
      </w:r>
      <w:r w:rsidR="008C4DBD">
        <w:t xml:space="preserve"> ή την ανάκληση ή την τροποποίηση</w:t>
      </w:r>
      <w:r w:rsidR="0010035B">
        <w:t xml:space="preserve"> της πράξης</w:t>
      </w:r>
      <w:r w:rsidR="009B3DA6">
        <w:t xml:space="preserve"> που προσβάλλει το επίμαχο συμβατικό δικαίωμα του προσώπου</w:t>
      </w:r>
      <w:r w:rsidR="00F90F84">
        <w:t>,</w:t>
      </w:r>
      <w:r w:rsidR="00BD0DFE">
        <w:t xml:space="preserve"> με τη διερεύνηση της προσβολής, καθώς και την επιβολή κυρώσεων σε βάρος των υπαιτίων προσώπων</w:t>
      </w:r>
      <w:r w:rsidR="00BD0DFE">
        <w:rPr>
          <w:rStyle w:val="a7"/>
        </w:rPr>
        <w:footnoteReference w:id="46"/>
      </w:r>
      <w:r w:rsidR="00BD0DFE">
        <w:t xml:space="preserve">, </w:t>
      </w:r>
      <w:r w:rsidR="00F90F84">
        <w:t>αλλά και</w:t>
      </w:r>
      <w:r w:rsidR="00BD0DFE">
        <w:t>, επιπλέον,</w:t>
      </w:r>
      <w:r w:rsidR="00F90F84">
        <w:t xml:space="preserve"> </w:t>
      </w:r>
      <w:r w:rsidR="00C81016">
        <w:t>να παράσχει</w:t>
      </w:r>
      <w:r w:rsidR="00343970">
        <w:t>, όπου χρειάζεται,</w:t>
      </w:r>
      <w:r w:rsidR="00C81016">
        <w:t xml:space="preserve"> </w:t>
      </w:r>
      <w:r w:rsidR="00C81016" w:rsidRPr="006B56A9">
        <w:rPr>
          <w:b/>
          <w:bCs/>
        </w:rPr>
        <w:t>ικαν</w:t>
      </w:r>
      <w:r w:rsidR="00DD280E">
        <w:rPr>
          <w:b/>
          <w:bCs/>
        </w:rPr>
        <w:t>οποιητική</w:t>
      </w:r>
      <w:r w:rsidR="00C81016" w:rsidRPr="006B56A9">
        <w:rPr>
          <w:b/>
          <w:bCs/>
        </w:rPr>
        <w:t xml:space="preserve"> επανόρθωσ</w:t>
      </w:r>
      <w:r w:rsidR="00343970">
        <w:rPr>
          <w:b/>
          <w:bCs/>
        </w:rPr>
        <w:t>η</w:t>
      </w:r>
      <w:r w:rsidR="00C81016">
        <w:t>.</w:t>
      </w:r>
    </w:p>
    <w:p w14:paraId="0352A7F5" w14:textId="3AB8F440" w:rsidR="00E52EA8" w:rsidRDefault="00C81016" w:rsidP="00107677">
      <w:pPr>
        <w:spacing w:before="120" w:after="120" w:line="360" w:lineRule="auto"/>
      </w:pPr>
      <w:r>
        <w:tab/>
      </w:r>
      <w:r w:rsidR="00C828C7">
        <w:t xml:space="preserve">Η εξειδίκευση </w:t>
      </w:r>
      <w:r w:rsidR="00343970">
        <w:t>του παρόντος κριτηρίου</w:t>
      </w:r>
      <w:r w:rsidR="00C828C7">
        <w:t xml:space="preserve"> έγινε από τ</w:t>
      </w:r>
      <w:r>
        <w:t xml:space="preserve">ο ΕΔΔΑ, στην υπόθεση </w:t>
      </w:r>
      <w:r w:rsidRPr="00E7657C">
        <w:rPr>
          <w:b/>
          <w:bCs/>
          <w:i/>
          <w:iCs/>
          <w:lang w:val="en-US"/>
        </w:rPr>
        <w:t>Kudla</w:t>
      </w:r>
      <w:r w:rsidRPr="00E7657C">
        <w:rPr>
          <w:b/>
          <w:bCs/>
          <w:i/>
          <w:iCs/>
        </w:rPr>
        <w:t xml:space="preserve"> κατά Πολωνίας</w:t>
      </w:r>
      <w:r w:rsidRPr="00E7657C">
        <w:t>,</w:t>
      </w:r>
      <w:r>
        <w:t xml:space="preserve"> </w:t>
      </w:r>
      <w:r w:rsidR="00C828C7">
        <w:t xml:space="preserve">όπου </w:t>
      </w:r>
      <w:r w:rsidR="00916A3F">
        <w:t xml:space="preserve">παρατηρήθηκε ότι </w:t>
      </w:r>
      <w:r w:rsidR="00B8723B">
        <w:t>η αποτελεσματικότητα των διαθέσιμων ένδικων βοηθημάτων σχετικά με την υπέρβαση της εύλογης διάρκειας της δίκης</w:t>
      </w:r>
      <w:r w:rsidR="006418F8">
        <w:t xml:space="preserve"> εξαρτάται από το αν παρέχ</w:t>
      </w:r>
      <w:r w:rsidR="00D9025F">
        <w:t xml:space="preserve">ουν στον προσφεύγοντα είτε </w:t>
      </w:r>
      <w:r w:rsidR="001D7DA1" w:rsidRPr="001D7DA1">
        <w:rPr>
          <w:b/>
          <w:bCs/>
        </w:rPr>
        <w:t>α)</w:t>
      </w:r>
      <w:r w:rsidR="001D7DA1">
        <w:t xml:space="preserve"> </w:t>
      </w:r>
      <w:r w:rsidR="00D9025F">
        <w:t xml:space="preserve">τη δυνατότητα </w:t>
      </w:r>
      <w:r w:rsidR="00D9025F" w:rsidRPr="00AA385D">
        <w:rPr>
          <w:b/>
          <w:bCs/>
        </w:rPr>
        <w:t>άρσης της προσβολ</w:t>
      </w:r>
      <w:r w:rsidR="00DD280E" w:rsidRPr="00AA385D">
        <w:rPr>
          <w:b/>
          <w:bCs/>
        </w:rPr>
        <w:t>ής</w:t>
      </w:r>
      <w:r w:rsidR="00DD280E">
        <w:t xml:space="preserve"> και </w:t>
      </w:r>
      <w:r w:rsidR="00DD280E" w:rsidRPr="00994761">
        <w:rPr>
          <w:b/>
          <w:bCs/>
        </w:rPr>
        <w:t>μη επανάληψής της</w:t>
      </w:r>
      <w:r w:rsidR="00DD280E">
        <w:t xml:space="preserve"> στο μέλλον είτε </w:t>
      </w:r>
      <w:r w:rsidR="001D7DA1" w:rsidRPr="001D7DA1">
        <w:rPr>
          <w:b/>
          <w:bCs/>
        </w:rPr>
        <w:t>β)</w:t>
      </w:r>
      <w:r w:rsidR="001D7DA1">
        <w:t xml:space="preserve"> </w:t>
      </w:r>
      <w:r w:rsidR="00DD280E" w:rsidRPr="00AA385D">
        <w:rPr>
          <w:b/>
          <w:bCs/>
        </w:rPr>
        <w:t>ικανοποιητική επανόρθωση</w:t>
      </w:r>
      <w:r w:rsidR="00DD280E">
        <w:t xml:space="preserve"> </w:t>
      </w:r>
      <w:r w:rsidR="00172083">
        <w:t>για την προσβολή που υπέστη από αυτήν</w:t>
      </w:r>
      <w:r w:rsidR="00172083">
        <w:rPr>
          <w:rStyle w:val="a7"/>
        </w:rPr>
        <w:footnoteReference w:id="47"/>
      </w:r>
      <w:r w:rsidR="00172083">
        <w:t xml:space="preserve">. </w:t>
      </w:r>
      <w:r w:rsidR="00E77E31">
        <w:t>Έτσι, εν προκειμένω, κρίθηκε ότι παραβιάστηκε το άρθρο 13</w:t>
      </w:r>
      <w:r w:rsidR="00AA385D">
        <w:t xml:space="preserve"> της Σύμβασης</w:t>
      </w:r>
      <w:r w:rsidR="00E77E31">
        <w:t xml:space="preserve">, διότι τα προβλεπόμενα ένδικα βοηθήματα στο εσωτερικό δίκαιο του εναγόμενου κράτους δεν </w:t>
      </w:r>
      <w:r w:rsidR="001D7DA1">
        <w:t>κάλυπταν</w:t>
      </w:r>
      <w:r w:rsidR="00E77E31">
        <w:t xml:space="preserve"> κάποια από τις ανωτέρω δύο</w:t>
      </w:r>
      <w:r w:rsidR="001D7DA1">
        <w:t xml:space="preserve"> </w:t>
      </w:r>
      <w:r w:rsidR="00AA385D">
        <w:t>προϋποθέσεις</w:t>
      </w:r>
      <w:r w:rsidR="001D7DA1">
        <w:t>.</w:t>
      </w:r>
    </w:p>
    <w:p w14:paraId="694A0083" w14:textId="611C42D9" w:rsidR="007B439C" w:rsidRDefault="007B439C" w:rsidP="00107677">
      <w:pPr>
        <w:spacing w:before="120" w:after="120" w:line="360" w:lineRule="auto"/>
      </w:pPr>
      <w:r>
        <w:tab/>
      </w:r>
      <w:r w:rsidR="000C2DA4">
        <w:t xml:space="preserve">Το Δικαστήριο υπογράμμισε, δηλαδή, ότι </w:t>
      </w:r>
      <w:r w:rsidR="008B78EA">
        <w:t xml:space="preserve">η αποτελεσματικότητα της διαθέσιμης προσφυγής εξαρτάται από τη </w:t>
      </w:r>
      <w:r w:rsidR="005236C4">
        <w:t xml:space="preserve">διακοπή των συνεχιζόμενων παραβιάσεων και τη </w:t>
      </w:r>
      <w:r w:rsidR="008B78EA">
        <w:t xml:space="preserve">δυνατότητα πρόληψης μελλοντικών </w:t>
      </w:r>
      <w:r w:rsidR="005236C4">
        <w:t>τέτοιων</w:t>
      </w:r>
      <w:r w:rsidR="00892715">
        <w:t xml:space="preserve"> ή την αποκατάσταση όσων έχουν, ήδη, </w:t>
      </w:r>
      <w:proofErr w:type="spellStart"/>
      <w:r w:rsidR="00892715">
        <w:t>τελεστεί</w:t>
      </w:r>
      <w:proofErr w:type="spellEnd"/>
      <w:r w:rsidR="00892715">
        <w:t xml:space="preserve">. </w:t>
      </w:r>
    </w:p>
    <w:p w14:paraId="6E4ADC61" w14:textId="735F1E52" w:rsidR="00994991" w:rsidRDefault="00994761" w:rsidP="00107677">
      <w:pPr>
        <w:spacing w:before="120" w:after="120" w:line="360" w:lineRule="auto"/>
      </w:pPr>
      <w:r>
        <w:tab/>
      </w:r>
      <w:r w:rsidR="00FF308E">
        <w:t xml:space="preserve">Ειδικά, αναφορικά με την </w:t>
      </w:r>
      <w:r w:rsidR="003B2EF4">
        <w:t xml:space="preserve">παραβίαση του δικαιώματος σε </w:t>
      </w:r>
      <w:r w:rsidR="003B2EF4" w:rsidRPr="005236C4">
        <w:rPr>
          <w:b/>
          <w:bCs/>
        </w:rPr>
        <w:t>δίκη εύλογης διάρκειας</w:t>
      </w:r>
      <w:r w:rsidR="003B2EF4">
        <w:t>,</w:t>
      </w:r>
      <w:r w:rsidR="005236C4">
        <w:t xml:space="preserve"> κατά το άρθρο 6 της Σύμβασης,</w:t>
      </w:r>
      <w:r w:rsidR="003B2EF4">
        <w:t xml:space="preserve"> </w:t>
      </w:r>
      <w:r w:rsidR="005B073B">
        <w:t>κρίθηκε</w:t>
      </w:r>
      <w:r w:rsidR="003B2EF4">
        <w:t xml:space="preserve"> ότι </w:t>
      </w:r>
      <w:r w:rsidR="00FC14FA">
        <w:t>η δι</w:t>
      </w:r>
      <w:r w:rsidR="005B073B">
        <w:t>αθέσιμη προσφυγή μπορεί να έχει</w:t>
      </w:r>
      <w:r w:rsidR="00FC14FA">
        <w:t xml:space="preserve"> είτε </w:t>
      </w:r>
      <w:r w:rsidR="005B073B">
        <w:rPr>
          <w:b/>
          <w:bCs/>
        </w:rPr>
        <w:t>προληπτικό</w:t>
      </w:r>
      <w:r w:rsidR="00FC14FA" w:rsidRPr="003C13E0">
        <w:rPr>
          <w:b/>
          <w:bCs/>
        </w:rPr>
        <w:t xml:space="preserve"> χαρακτήρα</w:t>
      </w:r>
      <w:r w:rsidR="00FC14FA">
        <w:t>, ώστε να εξασφαλίζει την επιτάχυνση της διαδικασίας</w:t>
      </w:r>
      <w:r w:rsidR="003C13E0">
        <w:t xml:space="preserve"> και της έκδοσης της δικαστικής απόφασης, είτε </w:t>
      </w:r>
      <w:r w:rsidR="005B073B">
        <w:rPr>
          <w:b/>
          <w:bCs/>
        </w:rPr>
        <w:t>επανορθωτικό</w:t>
      </w:r>
      <w:r w:rsidR="007839E3" w:rsidRPr="007839E3">
        <w:t>,</w:t>
      </w:r>
      <w:r w:rsidR="007839E3">
        <w:rPr>
          <w:b/>
          <w:bCs/>
        </w:rPr>
        <w:t xml:space="preserve"> </w:t>
      </w:r>
      <w:r w:rsidR="006B18FA" w:rsidRPr="00D71B8B">
        <w:t>και ιδίως</w:t>
      </w:r>
      <w:r w:rsidR="005B073B">
        <w:rPr>
          <w:b/>
          <w:bCs/>
        </w:rPr>
        <w:t xml:space="preserve"> </w:t>
      </w:r>
      <w:proofErr w:type="spellStart"/>
      <w:r w:rsidR="005B073B">
        <w:rPr>
          <w:b/>
          <w:bCs/>
        </w:rPr>
        <w:t>αποζημιωτικό</w:t>
      </w:r>
      <w:proofErr w:type="spellEnd"/>
      <w:r w:rsidR="006B18FA">
        <w:rPr>
          <w:b/>
          <w:bCs/>
        </w:rPr>
        <w:t xml:space="preserve"> </w:t>
      </w:r>
      <w:r w:rsidR="006B18FA">
        <w:rPr>
          <w:b/>
          <w:bCs/>
        </w:rPr>
        <w:lastRenderedPageBreak/>
        <w:t>χαρακτήρα</w:t>
      </w:r>
      <w:r w:rsidR="006B18FA" w:rsidRPr="00D71B8B">
        <w:t xml:space="preserve">, </w:t>
      </w:r>
      <w:r w:rsidR="003C13E0" w:rsidRPr="00D71B8B">
        <w:t>ώστε να παρ</w:t>
      </w:r>
      <w:r w:rsidR="006B18FA" w:rsidRPr="00D71B8B">
        <w:t>έ</w:t>
      </w:r>
      <w:r w:rsidR="003C13E0" w:rsidRPr="00D71B8B">
        <w:t>χει</w:t>
      </w:r>
      <w:r w:rsidR="003C13E0">
        <w:rPr>
          <w:b/>
          <w:bCs/>
        </w:rPr>
        <w:t xml:space="preserve"> </w:t>
      </w:r>
      <w:r w:rsidR="00D71B8B">
        <w:t>αποκατάσταση της βλάβης που έχει προκληθεί από την καθυστέρηση</w:t>
      </w:r>
      <w:r w:rsidR="0090642D">
        <w:rPr>
          <w:rStyle w:val="a7"/>
        </w:rPr>
        <w:footnoteReference w:id="48"/>
      </w:r>
      <w:r w:rsidR="00D152DA">
        <w:t xml:space="preserve"> ή και </w:t>
      </w:r>
      <w:r w:rsidR="005B073B">
        <w:rPr>
          <w:b/>
          <w:bCs/>
        </w:rPr>
        <w:t>συνδυασμό</w:t>
      </w:r>
      <w:r w:rsidR="00D152DA">
        <w:t xml:space="preserve"> αυτών. </w:t>
      </w:r>
      <w:r w:rsidR="006329A7">
        <w:t xml:space="preserve"> </w:t>
      </w:r>
    </w:p>
    <w:p w14:paraId="06EFF81E" w14:textId="5794B7E0" w:rsidR="00994991" w:rsidRDefault="0018085D" w:rsidP="00107677">
      <w:pPr>
        <w:spacing w:before="120" w:after="120" w:line="360" w:lineRule="auto"/>
      </w:pPr>
      <w:r>
        <w:tab/>
      </w:r>
      <w:r w:rsidR="005B073B">
        <w:t>Εννέα</w:t>
      </w:r>
      <w:r w:rsidR="003D4B3F">
        <w:t xml:space="preserve"> χρόνια αργότερα, στην υπόθεση </w:t>
      </w:r>
      <w:proofErr w:type="spellStart"/>
      <w:r w:rsidR="003D4B3F" w:rsidRPr="003D4B3F">
        <w:rPr>
          <w:b/>
          <w:bCs/>
          <w:i/>
          <w:iCs/>
          <w:lang w:val="en-US"/>
        </w:rPr>
        <w:t>Burdov</w:t>
      </w:r>
      <w:proofErr w:type="spellEnd"/>
      <w:r w:rsidR="003D4B3F" w:rsidRPr="003D4B3F">
        <w:rPr>
          <w:b/>
          <w:bCs/>
          <w:i/>
          <w:iCs/>
        </w:rPr>
        <w:t xml:space="preserve"> κατά Ρωσίας</w:t>
      </w:r>
      <w:r w:rsidR="003D4B3F">
        <w:t>, τ</w:t>
      </w:r>
      <w:r w:rsidR="008F2C45">
        <w:t xml:space="preserve">ο </w:t>
      </w:r>
      <w:r w:rsidR="00DE3010">
        <w:t>Δικαστήριο</w:t>
      </w:r>
      <w:r w:rsidR="003D4B3F">
        <w:t xml:space="preserve"> εξέφρασε</w:t>
      </w:r>
      <w:r w:rsidR="00DE3010">
        <w:t xml:space="preserve"> την </w:t>
      </w:r>
      <w:r w:rsidR="00DE3010" w:rsidRPr="007F254E">
        <w:rPr>
          <w:b/>
          <w:bCs/>
        </w:rPr>
        <w:t xml:space="preserve">προτίμησή </w:t>
      </w:r>
      <w:r w:rsidR="00DE3010" w:rsidRPr="007F254E">
        <w:t>του</w:t>
      </w:r>
      <w:r w:rsidR="00DE3010" w:rsidRPr="007F254E">
        <w:rPr>
          <w:b/>
          <w:bCs/>
        </w:rPr>
        <w:t xml:space="preserve"> στις προληπτικές προσφυγές</w:t>
      </w:r>
      <w:r w:rsidR="00DE3010">
        <w:t>, που είναι ικανές να</w:t>
      </w:r>
      <w:r w:rsidR="00611E77">
        <w:t xml:space="preserve"> εξασφαλίσουν την επιτάχυνση και να αποτρέψουν την παραβίαση του δικαιώματος σε δίκη εύλογης διάρκειας</w:t>
      </w:r>
      <w:r w:rsidR="003D4B3F">
        <w:t xml:space="preserve">, σημειώνοντας, </w:t>
      </w:r>
      <w:r w:rsidR="0076530F">
        <w:t>ωστόσο</w:t>
      </w:r>
      <w:r w:rsidR="008F2C45">
        <w:t>,</w:t>
      </w:r>
      <w:r w:rsidR="003D4B3F">
        <w:t xml:space="preserve"> ότι</w:t>
      </w:r>
      <w:r w:rsidR="00611E77">
        <w:t xml:space="preserve"> </w:t>
      </w:r>
      <w:r w:rsidR="00E5154E">
        <w:t xml:space="preserve">η καθιέρωση από τα κράτη μέρη </w:t>
      </w:r>
      <w:r w:rsidR="007F254E">
        <w:t xml:space="preserve">προσφυγών </w:t>
      </w:r>
      <w:proofErr w:type="spellStart"/>
      <w:r w:rsidR="00E5154E" w:rsidRPr="007F254E">
        <w:rPr>
          <w:b/>
          <w:bCs/>
        </w:rPr>
        <w:t>αποζημιωτικού</w:t>
      </w:r>
      <w:proofErr w:type="spellEnd"/>
      <w:r w:rsidR="00E5154E" w:rsidRPr="007F254E">
        <w:rPr>
          <w:b/>
          <w:bCs/>
        </w:rPr>
        <w:t xml:space="preserve"> χαρακτήρα</w:t>
      </w:r>
      <w:r w:rsidR="00E5154E">
        <w:t xml:space="preserve"> </w:t>
      </w:r>
      <w:r w:rsidR="006419A6">
        <w:t xml:space="preserve">είναι απαραίτητη </w:t>
      </w:r>
      <w:r w:rsidR="00C67B85">
        <w:t>εφόσον έχει συντελεστεί η παραβίαση</w:t>
      </w:r>
      <w:r w:rsidR="00E5154E">
        <w:rPr>
          <w:rStyle w:val="a7"/>
        </w:rPr>
        <w:footnoteReference w:id="49"/>
      </w:r>
      <w:r w:rsidR="00E5154E">
        <w:t>.</w:t>
      </w:r>
    </w:p>
    <w:p w14:paraId="1C1B2C1E" w14:textId="4A2773B8" w:rsidR="0076530F" w:rsidRDefault="0076530F" w:rsidP="0076530F">
      <w:pPr>
        <w:spacing w:before="120" w:after="120" w:line="360" w:lineRule="auto"/>
        <w:ind w:firstLine="720"/>
      </w:pPr>
      <w:r>
        <w:t xml:space="preserve">Παράλληλα, το Δικαστήριο </w:t>
      </w:r>
      <w:r w:rsidR="009A0D11">
        <w:t xml:space="preserve">όρισε </w:t>
      </w:r>
      <w:r w:rsidR="00A347E7">
        <w:t xml:space="preserve">τις </w:t>
      </w:r>
      <w:r w:rsidR="00A347E7" w:rsidRPr="00931742">
        <w:rPr>
          <w:b/>
          <w:bCs/>
        </w:rPr>
        <w:t>προϋποθέσεις</w:t>
      </w:r>
      <w:r w:rsidR="00A347E7">
        <w:t xml:space="preserve"> που απαιτείται να πληροί μια </w:t>
      </w:r>
      <w:r w:rsidR="00A347E7" w:rsidRPr="00931742">
        <w:rPr>
          <w:b/>
          <w:bCs/>
        </w:rPr>
        <w:t xml:space="preserve">προσφυγή </w:t>
      </w:r>
      <w:proofErr w:type="spellStart"/>
      <w:r w:rsidR="00A347E7" w:rsidRPr="00931742">
        <w:rPr>
          <w:b/>
          <w:bCs/>
        </w:rPr>
        <w:t>αποζημιωτικού</w:t>
      </w:r>
      <w:proofErr w:type="spellEnd"/>
      <w:r w:rsidR="00A347E7" w:rsidRPr="00931742">
        <w:rPr>
          <w:b/>
          <w:bCs/>
        </w:rPr>
        <w:t xml:space="preserve"> χαρακτήρα</w:t>
      </w:r>
      <w:r w:rsidR="00A347E7">
        <w:t xml:space="preserve">, προκειμένου να είναι αποτελεσματική και, κατ’ επέκταση, σύμφωνη με τις επιταγές του άρθρου 13 της Σύμβασης. Έτσι, σύμφωνα με το Δικαστήριο, </w:t>
      </w:r>
      <w:r w:rsidR="00931742" w:rsidRPr="0057634D">
        <w:rPr>
          <w:b/>
          <w:bCs/>
        </w:rPr>
        <w:t>α)</w:t>
      </w:r>
      <w:r w:rsidR="00931742">
        <w:t xml:space="preserve"> η προσφυγή πρέπει να </w:t>
      </w:r>
      <w:r w:rsidR="00931742" w:rsidRPr="0057634D">
        <w:rPr>
          <w:b/>
          <w:bCs/>
        </w:rPr>
        <w:t>εξετάζεται</w:t>
      </w:r>
      <w:r w:rsidR="00931742">
        <w:t xml:space="preserve"> εντός σύντομου χρονικού διαστήματος, </w:t>
      </w:r>
      <w:r w:rsidR="00931742" w:rsidRPr="0057634D">
        <w:rPr>
          <w:b/>
          <w:bCs/>
        </w:rPr>
        <w:t>β)</w:t>
      </w:r>
      <w:r w:rsidR="00931742">
        <w:t xml:space="preserve"> </w:t>
      </w:r>
      <w:r w:rsidR="000D181E">
        <w:t>η επιδικασθείσα αποζημίωση πρέπει να</w:t>
      </w:r>
      <w:r w:rsidR="00272833">
        <w:t xml:space="preserve"> είναι εύλογη και να</w:t>
      </w:r>
      <w:r w:rsidR="000D181E">
        <w:t xml:space="preserve"> </w:t>
      </w:r>
      <w:r w:rsidR="000D181E" w:rsidRPr="0057634D">
        <w:rPr>
          <w:b/>
          <w:bCs/>
        </w:rPr>
        <w:t>καταβάλλεται</w:t>
      </w:r>
      <w:r w:rsidR="000D181E">
        <w:t xml:space="preserve"> άμεσα από το κράτος </w:t>
      </w:r>
      <w:r w:rsidR="00710AC3">
        <w:t xml:space="preserve">και, </w:t>
      </w:r>
      <w:r w:rsidR="00302D05">
        <w:t xml:space="preserve">δη, </w:t>
      </w:r>
      <w:r w:rsidR="00710AC3">
        <w:t xml:space="preserve">όχι αργότερα από έξι μήνες από την ημέρα έκδοσης της απόφασης που την επιδικάζει, </w:t>
      </w:r>
      <w:r w:rsidR="00710AC3" w:rsidRPr="0057634D">
        <w:rPr>
          <w:b/>
          <w:bCs/>
        </w:rPr>
        <w:t>γ)</w:t>
      </w:r>
      <w:r w:rsidR="00710AC3">
        <w:t xml:space="preserve"> </w:t>
      </w:r>
      <w:r w:rsidR="00E93041">
        <w:t>οι κανόνες της διαδικασίας που ρυθμίζουν τη σχετική προσφυ</w:t>
      </w:r>
      <w:r w:rsidR="00DE0061">
        <w:t xml:space="preserve">γή πρέπει να συμβαδίζουν με τις εγγυήσεις της </w:t>
      </w:r>
      <w:r w:rsidR="00DE0061" w:rsidRPr="0057634D">
        <w:rPr>
          <w:b/>
          <w:bCs/>
        </w:rPr>
        <w:t>δίκαιης δίκης</w:t>
      </w:r>
      <w:r w:rsidR="00DE0061">
        <w:t xml:space="preserve"> και</w:t>
      </w:r>
      <w:r w:rsidR="00302D05">
        <w:t>, τέλος,</w:t>
      </w:r>
      <w:r w:rsidR="00DE0061">
        <w:t xml:space="preserve"> </w:t>
      </w:r>
      <w:r w:rsidR="00DE0061" w:rsidRPr="0057634D">
        <w:rPr>
          <w:b/>
          <w:bCs/>
        </w:rPr>
        <w:t>δ)</w:t>
      </w:r>
      <w:r w:rsidR="00302D05">
        <w:t xml:space="preserve"> να αποφεύγεται </w:t>
      </w:r>
      <w:r w:rsidR="0057634D">
        <w:t xml:space="preserve">η επιβολή μεγάλων ποσών </w:t>
      </w:r>
      <w:r w:rsidR="0057634D" w:rsidRPr="0057634D">
        <w:rPr>
          <w:b/>
          <w:bCs/>
        </w:rPr>
        <w:t>δικαστικών εξόδων</w:t>
      </w:r>
      <w:r w:rsidR="0057634D">
        <w:t>, που μπορεί να αποτελέσουν εμπόδιο στην άσκησή της</w:t>
      </w:r>
      <w:r w:rsidR="00882D3A">
        <w:rPr>
          <w:rStyle w:val="a7"/>
        </w:rPr>
        <w:footnoteReference w:id="50"/>
      </w:r>
      <w:r w:rsidR="0057634D">
        <w:t xml:space="preserve">. </w:t>
      </w:r>
    </w:p>
    <w:p w14:paraId="5DB0EFDC" w14:textId="3971CD7C" w:rsidR="003A5EB9" w:rsidRDefault="00D152DA" w:rsidP="00107677">
      <w:pPr>
        <w:spacing w:before="120" w:after="120" w:line="360" w:lineRule="auto"/>
      </w:pPr>
      <w:r>
        <w:tab/>
      </w:r>
      <w:r w:rsidR="00712913">
        <w:t xml:space="preserve"> </w:t>
      </w:r>
      <w:r w:rsidR="00D56550">
        <w:t>Παρόμοι</w:t>
      </w:r>
      <w:r w:rsidR="00941EE9">
        <w:t>ες</w:t>
      </w:r>
      <w:r w:rsidR="00D56550">
        <w:t xml:space="preserve"> </w:t>
      </w:r>
      <w:r w:rsidR="00A60DD3">
        <w:t xml:space="preserve">με την ανωτέρω </w:t>
      </w:r>
      <w:r w:rsidR="00D56550">
        <w:t xml:space="preserve">είναι </w:t>
      </w:r>
      <w:r w:rsidR="00A34A23">
        <w:t xml:space="preserve">και </w:t>
      </w:r>
      <w:r w:rsidR="00941EE9">
        <w:t>οι</w:t>
      </w:r>
      <w:r w:rsidR="00D56550">
        <w:t xml:space="preserve"> </w:t>
      </w:r>
      <w:r w:rsidR="00941EE9">
        <w:t>περιπτώσεις των</w:t>
      </w:r>
      <w:r w:rsidR="00D56550">
        <w:t xml:space="preserve"> ελληνικού ενδιαφέροντος </w:t>
      </w:r>
      <w:r w:rsidR="00941EE9">
        <w:t xml:space="preserve">υποθέσεων </w:t>
      </w:r>
      <w:proofErr w:type="spellStart"/>
      <w:r w:rsidR="00D56550" w:rsidRPr="00D56550">
        <w:rPr>
          <w:b/>
          <w:bCs/>
          <w:i/>
          <w:iCs/>
        </w:rPr>
        <w:t>Μιχελιουδάκης</w:t>
      </w:r>
      <w:proofErr w:type="spellEnd"/>
      <w:r w:rsidR="00D56550" w:rsidRPr="00D56550">
        <w:rPr>
          <w:b/>
          <w:bCs/>
          <w:i/>
          <w:iCs/>
        </w:rPr>
        <w:t xml:space="preserve"> κατά Ελλάδ</w:t>
      </w:r>
      <w:r w:rsidR="00C074E8">
        <w:rPr>
          <w:b/>
          <w:bCs/>
          <w:i/>
          <w:iCs/>
        </w:rPr>
        <w:t>α</w:t>
      </w:r>
      <w:r w:rsidR="00D56550" w:rsidRPr="00D56550">
        <w:rPr>
          <w:b/>
          <w:bCs/>
          <w:i/>
          <w:iCs/>
        </w:rPr>
        <w:t>ς</w:t>
      </w:r>
      <w:r w:rsidR="00C074E8" w:rsidRPr="00481750">
        <w:rPr>
          <w:rStyle w:val="a7"/>
          <w:i/>
          <w:iCs/>
        </w:rPr>
        <w:footnoteReference w:id="51"/>
      </w:r>
      <w:r w:rsidR="00D90D95">
        <w:rPr>
          <w:i/>
          <w:iCs/>
        </w:rPr>
        <w:t xml:space="preserve"> </w:t>
      </w:r>
      <w:r w:rsidR="00941EE9">
        <w:t xml:space="preserve">και </w:t>
      </w:r>
      <w:proofErr w:type="spellStart"/>
      <w:r w:rsidR="00C074E8">
        <w:rPr>
          <w:b/>
          <w:bCs/>
          <w:i/>
          <w:iCs/>
        </w:rPr>
        <w:t>Γλύκαντζη</w:t>
      </w:r>
      <w:proofErr w:type="spellEnd"/>
      <w:r w:rsidR="00C074E8">
        <w:rPr>
          <w:b/>
          <w:bCs/>
          <w:i/>
          <w:iCs/>
        </w:rPr>
        <w:t xml:space="preserve"> κατά Ελλάδας</w:t>
      </w:r>
      <w:r w:rsidR="0021427D" w:rsidRPr="00481750">
        <w:rPr>
          <w:rStyle w:val="a7"/>
          <w:i/>
          <w:iCs/>
        </w:rPr>
        <w:footnoteReference w:id="52"/>
      </w:r>
      <w:r w:rsidR="00481750" w:rsidRPr="00481750">
        <w:t>,</w:t>
      </w:r>
      <w:r w:rsidR="00481750">
        <w:t xml:space="preserve"> </w:t>
      </w:r>
      <w:r w:rsidR="005B073B">
        <w:t>οι οποίες αφορούσαν</w:t>
      </w:r>
      <w:r w:rsidR="006864B6" w:rsidRPr="006864B6">
        <w:t xml:space="preserve"> στην υπέρβαση της εύλογης διάρκειας της δίκης</w:t>
      </w:r>
      <w:r w:rsidR="002A2ACB">
        <w:t xml:space="preserve"> και στις οποίες </w:t>
      </w:r>
      <w:r w:rsidR="00481750">
        <w:t>το Δικαστήριο</w:t>
      </w:r>
      <w:r w:rsidR="002834A1">
        <w:t xml:space="preserve"> υπενθύμισε</w:t>
      </w:r>
      <w:r w:rsidR="005B073B">
        <w:t>, μεταξύ άλλων,</w:t>
      </w:r>
      <w:r w:rsidR="002834A1">
        <w:t xml:space="preserve"> ότι </w:t>
      </w:r>
      <w:r w:rsidR="00F0640E">
        <w:t xml:space="preserve">ένα ένδικο βοήθημα </w:t>
      </w:r>
      <w:r w:rsidR="00A073CE">
        <w:t xml:space="preserve">με χαρακτήρα αμιγώς </w:t>
      </w:r>
      <w:proofErr w:type="spellStart"/>
      <w:r w:rsidR="00A073CE">
        <w:t>αποζημιωτικό</w:t>
      </w:r>
      <w:proofErr w:type="spellEnd"/>
      <w:r w:rsidR="00A073CE">
        <w:t xml:space="preserve"> </w:t>
      </w:r>
      <w:r w:rsidR="009C4FBD">
        <w:t>μπορεί να συνιστά αποτελεσματική προσφυγή</w:t>
      </w:r>
      <w:r w:rsidR="00A60A05">
        <w:t xml:space="preserve"> κατά το άρθρο 13 της Σύμβασης</w:t>
      </w:r>
      <w:r w:rsidR="001670D0">
        <w:t xml:space="preserve">, καταλήγοντας </w:t>
      </w:r>
      <w:r w:rsidR="00A13ED4">
        <w:t>στο συμπέρασμα</w:t>
      </w:r>
      <w:r w:rsidR="00D31E23">
        <w:t xml:space="preserve"> ότι και η αγωγή για την ευθύνη του Δημοσίου</w:t>
      </w:r>
      <w:r w:rsidR="00A13ED4">
        <w:t>,</w:t>
      </w:r>
      <w:r w:rsidR="00D31E23">
        <w:t xml:space="preserve"> κατά τα άρθρα 104 και 105 </w:t>
      </w:r>
      <w:proofErr w:type="spellStart"/>
      <w:r w:rsidR="00D31E23">
        <w:t>ΕισΝΑΚ</w:t>
      </w:r>
      <w:proofErr w:type="spellEnd"/>
      <w:r w:rsidR="00A13ED4">
        <w:t>,</w:t>
      </w:r>
      <w:r w:rsidR="00D31E23">
        <w:t xml:space="preserve"> μπορεί, κατ’ αρχήν να αποτελεί </w:t>
      </w:r>
      <w:r w:rsidR="002E3C23">
        <w:t>αποτελεσματικό</w:t>
      </w:r>
      <w:r w:rsidR="00D31E23">
        <w:t xml:space="preserve"> </w:t>
      </w:r>
      <w:r w:rsidR="002E3C23">
        <w:t xml:space="preserve">ένδικο </w:t>
      </w:r>
      <w:r w:rsidR="001670D0">
        <w:t>βοήθημα</w:t>
      </w:r>
      <w:r w:rsidR="002E3C23">
        <w:t xml:space="preserve">. </w:t>
      </w:r>
      <w:r w:rsidR="00D31E23">
        <w:t xml:space="preserve"> </w:t>
      </w:r>
      <w:r w:rsidR="00860E76">
        <w:t xml:space="preserve"> </w:t>
      </w:r>
      <w:r w:rsidR="003A5EB9">
        <w:t xml:space="preserve"> </w:t>
      </w:r>
    </w:p>
    <w:p w14:paraId="509B141C" w14:textId="77777777" w:rsidR="00A66537" w:rsidRDefault="00A66537" w:rsidP="00107677">
      <w:pPr>
        <w:spacing w:before="120" w:after="120" w:line="360" w:lineRule="auto"/>
      </w:pPr>
    </w:p>
    <w:p w14:paraId="5439FEF3" w14:textId="77777777" w:rsidR="00A66537" w:rsidRPr="00A66537" w:rsidRDefault="00A66537" w:rsidP="00A66537">
      <w:pPr>
        <w:pStyle w:val="3"/>
        <w:spacing w:before="120" w:after="120" w:line="360" w:lineRule="auto"/>
      </w:pPr>
      <w:bookmarkStart w:id="13" w:name="_Toc166060925"/>
      <w:r w:rsidRPr="00A66537">
        <w:lastRenderedPageBreak/>
        <w:t>Συνολική θεώρηση διαθέσιμων προσφυγών</w:t>
      </w:r>
      <w:bookmarkEnd w:id="13"/>
    </w:p>
    <w:p w14:paraId="2BE390E2" w14:textId="0D1E0DCE" w:rsidR="00A66537" w:rsidRDefault="00632163" w:rsidP="001670D0">
      <w:pPr>
        <w:spacing w:before="120" w:after="120" w:line="360" w:lineRule="auto"/>
        <w:ind w:firstLine="720"/>
      </w:pPr>
      <w:r>
        <w:t>Π</w:t>
      </w:r>
      <w:r w:rsidRPr="00A66537">
        <w:t xml:space="preserve">άντως, </w:t>
      </w:r>
      <w:r w:rsidR="005B073B">
        <w:t xml:space="preserve">γίνεται δεκτό ότι, </w:t>
      </w:r>
      <w:r>
        <w:t>α</w:t>
      </w:r>
      <w:r w:rsidR="00A66537" w:rsidRPr="00A66537">
        <w:t xml:space="preserve">κόμη και αν ένα μεμονωμένο ένδικο βοήθημα δεν πληροί από μόνο τους τις προϋποθέσεις </w:t>
      </w:r>
      <w:r w:rsidR="00DF730B">
        <w:t>της αποτελεσματικότητας</w:t>
      </w:r>
      <w:r w:rsidR="00A66537" w:rsidRPr="00A66537">
        <w:t>, ήτοι δεν παρέχει επαρκή επανόρθωση</w:t>
      </w:r>
      <w:r>
        <w:t xml:space="preserve"> για την επικαλούμενη παραβίαση</w:t>
      </w:r>
      <w:r w:rsidR="00A66537" w:rsidRPr="00A66537">
        <w:t>,</w:t>
      </w:r>
      <w:r w:rsidR="005B073B">
        <w:t xml:space="preserve"> δεν συνεπάγεται την άνευ ετέρου παραβίαση της, κατ’ άρθρο 13 της Σύμβασης, απαίτησης περί αποτελεσματικότητας, στο μέτρο που είναι </w:t>
      </w:r>
      <w:r w:rsidR="00A66537" w:rsidRPr="00A66537">
        <w:t xml:space="preserve">δυνατόν η απαίτηση </w:t>
      </w:r>
      <w:r w:rsidR="005B073B">
        <w:t>αυτή</w:t>
      </w:r>
      <w:r w:rsidR="001670D0">
        <w:t xml:space="preserve"> </w:t>
      </w:r>
      <w:r w:rsidR="00A66537" w:rsidRPr="00A66537">
        <w:t xml:space="preserve">να ικανοποιείται από το </w:t>
      </w:r>
      <w:r w:rsidR="00A66537" w:rsidRPr="00A66537">
        <w:rPr>
          <w:b/>
          <w:bCs/>
        </w:rPr>
        <w:t>σύνολο των ενδίκων βοηθημάτων</w:t>
      </w:r>
      <w:r w:rsidR="00A66537" w:rsidRPr="00A66537">
        <w:t xml:space="preserve"> που παρέχει η εθνική νομοθεσία</w:t>
      </w:r>
      <w:r w:rsidR="00A66537" w:rsidRPr="00A66537">
        <w:rPr>
          <w:vertAlign w:val="superscript"/>
        </w:rPr>
        <w:footnoteReference w:id="53"/>
      </w:r>
      <w:r w:rsidR="00A66537" w:rsidRPr="00A66537">
        <w:t>.</w:t>
      </w:r>
    </w:p>
    <w:p w14:paraId="4C246809" w14:textId="77777777" w:rsidR="00B84C62" w:rsidRPr="00481750" w:rsidRDefault="00B84C62" w:rsidP="00B84C62">
      <w:pPr>
        <w:spacing w:before="120" w:after="120" w:line="360" w:lineRule="auto"/>
      </w:pPr>
    </w:p>
    <w:p w14:paraId="53FA2714" w14:textId="2DC7E014" w:rsidR="00E52EA8" w:rsidRDefault="0035257F" w:rsidP="0035257F">
      <w:pPr>
        <w:pStyle w:val="3"/>
        <w:spacing w:before="120" w:after="120" w:line="360" w:lineRule="auto"/>
      </w:pPr>
      <w:bookmarkStart w:id="14" w:name="_Toc166060926"/>
      <w:r>
        <w:t xml:space="preserve">Λήψη υπόψη των προσφυγών που </w:t>
      </w:r>
      <w:r w:rsidR="00675EA7">
        <w:t>ήταν διαθέσιμες</w:t>
      </w:r>
      <w:r>
        <w:t xml:space="preserve"> κατά το επίμαχο χρονικό διάστημα</w:t>
      </w:r>
      <w:bookmarkEnd w:id="14"/>
    </w:p>
    <w:p w14:paraId="12DB53BF" w14:textId="4B3F3389" w:rsidR="00DF730B" w:rsidRDefault="0035257F" w:rsidP="0035257F">
      <w:pPr>
        <w:spacing w:before="120" w:after="120" w:line="360" w:lineRule="auto"/>
      </w:pPr>
      <w:r>
        <w:tab/>
        <w:t xml:space="preserve">Η </w:t>
      </w:r>
      <w:r w:rsidR="00D60614">
        <w:t>αποτελεσματικότητα</w:t>
      </w:r>
      <w:r>
        <w:t xml:space="preserve"> δε του εκάστοτε ενδίκου βοηθήματος κρίνεται, όπως είναι λογικό, από </w:t>
      </w:r>
      <w:r w:rsidR="004D49EC">
        <w:t xml:space="preserve">το </w:t>
      </w:r>
      <w:r w:rsidR="004D49EC" w:rsidRPr="00DE0FBB">
        <w:rPr>
          <w:b/>
          <w:bCs/>
        </w:rPr>
        <w:t xml:space="preserve">αν αυτό ήταν διαθέσιμο κατά τη </w:t>
      </w:r>
      <w:r w:rsidR="00934CAA" w:rsidRPr="00DE0FBB">
        <w:rPr>
          <w:b/>
          <w:bCs/>
        </w:rPr>
        <w:t>στιγμή που έλαβε χώρα η προσβολή</w:t>
      </w:r>
      <w:r w:rsidR="00934CAA">
        <w:t xml:space="preserve"> του συμ</w:t>
      </w:r>
      <w:r w:rsidR="005B073B">
        <w:t>βατικού δικαιώματος, δίχως, δηλαδή, να ενδιαφέρει</w:t>
      </w:r>
      <w:r w:rsidR="00934CAA">
        <w:t xml:space="preserve"> αν</w:t>
      </w:r>
      <w:r w:rsidR="00F42FC6">
        <w:t>, κατόπιν</w:t>
      </w:r>
      <w:r w:rsidR="00DE0FBB">
        <w:t xml:space="preserve"> τούτης</w:t>
      </w:r>
      <w:r w:rsidR="00F42FC6">
        <w:t xml:space="preserve">, </w:t>
      </w:r>
      <w:r w:rsidR="0009388B">
        <w:t xml:space="preserve">κατοχυρώθηκε </w:t>
      </w:r>
      <w:r w:rsidR="00DE0FBB">
        <w:t xml:space="preserve">ως δυνατότητα </w:t>
      </w:r>
      <w:r w:rsidR="0009388B">
        <w:t xml:space="preserve">στο εθνικό δίκαιο ή καθιερώθηκε </w:t>
      </w:r>
      <w:proofErr w:type="spellStart"/>
      <w:r w:rsidR="0009388B">
        <w:t>νομολογιακά</w:t>
      </w:r>
      <w:proofErr w:type="spellEnd"/>
      <w:r w:rsidR="0009388B">
        <w:t xml:space="preserve"> εντός αυτού</w:t>
      </w:r>
      <w:r w:rsidR="005549B8">
        <w:rPr>
          <w:rStyle w:val="a7"/>
        </w:rPr>
        <w:footnoteReference w:id="54"/>
      </w:r>
      <w:r w:rsidR="00DE0FBB">
        <w:t xml:space="preserve">. </w:t>
      </w:r>
    </w:p>
    <w:p w14:paraId="6CC108B4" w14:textId="5D4ADA8A" w:rsidR="0009388B" w:rsidRDefault="0009388B" w:rsidP="0035257F">
      <w:pPr>
        <w:spacing w:before="120" w:after="120" w:line="360" w:lineRule="auto"/>
      </w:pPr>
      <w:r>
        <w:tab/>
        <w:t xml:space="preserve">Για παράδειγμα, στην υπόθεση </w:t>
      </w:r>
      <w:r w:rsidR="005549B8" w:rsidRPr="001F3B65">
        <w:rPr>
          <w:b/>
          <w:bCs/>
          <w:i/>
          <w:iCs/>
          <w:lang w:val="en-US"/>
        </w:rPr>
        <w:t>Ramirez</w:t>
      </w:r>
      <w:r w:rsidR="005549B8" w:rsidRPr="001F3B65">
        <w:rPr>
          <w:b/>
          <w:bCs/>
          <w:i/>
          <w:iCs/>
        </w:rPr>
        <w:t xml:space="preserve"> </w:t>
      </w:r>
      <w:r w:rsidR="005549B8" w:rsidRPr="001F3B65">
        <w:rPr>
          <w:b/>
          <w:bCs/>
          <w:i/>
          <w:iCs/>
          <w:lang w:val="en-US"/>
        </w:rPr>
        <w:t>Sanche</w:t>
      </w:r>
      <w:r w:rsidR="001F3B65" w:rsidRPr="001F3B65">
        <w:rPr>
          <w:b/>
          <w:bCs/>
          <w:i/>
          <w:iCs/>
          <w:lang w:val="en-US"/>
        </w:rPr>
        <w:t>z</w:t>
      </w:r>
      <w:r w:rsidR="001F3B65" w:rsidRPr="001F3B65">
        <w:rPr>
          <w:b/>
          <w:bCs/>
          <w:i/>
          <w:iCs/>
        </w:rPr>
        <w:t xml:space="preserve"> κατά Γαλλίας</w:t>
      </w:r>
      <w:r w:rsidR="001F3B65" w:rsidRPr="00BE4ECF">
        <w:t>,</w:t>
      </w:r>
      <w:r w:rsidR="002B7F11">
        <w:rPr>
          <w:i/>
          <w:iCs/>
        </w:rPr>
        <w:t xml:space="preserve"> </w:t>
      </w:r>
      <w:r w:rsidR="002B7F11">
        <w:t xml:space="preserve">το Δικαστήριο </w:t>
      </w:r>
      <w:proofErr w:type="spellStart"/>
      <w:r w:rsidR="002B7F11">
        <w:t>απεφάνθη</w:t>
      </w:r>
      <w:proofErr w:type="spellEnd"/>
      <w:r w:rsidR="002B7F11">
        <w:t xml:space="preserve"> ότι </w:t>
      </w:r>
      <w:r w:rsidR="00530A24" w:rsidRPr="00530A24">
        <w:t>η μεταβολή της ν</w:t>
      </w:r>
      <w:r w:rsidR="0076473F">
        <w:t>ομ</w:t>
      </w:r>
      <w:r w:rsidR="00530A24" w:rsidRPr="00530A24">
        <w:t>ολογίας</w:t>
      </w:r>
      <w:r w:rsidR="00976099">
        <w:t xml:space="preserve"> και η ανάθεση της αρμοδιότητας εξέτασης της προσφυγής στο Δικαστήριο</w:t>
      </w:r>
      <w:r w:rsidR="00530A24" w:rsidRPr="00530A24">
        <w:t xml:space="preserve">, η οποία θα έπρεπε να γνωστοποιηθεί στο κοινό, δεν είχε σε </w:t>
      </w:r>
      <w:r w:rsidR="00083820" w:rsidRPr="00530A24">
        <w:t>καμία</w:t>
      </w:r>
      <w:r w:rsidR="00530A24" w:rsidRPr="00530A24">
        <w:t xml:space="preserve"> περίπτωση </w:t>
      </w:r>
      <w:r w:rsidR="00083820" w:rsidRPr="00530A24">
        <w:t>αναδρομική</w:t>
      </w:r>
      <w:r w:rsidR="00530A24" w:rsidRPr="00530A24">
        <w:t xml:space="preserve"> ισχύ και δεν θα </w:t>
      </w:r>
      <w:r w:rsidR="00083820" w:rsidRPr="00530A24">
        <w:t>μπορούσε</w:t>
      </w:r>
      <w:r w:rsidR="00530A24" w:rsidRPr="00530A24">
        <w:t xml:space="preserve"> να επηρεάσει τη θέση </w:t>
      </w:r>
      <w:r w:rsidR="00083820">
        <w:t>του προσφεύγοντος κρατουμένου</w:t>
      </w:r>
      <w:r w:rsidR="0076473F">
        <w:rPr>
          <w:rStyle w:val="a7"/>
        </w:rPr>
        <w:footnoteReference w:id="55"/>
      </w:r>
      <w:r w:rsidR="0076473F">
        <w:t xml:space="preserve">. </w:t>
      </w:r>
    </w:p>
    <w:p w14:paraId="3C67946E" w14:textId="636182B0" w:rsidR="001670D0" w:rsidRPr="00447C2D" w:rsidRDefault="001670D0" w:rsidP="0035257F">
      <w:pPr>
        <w:spacing w:before="120" w:after="120" w:line="360" w:lineRule="auto"/>
      </w:pPr>
      <w:r>
        <w:tab/>
        <w:t xml:space="preserve">Αντίστοιχα, στις υποθέσεις </w:t>
      </w:r>
      <w:r w:rsidR="009571B9" w:rsidRPr="00447C2D">
        <w:rPr>
          <w:b/>
          <w:bCs/>
          <w:i/>
          <w:iCs/>
        </w:rPr>
        <w:t>Παπαγεωργίου κατά Ελλάδας</w:t>
      </w:r>
      <w:r w:rsidR="00ED7753">
        <w:rPr>
          <w:rStyle w:val="a7"/>
          <w:b/>
          <w:bCs/>
          <w:i/>
          <w:iCs/>
        </w:rPr>
        <w:footnoteReference w:id="56"/>
      </w:r>
      <w:r w:rsidR="009571B9">
        <w:t xml:space="preserve"> και </w:t>
      </w:r>
      <w:proofErr w:type="spellStart"/>
      <w:r w:rsidR="00447C2D" w:rsidRPr="00447C2D">
        <w:rPr>
          <w:b/>
          <w:bCs/>
          <w:i/>
          <w:iCs/>
          <w:lang w:val="en-US"/>
        </w:rPr>
        <w:t>Firat</w:t>
      </w:r>
      <w:proofErr w:type="spellEnd"/>
      <w:r w:rsidR="00447C2D" w:rsidRPr="00447C2D">
        <w:rPr>
          <w:b/>
          <w:bCs/>
          <w:i/>
          <w:iCs/>
        </w:rPr>
        <w:t xml:space="preserve"> κατά Ελλάδας</w:t>
      </w:r>
      <w:r w:rsidR="00282140">
        <w:rPr>
          <w:rStyle w:val="a7"/>
          <w:b/>
          <w:bCs/>
          <w:i/>
          <w:iCs/>
        </w:rPr>
        <w:footnoteReference w:id="57"/>
      </w:r>
      <w:r w:rsidR="00447C2D">
        <w:t xml:space="preserve">, </w:t>
      </w:r>
      <w:r w:rsidR="00A17B3C">
        <w:t>διαπιστώθηκε παραβίαση του άρθρου 13 της Σύμβασης, διότι</w:t>
      </w:r>
      <w:r w:rsidR="00ED7753">
        <w:t>,</w:t>
      </w:r>
      <w:r w:rsidR="00A17B3C">
        <w:t xml:space="preserve"> κατά τον χρόνο </w:t>
      </w:r>
      <w:r w:rsidR="009C1FC4">
        <w:t xml:space="preserve">που έλαβαν χώρα τα επίδικα πραγματικά περιστατικά και η </w:t>
      </w:r>
      <w:proofErr w:type="spellStart"/>
      <w:r w:rsidR="009C1FC4">
        <w:t>προβληθείσα</w:t>
      </w:r>
      <w:proofErr w:type="spellEnd"/>
      <w:r w:rsidR="009C1FC4">
        <w:t xml:space="preserve"> παραβίαση του δικαιώματος </w:t>
      </w:r>
      <w:r w:rsidR="00887286">
        <w:t xml:space="preserve">δίκης εντός εύλογου χρονικού διαστήματος, </w:t>
      </w:r>
      <w:r w:rsidR="00887286" w:rsidRPr="00ED7753">
        <w:rPr>
          <w:b/>
          <w:bCs/>
        </w:rPr>
        <w:t>δεν είχε τεθεί, ακόμη, σε ισχύ</w:t>
      </w:r>
      <w:r w:rsidR="00887286">
        <w:t xml:space="preserve"> ο νόμος 4239/2014</w:t>
      </w:r>
      <w:r w:rsidR="00ED7753">
        <w:t xml:space="preserve">, αλλά ούτε και είχε αναδρομική ισχύ, ώστε να εφαρμοστεί στους προσφεύγοντες. </w:t>
      </w:r>
    </w:p>
    <w:p w14:paraId="5390697F" w14:textId="77777777" w:rsidR="00F54099" w:rsidRDefault="00F54099" w:rsidP="0035257F">
      <w:pPr>
        <w:spacing w:before="120" w:after="120" w:line="360" w:lineRule="auto"/>
      </w:pPr>
    </w:p>
    <w:p w14:paraId="6B1B8314" w14:textId="3A325FB2" w:rsidR="0056002D" w:rsidRDefault="0056002D" w:rsidP="00245952">
      <w:pPr>
        <w:pStyle w:val="3"/>
        <w:spacing w:before="120" w:after="120" w:line="360" w:lineRule="auto"/>
      </w:pPr>
      <w:bookmarkStart w:id="15" w:name="_Toc166060927"/>
      <w:r>
        <w:lastRenderedPageBreak/>
        <w:t xml:space="preserve">Αυστηρές προϋποθέσεις </w:t>
      </w:r>
      <w:r w:rsidR="00245952">
        <w:t>παραδεκτού</w:t>
      </w:r>
      <w:bookmarkEnd w:id="15"/>
    </w:p>
    <w:p w14:paraId="59E424D2" w14:textId="62A52102" w:rsidR="006F6C85" w:rsidRDefault="00C11AD6" w:rsidP="00245952">
      <w:pPr>
        <w:spacing w:before="120" w:after="120" w:line="360" w:lineRule="auto"/>
      </w:pPr>
      <w:r>
        <w:tab/>
      </w:r>
      <w:r w:rsidR="00814459">
        <w:t>Η</w:t>
      </w:r>
      <w:r>
        <w:t xml:space="preserve"> διαθέσιμη προσφυγή πρέπει, να είναι</w:t>
      </w:r>
      <w:r w:rsidR="00814459">
        <w:t>, επιπλέον,</w:t>
      </w:r>
      <w:r>
        <w:t xml:space="preserve"> </w:t>
      </w:r>
      <w:r w:rsidRPr="00C11AD6">
        <w:rPr>
          <w:b/>
          <w:bCs/>
        </w:rPr>
        <w:t>προσιτή</w:t>
      </w:r>
      <w:r>
        <w:t xml:space="preserve"> στα πρόσωπα που ισχυρίζονται ότι έχουν υποστεί την προβαλλόμενη προσβολή</w:t>
      </w:r>
      <w:r w:rsidR="00EC2361">
        <w:rPr>
          <w:rStyle w:val="a7"/>
        </w:rPr>
        <w:footnoteReference w:id="58"/>
      </w:r>
      <w:r>
        <w:t xml:space="preserve">.  </w:t>
      </w:r>
      <w:r w:rsidR="009365C5">
        <w:t xml:space="preserve">Τούτο σημαίνει ότι </w:t>
      </w:r>
      <w:r w:rsidR="00BC4C82">
        <w:t xml:space="preserve">η </w:t>
      </w:r>
      <w:r w:rsidR="00BC4C82" w:rsidRPr="00605AA6">
        <w:rPr>
          <w:b/>
          <w:bCs/>
        </w:rPr>
        <w:t xml:space="preserve">πρόβλεψη αυστηρών προϋποθέσεων </w:t>
      </w:r>
      <w:r w:rsidR="00FA080A" w:rsidRPr="00605AA6">
        <w:rPr>
          <w:b/>
          <w:bCs/>
        </w:rPr>
        <w:t>παραδεκτ</w:t>
      </w:r>
      <w:r w:rsidR="00605AA6">
        <w:rPr>
          <w:b/>
          <w:bCs/>
        </w:rPr>
        <w:t>ού</w:t>
      </w:r>
      <w:r w:rsidR="00FA080A">
        <w:t xml:space="preserve"> της</w:t>
      </w:r>
      <w:r w:rsidR="00BC4C82">
        <w:t xml:space="preserve"> άσκησή</w:t>
      </w:r>
      <w:r w:rsidR="00FA080A">
        <w:t>ς</w:t>
      </w:r>
      <w:r w:rsidR="00BC4C82">
        <w:t xml:space="preserve"> της π</w:t>
      </w:r>
      <w:r w:rsidR="00FA080A">
        <w:t xml:space="preserve">.χ. </w:t>
      </w:r>
      <w:r w:rsidR="00B52E1B">
        <w:t>ως προς τη θεμελίωση του εννόμου συμφέροντος</w:t>
      </w:r>
      <w:r w:rsidR="00E754FA">
        <w:t xml:space="preserve"> ή τους όρους </w:t>
      </w:r>
      <w:r w:rsidR="00B52E1B">
        <w:t>τη</w:t>
      </w:r>
      <w:r w:rsidR="00E754FA">
        <w:t>ς</w:t>
      </w:r>
      <w:r w:rsidR="00B52E1B">
        <w:t xml:space="preserve"> </w:t>
      </w:r>
      <w:r w:rsidR="00FA080A">
        <w:t>ενεργητική</w:t>
      </w:r>
      <w:r w:rsidR="00E754FA">
        <w:t>ς</w:t>
      </w:r>
      <w:r w:rsidR="00FA080A">
        <w:t xml:space="preserve"> νομιμοποίηση</w:t>
      </w:r>
      <w:r w:rsidR="00E754FA">
        <w:t>ς</w:t>
      </w:r>
      <w:r w:rsidR="00FA080A">
        <w:t xml:space="preserve">, </w:t>
      </w:r>
      <w:r w:rsidR="00E754FA">
        <w:t>μπο</w:t>
      </w:r>
      <w:r w:rsidR="00605AA6">
        <w:t xml:space="preserve">ρεί να </w:t>
      </w:r>
      <w:r w:rsidR="00B03650">
        <w:t xml:space="preserve">την </w:t>
      </w:r>
      <w:r w:rsidR="00605AA6">
        <w:t xml:space="preserve">καταστήσει </w:t>
      </w:r>
      <w:r w:rsidR="00FB12AE">
        <w:t>α</w:t>
      </w:r>
      <w:r w:rsidR="00605AA6">
        <w:t>ναποτελεσματική</w:t>
      </w:r>
      <w:r w:rsidR="008B3B65">
        <w:rPr>
          <w:rStyle w:val="a7"/>
        </w:rPr>
        <w:footnoteReference w:id="59"/>
      </w:r>
      <w:r w:rsidR="00605AA6">
        <w:t>.</w:t>
      </w:r>
    </w:p>
    <w:p w14:paraId="39743936" w14:textId="7FE70D5C" w:rsidR="00CC31F0" w:rsidRDefault="00A60741" w:rsidP="00245952">
      <w:pPr>
        <w:spacing w:before="120" w:after="120" w:line="360" w:lineRule="auto"/>
      </w:pPr>
      <w:r>
        <w:tab/>
        <w:t xml:space="preserve">Το αυτό ισχύει και στην περίπτωση που η άσκησή της </w:t>
      </w:r>
      <w:r w:rsidRPr="00666E60">
        <w:rPr>
          <w:b/>
          <w:bCs/>
        </w:rPr>
        <w:t>παρεμποδίζεται αδικαιολόγητα από πράξεις ή παραλείψεις του κράτους</w:t>
      </w:r>
      <w:r>
        <w:t xml:space="preserve">, όπως συνέβη στην υπόθεση </w:t>
      </w:r>
      <w:r w:rsidR="00CA632B" w:rsidRPr="00CA632B">
        <w:rPr>
          <w:b/>
          <w:bCs/>
          <w:i/>
          <w:iCs/>
          <w:lang w:val="en-US"/>
        </w:rPr>
        <w:t>Paul</w:t>
      </w:r>
      <w:r w:rsidR="00CA632B" w:rsidRPr="00CA632B">
        <w:rPr>
          <w:b/>
          <w:bCs/>
          <w:i/>
          <w:iCs/>
        </w:rPr>
        <w:t xml:space="preserve"> </w:t>
      </w:r>
      <w:r w:rsidR="00CA632B" w:rsidRPr="00CA632B">
        <w:rPr>
          <w:b/>
          <w:bCs/>
          <w:i/>
          <w:iCs/>
          <w:lang w:val="en-US"/>
        </w:rPr>
        <w:t>and</w:t>
      </w:r>
      <w:r w:rsidR="00CA632B" w:rsidRPr="00CA632B">
        <w:rPr>
          <w:b/>
          <w:bCs/>
          <w:i/>
          <w:iCs/>
        </w:rPr>
        <w:t xml:space="preserve"> </w:t>
      </w:r>
      <w:r w:rsidR="00CA632B" w:rsidRPr="00CA632B">
        <w:rPr>
          <w:b/>
          <w:bCs/>
          <w:i/>
          <w:iCs/>
          <w:lang w:val="en-US"/>
        </w:rPr>
        <w:t>Audrey</w:t>
      </w:r>
      <w:r w:rsidR="00CA632B" w:rsidRPr="00CA632B">
        <w:rPr>
          <w:b/>
          <w:bCs/>
          <w:i/>
          <w:iCs/>
        </w:rPr>
        <w:t xml:space="preserve"> </w:t>
      </w:r>
      <w:r w:rsidR="00CA632B" w:rsidRPr="00CA632B">
        <w:rPr>
          <w:b/>
          <w:bCs/>
          <w:i/>
          <w:iCs/>
          <w:lang w:val="en-US"/>
        </w:rPr>
        <w:t>Edwards</w:t>
      </w:r>
      <w:r w:rsidR="00CA632B" w:rsidRPr="00CA632B">
        <w:rPr>
          <w:b/>
          <w:bCs/>
          <w:i/>
          <w:iCs/>
        </w:rPr>
        <w:t xml:space="preserve"> κατά Ηνωμένου Βασιλείου</w:t>
      </w:r>
      <w:r w:rsidR="00C42F7F">
        <w:t>,</w:t>
      </w:r>
      <w:r w:rsidR="00720D61">
        <w:t xml:space="preserve"> η οποία αφορούσε, </w:t>
      </w:r>
      <w:r w:rsidR="00E77BB1">
        <w:t xml:space="preserve">όπως </w:t>
      </w:r>
      <w:proofErr w:type="spellStart"/>
      <w:r w:rsidR="00E77BB1">
        <w:t>προειπώθηκε</w:t>
      </w:r>
      <w:proofErr w:type="spellEnd"/>
      <w:r w:rsidR="00E77BB1">
        <w:t xml:space="preserve">, </w:t>
      </w:r>
      <w:r w:rsidR="00720D61">
        <w:t xml:space="preserve">στην </w:t>
      </w:r>
      <w:r w:rsidR="00E77BB1">
        <w:t xml:space="preserve">παράλειψη των κρατικών αρχών να λάβουν τα απαραίτητα μέτρα για την προστασία του θύματος, αλλά και για τη διερεύνηση της υπόθεσης και την </w:t>
      </w:r>
      <w:proofErr w:type="spellStart"/>
      <w:r w:rsidR="00E77BB1">
        <w:t>τιμώρηση</w:t>
      </w:r>
      <w:proofErr w:type="spellEnd"/>
      <w:r w:rsidR="00E77BB1">
        <w:t xml:space="preserve"> των υπαίτιων προσώπων</w:t>
      </w:r>
      <w:r w:rsidR="00E77BB1">
        <w:rPr>
          <w:rStyle w:val="a7"/>
        </w:rPr>
        <w:footnoteReference w:id="60"/>
      </w:r>
      <w:r w:rsidR="00E77BB1">
        <w:t>.</w:t>
      </w:r>
    </w:p>
    <w:p w14:paraId="200BB938" w14:textId="77777777" w:rsidR="00A8361D" w:rsidRPr="00C42F7F" w:rsidRDefault="00A8361D" w:rsidP="00245952">
      <w:pPr>
        <w:spacing w:before="120" w:after="120" w:line="360" w:lineRule="auto"/>
      </w:pPr>
    </w:p>
    <w:p w14:paraId="0317CAA8" w14:textId="66967F8A" w:rsidR="000C5DAF" w:rsidRDefault="000C5DAF" w:rsidP="000C5DAF">
      <w:pPr>
        <w:pStyle w:val="3"/>
        <w:spacing w:before="120" w:after="120" w:line="360" w:lineRule="auto"/>
      </w:pPr>
      <w:bookmarkStart w:id="16" w:name="_Toc166060928"/>
      <w:r>
        <w:t>Εξέταση της προσφυγής επί της ουσίας</w:t>
      </w:r>
      <w:r w:rsidR="007D156E">
        <w:t xml:space="preserve"> και με την πρέπουσα ταχύτητα</w:t>
      </w:r>
      <w:bookmarkEnd w:id="16"/>
    </w:p>
    <w:p w14:paraId="0F694C28" w14:textId="36A25376" w:rsidR="00E22DC9" w:rsidRDefault="000C5DAF" w:rsidP="000C5DAF">
      <w:pPr>
        <w:spacing w:before="120" w:after="120" w:line="360" w:lineRule="auto"/>
        <w:ind w:firstLine="720"/>
      </w:pPr>
      <w:r>
        <w:t xml:space="preserve">Περαιτέρω, για την </w:t>
      </w:r>
      <w:r w:rsidR="0093130E">
        <w:t>αποτελεσματικότητ</w:t>
      </w:r>
      <w:r w:rsidR="00334AE4">
        <w:t>α της διαθέσιμης προσφυγής</w:t>
      </w:r>
      <w:r w:rsidR="0093130E">
        <w:t xml:space="preserve"> προϋποτίθεται </w:t>
      </w:r>
      <w:r w:rsidRPr="000C5DAF">
        <w:t xml:space="preserve">και </w:t>
      </w:r>
      <w:r w:rsidR="0093130E">
        <w:t>η</w:t>
      </w:r>
      <w:r w:rsidR="00813DE3">
        <w:t xml:space="preserve"> δυνατότητα</w:t>
      </w:r>
      <w:r w:rsidR="005B073B">
        <w:t xml:space="preserve"> της</w:t>
      </w:r>
      <w:r w:rsidRPr="000C5DAF">
        <w:t xml:space="preserve"> </w:t>
      </w:r>
      <w:r w:rsidRPr="000C5DAF">
        <w:rPr>
          <w:b/>
          <w:bCs/>
        </w:rPr>
        <w:t>επί της ουσίας εξέτασή</w:t>
      </w:r>
      <w:r w:rsidR="00813DE3">
        <w:rPr>
          <w:b/>
          <w:bCs/>
        </w:rPr>
        <w:t>ς</w:t>
      </w:r>
      <w:r w:rsidRPr="000C5DAF">
        <w:rPr>
          <w:b/>
          <w:bCs/>
        </w:rPr>
        <w:t xml:space="preserve"> </w:t>
      </w:r>
      <w:r w:rsidR="00814459">
        <w:rPr>
          <w:b/>
          <w:bCs/>
        </w:rPr>
        <w:t xml:space="preserve">της </w:t>
      </w:r>
      <w:r w:rsidR="00813DE3">
        <w:t>εκ μέρους της</w:t>
      </w:r>
      <w:r w:rsidR="00814459" w:rsidRPr="00814459">
        <w:t xml:space="preserve"> αρμόδια</w:t>
      </w:r>
      <w:r w:rsidR="00813DE3">
        <w:t>ς</w:t>
      </w:r>
      <w:r w:rsidR="00814459" w:rsidRPr="00814459">
        <w:t xml:space="preserve"> εθνική</w:t>
      </w:r>
      <w:r w:rsidR="00813DE3">
        <w:t>ς</w:t>
      </w:r>
      <w:r w:rsidR="00814459" w:rsidRPr="00814459">
        <w:t xml:space="preserve"> αρχή</w:t>
      </w:r>
      <w:r w:rsidR="00813DE3">
        <w:t>ς</w:t>
      </w:r>
      <w:r w:rsidRPr="00814459">
        <w:t>, κατά</w:t>
      </w:r>
      <w:r w:rsidR="005B073B">
        <w:t xml:space="preserve"> τρόπο που</w:t>
      </w:r>
      <w:r w:rsidRPr="000C5DAF">
        <w:t xml:space="preserve"> να λαμβάνονται υπόψη όλα τα επιχειρήματα του προσβαλλόμενου προσώπου</w:t>
      </w:r>
      <w:r w:rsidR="0093130E">
        <w:rPr>
          <w:rStyle w:val="a7"/>
        </w:rPr>
        <w:footnoteReference w:id="61"/>
      </w:r>
      <w:r w:rsidR="007D156E">
        <w:t>.</w:t>
      </w:r>
    </w:p>
    <w:p w14:paraId="353785C2" w14:textId="4F633180" w:rsidR="000C5DAF" w:rsidRDefault="007B4F92" w:rsidP="00982321">
      <w:pPr>
        <w:spacing w:before="120" w:after="120" w:line="360" w:lineRule="auto"/>
        <w:ind w:firstLine="720"/>
      </w:pPr>
      <w:r w:rsidRPr="001E2F9B">
        <w:t>Τούτο δεν συ</w:t>
      </w:r>
      <w:r w:rsidR="00463F00" w:rsidRPr="001E2F9B">
        <w:t>νέβη</w:t>
      </w:r>
      <w:r w:rsidRPr="001E2F9B">
        <w:t xml:space="preserve">, για παράδειγμα, </w:t>
      </w:r>
      <w:r w:rsidR="00463F00" w:rsidRPr="001E2F9B">
        <w:t xml:space="preserve">στην υπόθεση </w:t>
      </w:r>
      <w:r w:rsidR="00945375" w:rsidRPr="001E2F9B">
        <w:rPr>
          <w:b/>
          <w:bCs/>
          <w:i/>
          <w:iCs/>
        </w:rPr>
        <w:t xml:space="preserve">Μητροπολιτική Εκκλησία της </w:t>
      </w:r>
      <w:r w:rsidR="00E65BED" w:rsidRPr="001E2F9B">
        <w:rPr>
          <w:b/>
          <w:bCs/>
          <w:i/>
          <w:iCs/>
        </w:rPr>
        <w:t>Βεσσαραβίας κατά Μολδαβίας</w:t>
      </w:r>
      <w:r w:rsidR="00E65BED" w:rsidRPr="001E2F9B">
        <w:rPr>
          <w:rStyle w:val="a7"/>
          <w:i/>
          <w:iCs/>
        </w:rPr>
        <w:footnoteReference w:id="62"/>
      </w:r>
      <w:r w:rsidR="00E65BED" w:rsidRPr="001E2F9B">
        <w:rPr>
          <w:i/>
          <w:iCs/>
        </w:rPr>
        <w:t xml:space="preserve">, </w:t>
      </w:r>
      <w:r w:rsidR="00D85C10" w:rsidRPr="001E2F9B">
        <w:t xml:space="preserve">στην οποία </w:t>
      </w:r>
      <w:r w:rsidR="008A35ED" w:rsidRPr="001E2F9B">
        <w:t xml:space="preserve">το </w:t>
      </w:r>
      <w:r w:rsidR="000966F9" w:rsidRPr="001E2F9B">
        <w:t xml:space="preserve">Ανώτατο Δικαστήριο </w:t>
      </w:r>
      <w:r w:rsidR="001E2F9B" w:rsidRPr="001E2F9B">
        <w:t xml:space="preserve">της Μολδαβίας </w:t>
      </w:r>
      <w:r w:rsidR="000966F9" w:rsidRPr="001E2F9B">
        <w:t xml:space="preserve">δεν απάντησε σε όλους τους ισχυρισμούς των προσφευγόντων αναφορικά με </w:t>
      </w:r>
      <w:r w:rsidR="005B073B">
        <w:rPr>
          <w:b/>
        </w:rPr>
        <w:t xml:space="preserve">α) </w:t>
      </w:r>
      <w:r w:rsidR="000966F9" w:rsidRPr="001E2F9B">
        <w:t xml:space="preserve">την </w:t>
      </w:r>
      <w:r w:rsidR="0095263F" w:rsidRPr="001E2F9B">
        <w:t>συγκέντρωση και την από κοινού άσκηση της θρησκευτικής τους λατρείας</w:t>
      </w:r>
      <w:r w:rsidR="00635B34" w:rsidRPr="001E2F9B">
        <w:t xml:space="preserve">, καθώς και </w:t>
      </w:r>
      <w:r w:rsidR="005B073B">
        <w:rPr>
          <w:b/>
        </w:rPr>
        <w:t xml:space="preserve">β) </w:t>
      </w:r>
      <w:r w:rsidR="00635B34" w:rsidRPr="001E2F9B">
        <w:t>τη δυνατότητα πρόσβασής τους</w:t>
      </w:r>
      <w:r w:rsidR="00F81A60" w:rsidRPr="001E2F9B">
        <w:t xml:space="preserve"> </w:t>
      </w:r>
      <w:r w:rsidR="00635B34" w:rsidRPr="001E2F9B">
        <w:t>στο δικ</w:t>
      </w:r>
      <w:r w:rsidR="0045049B" w:rsidRPr="001E2F9B">
        <w:t xml:space="preserve">αστήριο </w:t>
      </w:r>
      <w:r w:rsidR="009C560B" w:rsidRPr="001E2F9B">
        <w:t>προκειμένου να υπερασπισ</w:t>
      </w:r>
      <w:r w:rsidR="00F81A60" w:rsidRPr="001E2F9B">
        <w:t>τούν οιαδήποτε προσβολή του</w:t>
      </w:r>
      <w:r w:rsidR="0045049B" w:rsidRPr="001E2F9B">
        <w:t xml:space="preserve"> δικαιώματος της θρησκευτική</w:t>
      </w:r>
      <w:r w:rsidR="005B073B">
        <w:t>ς ελευθερίας τους. Προς τούτο,</w:t>
      </w:r>
      <w:r w:rsidR="00F25670" w:rsidRPr="001E2F9B">
        <w:t xml:space="preserve"> το </w:t>
      </w:r>
      <w:r w:rsidR="00F25670" w:rsidRPr="001E2F9B">
        <w:lastRenderedPageBreak/>
        <w:t>Δικαστήριο έκρινε</w:t>
      </w:r>
      <w:r w:rsidR="00E22DC9" w:rsidRPr="001E2F9B">
        <w:t xml:space="preserve"> </w:t>
      </w:r>
      <w:r w:rsidR="0000716F" w:rsidRPr="001E2F9B">
        <w:t xml:space="preserve">ότι </w:t>
      </w:r>
      <w:r w:rsidR="00982321" w:rsidRPr="001E2F9B">
        <w:t>παραβιάστηκε το δικαίωμα αποτελεσματικής προσφυγής τους, κατά το άρθρο 13 της Σύμβασης.</w:t>
      </w:r>
    </w:p>
    <w:p w14:paraId="474A4A88" w14:textId="0F9BB6A4" w:rsidR="00982321" w:rsidRPr="00CB002B" w:rsidRDefault="007D156E" w:rsidP="00982321">
      <w:pPr>
        <w:spacing w:before="120" w:after="120" w:line="360" w:lineRule="auto"/>
      </w:pPr>
      <w:r>
        <w:tab/>
        <w:t xml:space="preserve">Συγχρόνως, </w:t>
      </w:r>
      <w:r w:rsidR="006C2EF5">
        <w:t>η προσφυγή πρέπει να εξετάζεται</w:t>
      </w:r>
      <w:r w:rsidR="006C2EF5" w:rsidRPr="006C2EF5">
        <w:t xml:space="preserve"> με την πρέπουσα </w:t>
      </w:r>
      <w:r w:rsidR="006C2EF5" w:rsidRPr="006C2EF5">
        <w:rPr>
          <w:b/>
          <w:bCs/>
        </w:rPr>
        <w:t>ταχύτητα</w:t>
      </w:r>
      <w:r w:rsidR="003A212D">
        <w:t xml:space="preserve">, καθότι </w:t>
      </w:r>
      <w:r w:rsidR="002067F3">
        <w:t xml:space="preserve">δεν αποκλείεται </w:t>
      </w:r>
      <w:r w:rsidR="000C1B39">
        <w:t xml:space="preserve">μόνη </w:t>
      </w:r>
      <w:r w:rsidR="002067F3">
        <w:t>η υπερβολική της διάρκεια να την καθιστά ακατάλληλη και αναποτελεσματική</w:t>
      </w:r>
      <w:r w:rsidR="002067F3">
        <w:rPr>
          <w:rStyle w:val="a7"/>
        </w:rPr>
        <w:footnoteReference w:id="63"/>
      </w:r>
      <w:r w:rsidR="000C1B39">
        <w:t>.</w:t>
      </w:r>
      <w:r w:rsidR="002067F3">
        <w:t xml:space="preserve"> </w:t>
      </w:r>
    </w:p>
    <w:p w14:paraId="224683A0" w14:textId="7B3EA696" w:rsidR="00FE0617" w:rsidRDefault="00FD45A1" w:rsidP="00982321">
      <w:pPr>
        <w:spacing w:before="120" w:after="120" w:line="360" w:lineRule="auto"/>
      </w:pPr>
      <w:r w:rsidRPr="00CB002B">
        <w:tab/>
      </w:r>
      <w:r w:rsidR="00B037CF" w:rsidRPr="00D52BD3">
        <w:t>Σ</w:t>
      </w:r>
      <w:r w:rsidRPr="00D52BD3">
        <w:t xml:space="preserve">την υπόθεση </w:t>
      </w:r>
      <w:r w:rsidRPr="00D52BD3">
        <w:rPr>
          <w:b/>
          <w:bCs/>
          <w:i/>
          <w:iCs/>
          <w:lang w:val="en-US"/>
        </w:rPr>
        <w:t>Ba</w:t>
      </w:r>
      <w:r w:rsidR="00FE0617" w:rsidRPr="00D52BD3">
        <w:rPr>
          <w:b/>
          <w:bCs/>
          <w:i/>
          <w:iCs/>
          <w:lang w:val="en-US"/>
        </w:rPr>
        <w:t>czkowski</w:t>
      </w:r>
      <w:r w:rsidR="00FE0617" w:rsidRPr="00D52BD3">
        <w:rPr>
          <w:b/>
          <w:bCs/>
          <w:i/>
          <w:iCs/>
        </w:rPr>
        <w:t xml:space="preserve"> κατά Πολωνίας</w:t>
      </w:r>
      <w:r w:rsidR="00186DBC" w:rsidRPr="00D52BD3">
        <w:rPr>
          <w:rStyle w:val="a7"/>
        </w:rPr>
        <w:footnoteReference w:id="64"/>
      </w:r>
      <w:r w:rsidR="00FE0617" w:rsidRPr="00D52BD3">
        <w:t>, το Δικαστήριο</w:t>
      </w:r>
      <w:r w:rsidR="00FE0617" w:rsidRPr="00D52BD3">
        <w:rPr>
          <w:b/>
          <w:bCs/>
        </w:rPr>
        <w:t xml:space="preserve"> </w:t>
      </w:r>
      <w:r w:rsidR="00F36F06" w:rsidRPr="00D52BD3">
        <w:t xml:space="preserve">διαπίστωσε ότι η ανάκληση μίας παράνομης απόφασης </w:t>
      </w:r>
      <w:r w:rsidR="00D52BD3" w:rsidRPr="00D52BD3">
        <w:t xml:space="preserve">που απαγόρευσε τις συγκεντρώσεις </w:t>
      </w:r>
      <w:r w:rsidR="00186DBC" w:rsidRPr="00D52BD3">
        <w:t xml:space="preserve">ενάντια στην </w:t>
      </w:r>
      <w:proofErr w:type="spellStart"/>
      <w:r w:rsidR="00186DBC" w:rsidRPr="00D52BD3">
        <w:t>ομοφοβία</w:t>
      </w:r>
      <w:proofErr w:type="spellEnd"/>
      <w:r w:rsidR="00D52BD3" w:rsidRPr="00D52BD3">
        <w:t xml:space="preserve">  δεν πληρούσε</w:t>
      </w:r>
      <w:r w:rsidR="00186DBC" w:rsidRPr="00D52BD3">
        <w:t xml:space="preserve"> τις προϋποθέσεις μίας αποτελεσματικής προσφυγής</w:t>
      </w:r>
      <w:r w:rsidR="00D52BD3" w:rsidRPr="00D52BD3">
        <w:t>, διότι έλαβε χώρα καθυστερημένα και, δη, μετά την προγραμματισμένη ημέρα για τη διεξαγωγή τους</w:t>
      </w:r>
      <w:r w:rsidR="007E7165" w:rsidRPr="00D52BD3">
        <w:t>.</w:t>
      </w:r>
      <w:r w:rsidR="00D52BD3">
        <w:t xml:space="preserve"> Έτσι, το Δικαστήριο κατέληξε στο συμπέρασμα ότι η «εκ των υστέρων» επανόρθωση της παραβίασης δεν μπορεί να θεωρηθεί αποτελεσματική, κατά την έννοια του άρθρου 13 της Σύμβασης.</w:t>
      </w:r>
    </w:p>
    <w:p w14:paraId="2C87C7A7" w14:textId="77777777" w:rsidR="00D52BD3" w:rsidRPr="00FE0617" w:rsidRDefault="00D52BD3" w:rsidP="00982321">
      <w:pPr>
        <w:spacing w:before="120" w:after="120" w:line="360" w:lineRule="auto"/>
      </w:pPr>
    </w:p>
    <w:p w14:paraId="7EC67D35" w14:textId="41556982" w:rsidR="000D5717" w:rsidRDefault="00523C3C" w:rsidP="00245952">
      <w:pPr>
        <w:pStyle w:val="3"/>
        <w:spacing w:before="120" w:after="120" w:line="360" w:lineRule="auto"/>
      </w:pPr>
      <w:bookmarkStart w:id="17" w:name="_Toc166060929"/>
      <w:r>
        <w:t>Αποτελεσματικότητα της προσφυγής στην πράξη</w:t>
      </w:r>
      <w:bookmarkEnd w:id="17"/>
    </w:p>
    <w:p w14:paraId="652D8FA3" w14:textId="2C932768" w:rsidR="00C01604" w:rsidRDefault="009D11C8" w:rsidP="00C01604">
      <w:pPr>
        <w:spacing w:before="120" w:after="120" w:line="360" w:lineRule="auto"/>
      </w:pPr>
      <w:r>
        <w:tab/>
      </w:r>
      <w:r w:rsidR="00814459">
        <w:t xml:space="preserve">Παρ’ όλα αυτά, </w:t>
      </w:r>
      <w:r w:rsidR="002068A3">
        <w:t xml:space="preserve">η αποτελεσματικότητα της </w:t>
      </w:r>
      <w:r w:rsidR="00C01604">
        <w:t xml:space="preserve">διαθέσιμης </w:t>
      </w:r>
      <w:r w:rsidR="002068A3">
        <w:t xml:space="preserve">προσφυγής </w:t>
      </w:r>
      <w:r w:rsidR="002068A3" w:rsidRPr="008632EA">
        <w:rPr>
          <w:b/>
          <w:bCs/>
        </w:rPr>
        <w:t>δεν εξαρτάται από τη βεβαιότητα της θετικής έκβασ</w:t>
      </w:r>
      <w:r w:rsidR="00AF124D" w:rsidRPr="008632EA">
        <w:rPr>
          <w:b/>
          <w:bCs/>
        </w:rPr>
        <w:t>ή</w:t>
      </w:r>
      <w:r w:rsidR="002068A3" w:rsidRPr="008632EA">
        <w:rPr>
          <w:b/>
          <w:bCs/>
        </w:rPr>
        <w:t xml:space="preserve">ς </w:t>
      </w:r>
      <w:r w:rsidR="00814459">
        <w:rPr>
          <w:b/>
          <w:bCs/>
        </w:rPr>
        <w:t>της</w:t>
      </w:r>
      <w:r w:rsidR="00814459" w:rsidRPr="00814459">
        <w:t xml:space="preserve">. </w:t>
      </w:r>
      <w:r w:rsidR="00C01604">
        <w:t xml:space="preserve">Ακόμη και </w:t>
      </w:r>
      <w:r w:rsidR="00FB4CF2">
        <w:t xml:space="preserve">οι περιορισμένες πιθανότητες επιτυχίας της δεν την καθιστούν </w:t>
      </w:r>
      <w:r w:rsidR="00A81999">
        <w:t xml:space="preserve">εξ αρχής </w:t>
      </w:r>
      <w:r w:rsidR="00FB4CF2">
        <w:t>αναποτελεσματική</w:t>
      </w:r>
      <w:r w:rsidR="003E1637">
        <w:t>.</w:t>
      </w:r>
      <w:r w:rsidR="0076675E">
        <w:t xml:space="preserve"> Το άρθρο 13, δηλαδή, εγγυάται μόνο τη δυνατότητα άσκησ</w:t>
      </w:r>
      <w:r w:rsidR="00B96DEA">
        <w:t>η</w:t>
      </w:r>
      <w:r w:rsidR="0076675E">
        <w:t xml:space="preserve">ς της </w:t>
      </w:r>
      <w:r w:rsidR="00B96DEA">
        <w:t xml:space="preserve">προσφυγής </w:t>
      </w:r>
      <w:r w:rsidR="00195076">
        <w:t>και την εκτίμηση της βασιμότητάς της και όχι το θετικό αποτέλεσμ</w:t>
      </w:r>
      <w:r w:rsidR="007D0B64">
        <w:t>α αυτής</w:t>
      </w:r>
      <w:r w:rsidR="00506C60" w:rsidRPr="00506C60">
        <w:rPr>
          <w:vertAlign w:val="superscript"/>
        </w:rPr>
        <w:footnoteReference w:id="65"/>
      </w:r>
      <w:r w:rsidR="00506C60" w:rsidRPr="00506C60">
        <w:t>.</w:t>
      </w:r>
      <w:r w:rsidR="00195076">
        <w:t xml:space="preserve"> </w:t>
      </w:r>
    </w:p>
    <w:p w14:paraId="7DC2A3D6" w14:textId="7BDD4297" w:rsidR="00FA5190" w:rsidRDefault="00C01604" w:rsidP="00DD7D12">
      <w:pPr>
        <w:spacing w:before="120" w:after="120" w:line="360" w:lineRule="auto"/>
        <w:ind w:firstLine="720"/>
      </w:pPr>
      <w:r w:rsidRPr="00814459">
        <w:t>Απαιτείται</w:t>
      </w:r>
      <w:r>
        <w:t>, όμως,</w:t>
      </w:r>
      <w:r w:rsidR="00B96DEA">
        <w:t xml:space="preserve"> το διαθέσιμο ένδικο βοήθημα</w:t>
      </w:r>
      <w:r>
        <w:t xml:space="preserve"> να </w:t>
      </w:r>
      <w:r w:rsidRPr="008632EA">
        <w:rPr>
          <w:b/>
          <w:bCs/>
        </w:rPr>
        <w:t>εφαρμόζεται στην πράξη</w:t>
      </w:r>
      <w:r w:rsidRPr="005642CF">
        <w:t xml:space="preserve"> είτε αποτρέποντας την εκάστοτε προσβολή ή την εξακολούθησή της είτε παρέχοντας επαρκή επανόρθωση για αυτήν</w:t>
      </w:r>
      <w:r>
        <w:t>, και όχι απλώς να προβλέπεται, αορίστως, ως δυνατότητα στον νόμο</w:t>
      </w:r>
      <w:r>
        <w:rPr>
          <w:rStyle w:val="a7"/>
        </w:rPr>
        <w:footnoteReference w:id="66"/>
      </w:r>
      <w:r>
        <w:t>.</w:t>
      </w:r>
    </w:p>
    <w:p w14:paraId="6B198875" w14:textId="713273D1" w:rsidR="00CB0E8C" w:rsidRPr="009368DD" w:rsidRDefault="00CB0E8C" w:rsidP="00245952">
      <w:pPr>
        <w:spacing w:before="120" w:after="120" w:line="360" w:lineRule="auto"/>
      </w:pPr>
      <w:r>
        <w:tab/>
      </w:r>
      <w:r w:rsidR="008B2FD5">
        <w:t>Ενδεικτικά, σ</w:t>
      </w:r>
      <w:r>
        <w:t xml:space="preserve">τις υποθέσεις </w:t>
      </w:r>
      <w:r w:rsidRPr="00414BF9">
        <w:rPr>
          <w:b/>
          <w:bCs/>
          <w:i/>
          <w:iCs/>
          <w:lang w:val="en-US"/>
        </w:rPr>
        <w:t>Kudla</w:t>
      </w:r>
      <w:r w:rsidRPr="00414BF9">
        <w:rPr>
          <w:b/>
          <w:bCs/>
          <w:i/>
          <w:iCs/>
        </w:rPr>
        <w:t xml:space="preserve"> κατά Πολωνίας</w:t>
      </w:r>
      <w:r>
        <w:rPr>
          <w:rStyle w:val="a7"/>
          <w:i/>
          <w:iCs/>
        </w:rPr>
        <w:footnoteReference w:id="67"/>
      </w:r>
      <w:r>
        <w:rPr>
          <w:i/>
          <w:iCs/>
        </w:rPr>
        <w:t xml:space="preserve">, </w:t>
      </w:r>
      <w:proofErr w:type="spellStart"/>
      <w:r w:rsidR="002B6E30" w:rsidRPr="006F6494">
        <w:rPr>
          <w:b/>
          <w:bCs/>
          <w:i/>
          <w:iCs/>
        </w:rPr>
        <w:t>Μιχελιουδάκης</w:t>
      </w:r>
      <w:proofErr w:type="spellEnd"/>
      <w:r w:rsidR="003F2997">
        <w:rPr>
          <w:b/>
          <w:bCs/>
          <w:i/>
          <w:iCs/>
        </w:rPr>
        <w:t xml:space="preserve"> </w:t>
      </w:r>
      <w:r w:rsidR="002B6E30" w:rsidRPr="006F6494">
        <w:rPr>
          <w:b/>
          <w:bCs/>
          <w:i/>
          <w:iCs/>
        </w:rPr>
        <w:t>κατά Ελλάδ</w:t>
      </w:r>
      <w:r w:rsidR="0047253E" w:rsidRPr="006F6494">
        <w:rPr>
          <w:b/>
          <w:bCs/>
          <w:i/>
          <w:iCs/>
        </w:rPr>
        <w:t>α</w:t>
      </w:r>
      <w:r w:rsidR="002B6E30" w:rsidRPr="006F6494">
        <w:rPr>
          <w:b/>
          <w:bCs/>
          <w:i/>
          <w:iCs/>
        </w:rPr>
        <w:t>ς</w:t>
      </w:r>
      <w:r w:rsidR="00287758">
        <w:rPr>
          <w:rStyle w:val="a7"/>
          <w:b/>
          <w:bCs/>
          <w:i/>
          <w:iCs/>
        </w:rPr>
        <w:footnoteReference w:id="68"/>
      </w:r>
      <w:r w:rsidR="002B6E30">
        <w:rPr>
          <w:i/>
          <w:iCs/>
        </w:rPr>
        <w:t xml:space="preserve">, </w:t>
      </w:r>
      <w:proofErr w:type="spellStart"/>
      <w:r w:rsidR="0047253E" w:rsidRPr="006F6494">
        <w:rPr>
          <w:b/>
          <w:bCs/>
          <w:i/>
          <w:iCs/>
        </w:rPr>
        <w:t>Γλύκαντζη</w:t>
      </w:r>
      <w:proofErr w:type="spellEnd"/>
      <w:r w:rsidR="0047253E" w:rsidRPr="006F6494">
        <w:rPr>
          <w:b/>
          <w:bCs/>
          <w:i/>
          <w:iCs/>
        </w:rPr>
        <w:t xml:space="preserve"> κατά Ελλάδας</w:t>
      </w:r>
      <w:r w:rsidR="00287758">
        <w:rPr>
          <w:rStyle w:val="a7"/>
          <w:b/>
          <w:bCs/>
          <w:i/>
          <w:iCs/>
        </w:rPr>
        <w:footnoteReference w:id="69"/>
      </w:r>
      <w:r w:rsidR="008B2FD5">
        <w:rPr>
          <w:b/>
          <w:bCs/>
          <w:i/>
          <w:iCs/>
        </w:rPr>
        <w:t xml:space="preserve"> </w:t>
      </w:r>
      <w:r w:rsidR="008B2FD5" w:rsidRPr="008B2FD5">
        <w:t>και</w:t>
      </w:r>
      <w:r w:rsidR="008B2FD5">
        <w:rPr>
          <w:b/>
          <w:bCs/>
          <w:i/>
          <w:iCs/>
        </w:rPr>
        <w:t xml:space="preserve"> </w:t>
      </w:r>
      <w:r w:rsidR="008B15B8" w:rsidRPr="003F2997">
        <w:rPr>
          <w:b/>
          <w:bCs/>
          <w:i/>
          <w:iCs/>
        </w:rPr>
        <w:t>Αθανασίου</w:t>
      </w:r>
      <w:r w:rsidR="0047253E" w:rsidRPr="003F2997">
        <w:rPr>
          <w:b/>
          <w:bCs/>
          <w:i/>
          <w:iCs/>
        </w:rPr>
        <w:t xml:space="preserve"> κατά Ελλάδας</w:t>
      </w:r>
      <w:r w:rsidR="00287758">
        <w:rPr>
          <w:rStyle w:val="a7"/>
          <w:b/>
          <w:bCs/>
          <w:i/>
          <w:iCs/>
        </w:rPr>
        <w:footnoteReference w:id="70"/>
      </w:r>
      <w:r w:rsidR="006F6494">
        <w:rPr>
          <w:i/>
          <w:iCs/>
        </w:rPr>
        <w:t xml:space="preserve"> </w:t>
      </w:r>
      <w:r w:rsidR="008D555C">
        <w:t xml:space="preserve">κρίθηκε ότι τα </w:t>
      </w:r>
      <w:r w:rsidR="008D555C">
        <w:lastRenderedPageBreak/>
        <w:t xml:space="preserve">προβλεπόμενα στο εσωτερικό δίκαιο ένδικα βοηθήματα σχετικά με την αποτροπή της υπέρβασης της εύλογης διάρκειας της δίκης ή </w:t>
      </w:r>
      <w:r w:rsidR="00AF689C">
        <w:t xml:space="preserve">την αποζημίωση του παθόντος εξαιτίας αυτής </w:t>
      </w:r>
      <w:r w:rsidR="006D4E6D" w:rsidRPr="008B2FD5">
        <w:rPr>
          <w:b/>
          <w:bCs/>
        </w:rPr>
        <w:t>δεν ήταν αποτελεσματικά στην πράξη</w:t>
      </w:r>
      <w:r w:rsidR="001C08EF">
        <w:t>.</w:t>
      </w:r>
      <w:r w:rsidR="00440489">
        <w:t xml:space="preserve"> Το αυτό κρίθηκε και στην υπόθεση </w:t>
      </w:r>
      <w:r w:rsidR="00440489" w:rsidRPr="00455552">
        <w:rPr>
          <w:b/>
          <w:bCs/>
          <w:i/>
          <w:iCs/>
          <w:lang w:val="en-US"/>
        </w:rPr>
        <w:t>M</w:t>
      </w:r>
      <w:r w:rsidR="00440489" w:rsidRPr="00455552">
        <w:rPr>
          <w:b/>
          <w:bCs/>
          <w:i/>
          <w:iCs/>
        </w:rPr>
        <w:t>.</w:t>
      </w:r>
      <w:r w:rsidR="00440489" w:rsidRPr="00455552">
        <w:rPr>
          <w:b/>
          <w:bCs/>
          <w:i/>
          <w:iCs/>
          <w:lang w:val="en-US"/>
        </w:rPr>
        <w:t>S</w:t>
      </w:r>
      <w:r w:rsidR="00440489" w:rsidRPr="00455552">
        <w:rPr>
          <w:b/>
          <w:bCs/>
          <w:i/>
          <w:iCs/>
        </w:rPr>
        <w:t>.</w:t>
      </w:r>
      <w:r w:rsidR="00440489" w:rsidRPr="00455552">
        <w:rPr>
          <w:b/>
          <w:bCs/>
          <w:i/>
          <w:iCs/>
          <w:lang w:val="en-US"/>
        </w:rPr>
        <w:t>S</w:t>
      </w:r>
      <w:r w:rsidR="00440489" w:rsidRPr="00455552">
        <w:rPr>
          <w:b/>
          <w:bCs/>
          <w:i/>
          <w:iCs/>
        </w:rPr>
        <w:t>. κατά Βελγίου και Ελλάδας</w:t>
      </w:r>
      <w:r w:rsidR="00287758">
        <w:rPr>
          <w:rStyle w:val="a7"/>
          <w:b/>
          <w:bCs/>
          <w:i/>
          <w:iCs/>
        </w:rPr>
        <w:footnoteReference w:id="71"/>
      </w:r>
      <w:r w:rsidR="00440489">
        <w:rPr>
          <w:i/>
          <w:iCs/>
        </w:rPr>
        <w:t xml:space="preserve"> </w:t>
      </w:r>
      <w:r w:rsidR="00440489" w:rsidRPr="009368DD">
        <w:t>σχετικά με τα προβλεπόμενα ένδικα βο</w:t>
      </w:r>
      <w:r w:rsidR="00E707E6" w:rsidRPr="009368DD">
        <w:t xml:space="preserve">ηθήματα στο πλαίσιο της διαδικασίας χορήγησης ασύλου, </w:t>
      </w:r>
      <w:r w:rsidR="009368DD">
        <w:t xml:space="preserve">καθώς και στην υπόθεση </w:t>
      </w:r>
      <w:r w:rsidR="0084179A" w:rsidRPr="00455552">
        <w:rPr>
          <w:b/>
          <w:bCs/>
          <w:i/>
          <w:iCs/>
        </w:rPr>
        <w:t>Λαυρεντιάδης κατά Ελλάδος</w:t>
      </w:r>
      <w:r w:rsidR="00287758">
        <w:rPr>
          <w:rStyle w:val="a7"/>
          <w:b/>
          <w:bCs/>
          <w:i/>
          <w:iCs/>
        </w:rPr>
        <w:footnoteReference w:id="72"/>
      </w:r>
      <w:r w:rsidR="0084179A">
        <w:t xml:space="preserve"> σχετικά με τα προβλεπόμενα ένδικα βοηθήματα </w:t>
      </w:r>
      <w:r w:rsidR="005C08EF">
        <w:t>για τις συνθήκες κράτησης εντός των σωφρονιστικών καταστημάτων</w:t>
      </w:r>
      <w:r w:rsidR="00AB0F54">
        <w:t xml:space="preserve">, όπου το Δικαστήριο σημείωσε ότι το εναγόμενο κράτος δεν προσκόμισε κάποια </w:t>
      </w:r>
      <w:r w:rsidR="00ED6A4B">
        <w:t xml:space="preserve">διοικητική ή δικαστική </w:t>
      </w:r>
      <w:r w:rsidR="00AB0F54">
        <w:t>απόφαση</w:t>
      </w:r>
      <w:r w:rsidR="00ED6A4B">
        <w:t xml:space="preserve"> ικανή να αποδείξει ότι ο προσφεύγων μπορούσε μέσω των διαθέσιμων ένδικων βοηθημάτων, του άρθρου 572 ΚΠοινΔ και 6 του Σωφρονιστικού Κώδικα, </w:t>
      </w:r>
      <w:r w:rsidR="0001426C">
        <w:t>να καταγγείλει αποτελεσματικά τις επικαλούμενες παραβιάσεις</w:t>
      </w:r>
      <w:r w:rsidR="005C08EF">
        <w:t>.</w:t>
      </w:r>
    </w:p>
    <w:p w14:paraId="4027C49C" w14:textId="0B70918B" w:rsidR="006C2636" w:rsidRDefault="008B79B8" w:rsidP="00245952">
      <w:pPr>
        <w:spacing w:before="120" w:after="120" w:line="360" w:lineRule="auto"/>
      </w:pPr>
      <w:r>
        <w:tab/>
      </w:r>
      <w:r w:rsidR="00151A86">
        <w:t>Η δε έκδοση μίας και μόνον απόφασης</w:t>
      </w:r>
      <w:r w:rsidR="006C2636">
        <w:t xml:space="preserve"> που δέχεται ως βάσιμη την</w:t>
      </w:r>
      <w:r w:rsidR="00482161">
        <w:t>,</w:t>
      </w:r>
      <w:r w:rsidR="006C2636">
        <w:t xml:space="preserve"> </w:t>
      </w:r>
      <w:r w:rsidR="00482161">
        <w:t>κατά περίπτωση</w:t>
      </w:r>
      <w:r w:rsidR="008B2FD5">
        <w:t xml:space="preserve"> προβλεπ</w:t>
      </w:r>
      <w:r w:rsidR="00482161">
        <w:t xml:space="preserve">όμενη στο εσωτερικό δίκαιο, </w:t>
      </w:r>
      <w:r w:rsidR="006C2636">
        <w:t>προσφυγή</w:t>
      </w:r>
      <w:r w:rsidR="00151A86">
        <w:t xml:space="preserve"> </w:t>
      </w:r>
      <w:r w:rsidR="006C2636" w:rsidRPr="00482161">
        <w:rPr>
          <w:b/>
          <w:bCs/>
        </w:rPr>
        <w:t>δεν επαρκεί</w:t>
      </w:r>
      <w:r w:rsidR="006C2636">
        <w:t xml:space="preserve"> για το χαρακτηρισμό της ως αποτελεσματικής</w:t>
      </w:r>
      <w:r w:rsidR="007D0E00">
        <w:rPr>
          <w:rStyle w:val="a7"/>
        </w:rPr>
        <w:footnoteReference w:id="73"/>
      </w:r>
      <w:r w:rsidR="006C2636">
        <w:t xml:space="preserve">. </w:t>
      </w:r>
      <w:r w:rsidR="00E27461">
        <w:t xml:space="preserve">Έτσι, στην υπόθεση </w:t>
      </w:r>
      <w:proofErr w:type="spellStart"/>
      <w:r w:rsidR="00593C60" w:rsidRPr="00593C60">
        <w:rPr>
          <w:b/>
          <w:bCs/>
          <w:i/>
          <w:iCs/>
        </w:rPr>
        <w:t>Γλύκαντζη</w:t>
      </w:r>
      <w:proofErr w:type="spellEnd"/>
      <w:r w:rsidR="00593C60" w:rsidRPr="00593C60">
        <w:rPr>
          <w:b/>
          <w:bCs/>
          <w:i/>
          <w:iCs/>
        </w:rPr>
        <w:t xml:space="preserve"> κατά Ελλάδας</w:t>
      </w:r>
      <w:r w:rsidR="00593C60" w:rsidRPr="00593C60">
        <w:t xml:space="preserve">, </w:t>
      </w:r>
      <w:r w:rsidR="008A3A1E">
        <w:t xml:space="preserve">το Δικαστήριο έκρινε ότι </w:t>
      </w:r>
      <w:r w:rsidR="00CF1BC6">
        <w:t xml:space="preserve">δεν αρκεί η προσκομιδή εκ μέρους του εναγόμενου κράτους </w:t>
      </w:r>
      <w:r w:rsidR="00CF1BC6" w:rsidRPr="00C7192C">
        <w:rPr>
          <w:b/>
          <w:bCs/>
        </w:rPr>
        <w:t xml:space="preserve">μίας μοναδικής πρωτοβάθμιας απόφασης </w:t>
      </w:r>
      <w:r w:rsidR="00CF1BC6">
        <w:t xml:space="preserve">που </w:t>
      </w:r>
      <w:r w:rsidR="00081803">
        <w:t>δέχεται</w:t>
      </w:r>
      <w:r w:rsidR="007D3A56">
        <w:t xml:space="preserve"> ως βάσιμη την αγωγή αποζημίωσης των άρθρων 104 -105 </w:t>
      </w:r>
      <w:proofErr w:type="spellStart"/>
      <w:r w:rsidR="007D3A56">
        <w:t>ΕισΝΑΚ</w:t>
      </w:r>
      <w:proofErr w:type="spellEnd"/>
      <w:r w:rsidR="007D3A56">
        <w:t>, ώστε να κριθεί αυτή αποτελεσματική στην πράξη</w:t>
      </w:r>
      <w:r w:rsidR="00C54F3E">
        <w:t xml:space="preserve">, καταλήγοντας στο συμπέρασμα ότι </w:t>
      </w:r>
      <w:r w:rsidR="00C71C04">
        <w:t>παραβιάστηκε το άρθρο 13 της Σύμβασης.</w:t>
      </w:r>
    </w:p>
    <w:p w14:paraId="0949D144" w14:textId="77777777" w:rsidR="00EA5B93" w:rsidRDefault="00EA5B93" w:rsidP="00F968D7">
      <w:pPr>
        <w:pStyle w:val="3"/>
      </w:pPr>
    </w:p>
    <w:p w14:paraId="1319B0E4" w14:textId="5AE5762A" w:rsidR="00EA5B93" w:rsidRDefault="00EE06E4" w:rsidP="00817386">
      <w:pPr>
        <w:pStyle w:val="3"/>
        <w:spacing w:before="120" w:after="120" w:line="360" w:lineRule="auto"/>
      </w:pPr>
      <w:bookmarkStart w:id="18" w:name="_Toc166060930"/>
      <w:r>
        <w:t xml:space="preserve">Εκτέλεση της απόφασης </w:t>
      </w:r>
      <w:r w:rsidR="00D51CBE">
        <w:t>επί της προσφυγής</w:t>
      </w:r>
      <w:bookmarkEnd w:id="18"/>
      <w:r w:rsidR="00D51CBE">
        <w:t xml:space="preserve"> </w:t>
      </w:r>
    </w:p>
    <w:p w14:paraId="38EC143F" w14:textId="16FF63E0" w:rsidR="00BC1444" w:rsidRDefault="00817386" w:rsidP="00B47DF4">
      <w:pPr>
        <w:spacing w:before="120" w:after="120" w:line="360" w:lineRule="auto"/>
      </w:pPr>
      <w:r w:rsidRPr="00CB002B">
        <w:tab/>
      </w:r>
      <w:r w:rsidR="001161D4">
        <w:t xml:space="preserve">Ταυτοχρόνως, η διαθέσιμη προσφυγή είναι αποτελεσματική υπό την πρόσθετη προϋπόθεση ότι </w:t>
      </w:r>
      <w:r w:rsidR="00782E17">
        <w:t xml:space="preserve">η διασφαλίζεται η </w:t>
      </w:r>
      <w:r w:rsidR="00782E17" w:rsidRPr="00DE6DFF">
        <w:rPr>
          <w:b/>
          <w:bCs/>
        </w:rPr>
        <w:t>εκτέλεση της απόφασης</w:t>
      </w:r>
      <w:r w:rsidR="00782E17">
        <w:t xml:space="preserve"> που εκδίδεται επ’ αυτής σε βάρος του κράτους μέρους.</w:t>
      </w:r>
      <w:r w:rsidR="000020C3">
        <w:t xml:space="preserve"> Έτσι, στην υπόθεση </w:t>
      </w:r>
      <w:proofErr w:type="spellStart"/>
      <w:r w:rsidR="000020C3" w:rsidRPr="00692A66">
        <w:rPr>
          <w:b/>
          <w:bCs/>
          <w:i/>
          <w:iCs/>
          <w:lang w:val="en-US"/>
        </w:rPr>
        <w:t>Burdov</w:t>
      </w:r>
      <w:proofErr w:type="spellEnd"/>
      <w:r w:rsidR="000020C3" w:rsidRPr="00692A66">
        <w:rPr>
          <w:b/>
          <w:bCs/>
          <w:i/>
          <w:iCs/>
        </w:rPr>
        <w:t xml:space="preserve"> κατά Ρωσίας</w:t>
      </w:r>
      <w:r w:rsidR="000020C3">
        <w:t xml:space="preserve">, το Δικαστήριο </w:t>
      </w:r>
      <w:r w:rsidR="00163F50">
        <w:t xml:space="preserve">υπογράμμισε </w:t>
      </w:r>
      <w:r w:rsidR="000020C3">
        <w:t>ότι</w:t>
      </w:r>
      <w:r w:rsidR="006E3701">
        <w:t xml:space="preserve"> η </w:t>
      </w:r>
      <w:r w:rsidR="00163F50">
        <w:t xml:space="preserve">καθυστέρηση της </w:t>
      </w:r>
      <w:r w:rsidR="006E3701">
        <w:t>καταβολή</w:t>
      </w:r>
      <w:r w:rsidR="00163F50">
        <w:t>ς</w:t>
      </w:r>
      <w:r w:rsidR="006E3701">
        <w:t xml:space="preserve"> της επιδικασθείσας, από τα εθνικά δικαστήρια, αποζημίωσης</w:t>
      </w:r>
      <w:r w:rsidR="00163F50">
        <w:t xml:space="preserve"> καθιστά αναποτελεσματική την </w:t>
      </w:r>
      <w:r w:rsidR="0092260C">
        <w:t xml:space="preserve">διαθέσιμη προσφυγή, παρά το γεγονός ότι </w:t>
      </w:r>
      <w:r w:rsidR="0033420C">
        <w:t xml:space="preserve">τούτο οφείλεται στη γενικότερη ανεπάρκεια του κρατικού μηχανισμού και </w:t>
      </w:r>
      <w:r w:rsidR="0092260C">
        <w:t xml:space="preserve">δεν αφορά αποκλειστικώς </w:t>
      </w:r>
      <w:r w:rsidR="0033420C">
        <w:t xml:space="preserve">τη </w:t>
      </w:r>
      <w:r w:rsidR="0092260C">
        <w:t>συγκεκριμένη υπόθεση</w:t>
      </w:r>
      <w:r w:rsidR="0033420C">
        <w:rPr>
          <w:rStyle w:val="a7"/>
        </w:rPr>
        <w:footnoteReference w:id="74"/>
      </w:r>
      <w:r w:rsidR="000D7B9D">
        <w:t>.</w:t>
      </w:r>
    </w:p>
    <w:p w14:paraId="52E35285" w14:textId="77777777" w:rsidR="00B47DF4" w:rsidRDefault="00B47DF4" w:rsidP="00B47DF4">
      <w:pPr>
        <w:spacing w:before="120" w:after="120" w:line="360" w:lineRule="auto"/>
      </w:pPr>
    </w:p>
    <w:p w14:paraId="2A8839CB" w14:textId="61F1D888" w:rsidR="00BC1444" w:rsidRPr="00BC1444" w:rsidRDefault="00BC1444" w:rsidP="00B47DF4">
      <w:pPr>
        <w:pStyle w:val="3"/>
        <w:spacing w:before="120" w:after="120" w:line="360" w:lineRule="auto"/>
      </w:pPr>
      <w:bookmarkStart w:id="19" w:name="_Toc166060931"/>
      <w:r>
        <w:lastRenderedPageBreak/>
        <w:t>Αναστ</w:t>
      </w:r>
      <w:r w:rsidR="00966F33">
        <w:t>αλτικό αποτέλεσμα της προσφυγής</w:t>
      </w:r>
      <w:bookmarkEnd w:id="19"/>
    </w:p>
    <w:p w14:paraId="5DD1DF14" w14:textId="3E1196C3" w:rsidR="001432FD" w:rsidRPr="00CB002B" w:rsidRDefault="00B47DF4" w:rsidP="00B47DF4">
      <w:pPr>
        <w:spacing w:before="120" w:after="120" w:line="360" w:lineRule="auto"/>
      </w:pPr>
      <w:r>
        <w:tab/>
        <w:t xml:space="preserve">Τέλος, </w:t>
      </w:r>
      <w:r w:rsidR="00CE69C7">
        <w:t xml:space="preserve">ανάλογα με τη φύση της προκληθείσας, εκ της παραβίασης συμβατικού δικαιώματος, ζημίας, </w:t>
      </w:r>
      <w:r w:rsidR="00A15502">
        <w:t xml:space="preserve">και τις ιδιαιτερότητες τις κάθε υπόθεσης, η διαθέσιμη προσφυγή μπορεί να θεωρηθεί αναποτελεσματική αν δεν </w:t>
      </w:r>
      <w:r w:rsidR="0019744D">
        <w:t xml:space="preserve">εξασφαλίζεται το </w:t>
      </w:r>
      <w:r w:rsidR="0019744D" w:rsidRPr="0019744D">
        <w:rPr>
          <w:b/>
          <w:bCs/>
        </w:rPr>
        <w:t>ανασταλτικό της αποτέλεσμα</w:t>
      </w:r>
      <w:r w:rsidR="0019744D">
        <w:t>.</w:t>
      </w:r>
      <w:r w:rsidR="00564179">
        <w:t xml:space="preserve"> Τούτο </w:t>
      </w:r>
      <w:r w:rsidR="008673F0">
        <w:t>ισχύει</w:t>
      </w:r>
      <w:r w:rsidR="009C0C10">
        <w:t>, κατά κύριο λόγο,</w:t>
      </w:r>
      <w:r w:rsidR="008673F0">
        <w:t xml:space="preserve"> </w:t>
      </w:r>
      <w:r w:rsidR="00A7270F">
        <w:t>στις προσφυγές που αφορούν</w:t>
      </w:r>
      <w:r w:rsidR="008673F0">
        <w:t xml:space="preserve"> α) </w:t>
      </w:r>
      <w:r w:rsidR="009C0C10">
        <w:t xml:space="preserve">στην παραβίαση του δικαιώματος στη ζωή, κατά το άρθρο 2 της Σύμβασης, </w:t>
      </w:r>
      <w:r w:rsidR="006E237D">
        <w:t xml:space="preserve">και στην απαγόρευση των βασανιστηρίων και της απάνθρωπης και εξευτελιστικής μεταχείρισης, </w:t>
      </w:r>
      <w:r w:rsidR="00976099">
        <w:t xml:space="preserve">κατά το άρθρο 3 της Σύμβασης </w:t>
      </w:r>
      <w:r w:rsidR="006E237D">
        <w:t xml:space="preserve">και, επιπλέον, β) στην </w:t>
      </w:r>
      <w:r w:rsidR="002500AF">
        <w:t>απαγόρευση</w:t>
      </w:r>
      <w:r w:rsidR="001076E5">
        <w:t xml:space="preserve"> απέλασης, κατά το άρθρο 4 του 4</w:t>
      </w:r>
      <w:r w:rsidR="001076E5" w:rsidRPr="001076E5">
        <w:rPr>
          <w:vertAlign w:val="superscript"/>
        </w:rPr>
        <w:t>ου</w:t>
      </w:r>
      <w:r w:rsidR="001076E5">
        <w:t xml:space="preserve"> Πρόσθετου Πρωτοκόλλου της ΕΣΔΑ</w:t>
      </w:r>
      <w:r w:rsidR="007533BD">
        <w:rPr>
          <w:rStyle w:val="a7"/>
        </w:rPr>
        <w:footnoteReference w:id="75"/>
      </w:r>
      <w:r w:rsidR="001432FD">
        <w:t xml:space="preserve">. </w:t>
      </w:r>
    </w:p>
    <w:p w14:paraId="5C73A38F" w14:textId="7AF09C0B" w:rsidR="00CB002B" w:rsidRPr="009E3BC4" w:rsidRDefault="00CB002B" w:rsidP="00B47DF4">
      <w:pPr>
        <w:spacing w:before="120" w:after="120" w:line="360" w:lineRule="auto"/>
      </w:pPr>
      <w:r w:rsidRPr="007533BD">
        <w:tab/>
      </w:r>
      <w:r w:rsidR="009B3CB4">
        <w:t xml:space="preserve">Έτσι, στην υπόθεση </w:t>
      </w:r>
      <w:r w:rsidR="009E3BC4" w:rsidRPr="001C3B35">
        <w:rPr>
          <w:b/>
          <w:bCs/>
          <w:i/>
          <w:iCs/>
          <w:lang w:val="en-US"/>
        </w:rPr>
        <w:t>M</w:t>
      </w:r>
      <w:r w:rsidR="009E3BC4" w:rsidRPr="001C3B35">
        <w:rPr>
          <w:b/>
          <w:bCs/>
          <w:i/>
          <w:iCs/>
        </w:rPr>
        <w:t>.</w:t>
      </w:r>
      <w:r w:rsidR="009E3BC4" w:rsidRPr="001C3B35">
        <w:rPr>
          <w:b/>
          <w:bCs/>
          <w:i/>
          <w:iCs/>
          <w:lang w:val="en-US"/>
        </w:rPr>
        <w:t>S</w:t>
      </w:r>
      <w:r w:rsidR="009E3BC4" w:rsidRPr="001C3B35">
        <w:rPr>
          <w:b/>
          <w:bCs/>
          <w:i/>
          <w:iCs/>
        </w:rPr>
        <w:t>.</w:t>
      </w:r>
      <w:r w:rsidR="009E3BC4" w:rsidRPr="001C3B35">
        <w:rPr>
          <w:b/>
          <w:bCs/>
          <w:i/>
          <w:iCs/>
          <w:lang w:val="en-US"/>
        </w:rPr>
        <w:t>S</w:t>
      </w:r>
      <w:r w:rsidR="00884678">
        <w:rPr>
          <w:b/>
          <w:bCs/>
          <w:i/>
          <w:iCs/>
        </w:rPr>
        <w:t>.</w:t>
      </w:r>
      <w:r w:rsidR="009E3BC4" w:rsidRPr="001C3B35">
        <w:rPr>
          <w:b/>
          <w:bCs/>
          <w:i/>
          <w:iCs/>
        </w:rPr>
        <w:t xml:space="preserve"> κατά Βελγίου και Ελλάδας</w:t>
      </w:r>
      <w:r w:rsidR="009E3BC4">
        <w:t>, το ΕΔΔΑ διαπίστωσε ότι παραβιάστηκε το άρθρο 13 της Σύμβασης, μεταξύ άλλων και, διότι</w:t>
      </w:r>
      <w:r w:rsidR="00E72361">
        <w:t xml:space="preserve"> η διαδικασία </w:t>
      </w:r>
      <w:r w:rsidR="00E72361" w:rsidRPr="00A27E20">
        <w:rPr>
          <w:i/>
          <w:iCs/>
        </w:rPr>
        <w:t>κατεπείγουσας αναστολής</w:t>
      </w:r>
      <w:r w:rsidR="00E72361">
        <w:t xml:space="preserve"> </w:t>
      </w:r>
      <w:r w:rsidR="00B04978">
        <w:t xml:space="preserve">της απόφασης περί απέλασης του προσφεύγοντος </w:t>
      </w:r>
      <w:r w:rsidR="00E72361">
        <w:t xml:space="preserve">που προβλεπόταν στο εσωτερικό δίκαιο, ήτοι της δυνατότητας </w:t>
      </w:r>
      <w:r w:rsidR="00B04978">
        <w:t xml:space="preserve">να ανασταλεί η απόφαση μόνο στην περίπτωση που εκείνος </w:t>
      </w:r>
      <w:r w:rsidR="00E063EB">
        <w:t>αποδείξει τ</w:t>
      </w:r>
      <w:r w:rsidR="00747101">
        <w:t>η</w:t>
      </w:r>
      <w:r w:rsidR="00E063EB">
        <w:t>ν ανεπανόρθωτ</w:t>
      </w:r>
      <w:r w:rsidR="00747101">
        <w:t>η βλάβη</w:t>
      </w:r>
      <w:r w:rsidR="00E063EB">
        <w:t xml:space="preserve"> </w:t>
      </w:r>
      <w:r w:rsidR="00747101">
        <w:t xml:space="preserve">που πρόκειται να υποστεί </w:t>
      </w:r>
      <w:r w:rsidR="00AE08DF">
        <w:t xml:space="preserve">από την </w:t>
      </w:r>
      <w:r w:rsidR="00A27E20">
        <w:t>απέλασή του</w:t>
      </w:r>
      <w:r w:rsidR="00F53F5D">
        <w:t>,</w:t>
      </w:r>
      <w:r w:rsidR="00A27E20">
        <w:t xml:space="preserve"> </w:t>
      </w:r>
      <w:r w:rsidR="00E22B0A">
        <w:t>δεν ήταν αποτελεσματική</w:t>
      </w:r>
      <w:r w:rsidR="007D3143">
        <w:rPr>
          <w:rStyle w:val="a7"/>
        </w:rPr>
        <w:footnoteReference w:id="76"/>
      </w:r>
      <w:r w:rsidR="00E22B0A">
        <w:t>.</w:t>
      </w:r>
    </w:p>
    <w:p w14:paraId="03B02B5D" w14:textId="0B9B3F23" w:rsidR="006B659A" w:rsidRDefault="00555CCF" w:rsidP="00B47DF4">
      <w:pPr>
        <w:spacing w:before="120" w:after="120" w:line="360" w:lineRule="auto"/>
      </w:pPr>
      <w:r>
        <w:t xml:space="preserve"> </w:t>
      </w:r>
    </w:p>
    <w:p w14:paraId="5C194B2B" w14:textId="54688970" w:rsidR="001B1873" w:rsidRPr="001B1873" w:rsidRDefault="001B1873" w:rsidP="001B1873">
      <w:pPr>
        <w:pStyle w:val="1"/>
        <w:spacing w:before="120" w:after="120" w:line="360" w:lineRule="auto"/>
        <w:rPr>
          <w:rFonts w:eastAsiaTheme="minorHAnsi"/>
        </w:rPr>
      </w:pPr>
      <w:bookmarkStart w:id="20" w:name="_Toc166060932"/>
      <w:r w:rsidRPr="001B1873">
        <w:rPr>
          <w:rFonts w:eastAsiaTheme="minorHAnsi"/>
        </w:rPr>
        <w:t>Γ. Η σχέση του άρθρου 13 της ΕΣΔΑ με το δικαίωμα σε δίκαιη δίκη και το δικαίωμα σε δίκη εύλογης διάρκειας, κατά το άρθρο 6 της ΕΣΔΑ</w:t>
      </w:r>
      <w:bookmarkEnd w:id="20"/>
      <w:r w:rsidRPr="001B1873">
        <w:rPr>
          <w:rFonts w:eastAsiaTheme="minorHAnsi"/>
        </w:rPr>
        <w:t xml:space="preserve"> </w:t>
      </w:r>
    </w:p>
    <w:p w14:paraId="78B567A2" w14:textId="3CB20111" w:rsidR="00273137" w:rsidRDefault="00677644" w:rsidP="001B1873">
      <w:pPr>
        <w:spacing w:before="120" w:after="120" w:line="360" w:lineRule="auto"/>
      </w:pPr>
      <w:r>
        <w:t xml:space="preserve"> </w:t>
      </w:r>
      <w:r w:rsidR="001B1873">
        <w:tab/>
        <w:t xml:space="preserve">Δεδομένου ότι η εφαρμογή του άρθρου 13 της Σύμβασης προϋποθέτει την ύπαρξη </w:t>
      </w:r>
      <w:proofErr w:type="spellStart"/>
      <w:r w:rsidR="001B1873">
        <w:t>υποστηρίξιμης</w:t>
      </w:r>
      <w:proofErr w:type="spellEnd"/>
      <w:r w:rsidR="001B1873">
        <w:t xml:space="preserve"> αιτίασης για την παραβίαση ενός άλλου δικαιώματος </w:t>
      </w:r>
      <w:r w:rsidR="00273137">
        <w:t>κατοχυρωμένου στη Σύμβαση, όταν ο προβαλλόμενος ισχυρισμός αντλείται από την παραβίαση του άρθρου 6 παρ. 1 αυτής, γεννάται το ζήτημα της διάρθρωσης και της σχέσης μεταξύ τους</w:t>
      </w:r>
      <w:r w:rsidR="00273137">
        <w:rPr>
          <w:rStyle w:val="a7"/>
        </w:rPr>
        <w:footnoteReference w:id="77"/>
      </w:r>
      <w:r w:rsidR="00273137">
        <w:t xml:space="preserve">. </w:t>
      </w:r>
    </w:p>
    <w:p w14:paraId="5EF27E21" w14:textId="175C54BF" w:rsidR="00FD6641" w:rsidRDefault="00273137" w:rsidP="001B1873">
      <w:pPr>
        <w:spacing w:before="120" w:after="120" w:line="360" w:lineRule="auto"/>
      </w:pPr>
      <w:r>
        <w:tab/>
      </w:r>
      <w:r w:rsidR="001B1873">
        <w:t xml:space="preserve">Παγίως γίνεται δεκτό στη νομολογία του ΕΔΔΑ ότι </w:t>
      </w:r>
      <w:r w:rsidR="001B1873" w:rsidRPr="001E2711">
        <w:rPr>
          <w:b/>
        </w:rPr>
        <w:t>το άρθρο 6 παρ. 1 της Σύμβασης</w:t>
      </w:r>
      <w:r w:rsidR="001B1873" w:rsidRPr="001E2711">
        <w:t>,</w:t>
      </w:r>
      <w:r w:rsidR="001B1873">
        <w:t xml:space="preserve"> κατοχυρώνοντας το δικαίωμα πρόσβασης σε δικαστήριο και επιβάλλοντας ένα πυκνό πλέγμα εγγυήσεων δίκαιης δίκης, </w:t>
      </w:r>
      <w:r w:rsidR="001B1873" w:rsidRPr="001E2711">
        <w:rPr>
          <w:b/>
        </w:rPr>
        <w:t xml:space="preserve">συνιστά </w:t>
      </w:r>
      <w:r w:rsidR="001B1873" w:rsidRPr="001E2711">
        <w:rPr>
          <w:b/>
          <w:lang w:val="en-US"/>
        </w:rPr>
        <w:t>lex</w:t>
      </w:r>
      <w:r w:rsidR="001B1873" w:rsidRPr="001E2711">
        <w:rPr>
          <w:b/>
        </w:rPr>
        <w:t xml:space="preserve"> </w:t>
      </w:r>
      <w:proofErr w:type="spellStart"/>
      <w:r w:rsidR="001B1873" w:rsidRPr="001E2711">
        <w:rPr>
          <w:b/>
          <w:lang w:val="en-US"/>
        </w:rPr>
        <w:t>specialis</w:t>
      </w:r>
      <w:proofErr w:type="spellEnd"/>
      <w:r w:rsidR="001B1873" w:rsidRPr="001B1873">
        <w:t xml:space="preserve"> </w:t>
      </w:r>
      <w:r w:rsidR="001B1873">
        <w:t xml:space="preserve">και, δη, αυστηρότερη σε σχέση με το άρθρο 13, όπου κατοχυρώνεται το δικαίωμα αποτελεσματικής προσφυγής. </w:t>
      </w:r>
      <w:r>
        <w:t xml:space="preserve">Επομένως, </w:t>
      </w:r>
      <w:r w:rsidRPr="001E2711">
        <w:rPr>
          <w:b/>
        </w:rPr>
        <w:t xml:space="preserve">οι διαδικαστικές εγγυήσεις του 13 </w:t>
      </w:r>
      <w:proofErr w:type="spellStart"/>
      <w:r w:rsidRPr="001E2711">
        <w:rPr>
          <w:b/>
        </w:rPr>
        <w:t>απορροφώνται</w:t>
      </w:r>
      <w:proofErr w:type="spellEnd"/>
      <w:r>
        <w:t xml:space="preserve"> από τις αυστηρότερες εγγυήσεις του άρθρου 6 παρ. 1</w:t>
      </w:r>
      <w:r w:rsidR="001E2711">
        <w:rPr>
          <w:rStyle w:val="a7"/>
        </w:rPr>
        <w:footnoteReference w:id="78"/>
      </w:r>
      <w:r>
        <w:t>.</w:t>
      </w:r>
    </w:p>
    <w:p w14:paraId="4C2BD032" w14:textId="36B86D9E" w:rsidR="001E2711" w:rsidRDefault="001E2711" w:rsidP="001B1873">
      <w:pPr>
        <w:spacing w:before="120" w:after="120" w:line="360" w:lineRule="auto"/>
      </w:pPr>
      <w:r>
        <w:lastRenderedPageBreak/>
        <w:tab/>
        <w:t xml:space="preserve">Έτσι, σε πολλές υποθέσεις, </w:t>
      </w:r>
      <w:r w:rsidR="00884678">
        <w:t xml:space="preserve">μεταξύ των οποίων και η </w:t>
      </w:r>
      <w:r w:rsidR="00884678" w:rsidRPr="0065690F">
        <w:rPr>
          <w:b/>
          <w:i/>
          <w:iCs/>
          <w:lang w:val="en-US"/>
        </w:rPr>
        <w:t>Silver</w:t>
      </w:r>
      <w:r w:rsidR="00884678" w:rsidRPr="0065690F">
        <w:rPr>
          <w:b/>
          <w:i/>
          <w:iCs/>
        </w:rPr>
        <w:t xml:space="preserve"> και άλλοι κατά Ηνωμένου Βασιλείου</w:t>
      </w:r>
      <w:r w:rsidR="00884678" w:rsidRPr="00884678">
        <w:rPr>
          <w:iCs/>
        </w:rPr>
        <w:t>,</w:t>
      </w:r>
      <w:r w:rsidR="00884678">
        <w:t xml:space="preserve"> </w:t>
      </w:r>
      <w:r>
        <w:t>όπου διαπιστώθηκε παραβίαση του άρθρου 6 παρ. 1 της Σύμβασης</w:t>
      </w:r>
      <w:r w:rsidR="00884678">
        <w:t>, το Δικαστήριο έκρινε</w:t>
      </w:r>
      <w:r w:rsidR="0065690F">
        <w:t xml:space="preserve"> ότι δεν είναι </w:t>
      </w:r>
      <w:r>
        <w:t xml:space="preserve">αναγκαία </w:t>
      </w:r>
      <w:r w:rsidR="0065690F">
        <w:t xml:space="preserve">η </w:t>
      </w:r>
      <w:r>
        <w:t xml:space="preserve">έρευνα </w:t>
      </w:r>
      <w:r w:rsidR="0065690F">
        <w:t xml:space="preserve">της παραβίασης του άρθρου 13, διότι τούτο </w:t>
      </w:r>
      <w:proofErr w:type="spellStart"/>
      <w:r w:rsidR="0065690F">
        <w:t>απορροφάται</w:t>
      </w:r>
      <w:proofErr w:type="spellEnd"/>
      <w:r w:rsidR="0065690F">
        <w:t xml:space="preserve"> από το άρθρο 6</w:t>
      </w:r>
      <w:r w:rsidR="00884678">
        <w:t xml:space="preserve">, </w:t>
      </w:r>
      <w:r w:rsidR="0065690F">
        <w:rPr>
          <w:iCs/>
        </w:rPr>
        <w:t>υπογρ</w:t>
      </w:r>
      <w:r w:rsidR="00B779FE">
        <w:rPr>
          <w:iCs/>
        </w:rPr>
        <w:t>αμμίζοντας</w:t>
      </w:r>
      <w:r w:rsidR="0065690F">
        <w:rPr>
          <w:iCs/>
        </w:rPr>
        <w:t xml:space="preserve"> ότι η απορρόφηση οφείλεται </w:t>
      </w:r>
      <w:r w:rsidR="0065690F">
        <w:t xml:space="preserve">στο γεγονός ότι οι απαιτήσεις του άρθρου 6 είναι αυστηρότερες του </w:t>
      </w:r>
      <w:r w:rsidR="00171EA5">
        <w:t xml:space="preserve">άρθρου </w:t>
      </w:r>
      <w:r w:rsidR="0065690F">
        <w:t>13</w:t>
      </w:r>
      <w:r w:rsidR="0004482C">
        <w:rPr>
          <w:rStyle w:val="a7"/>
        </w:rPr>
        <w:footnoteReference w:id="79"/>
      </w:r>
      <w:r w:rsidR="0065690F">
        <w:t xml:space="preserve">. </w:t>
      </w:r>
    </w:p>
    <w:p w14:paraId="64433FD2" w14:textId="4EF6AED3" w:rsidR="00B01FF2" w:rsidRDefault="00B01FF2" w:rsidP="001B1873">
      <w:pPr>
        <w:spacing w:before="120" w:after="120" w:line="360" w:lineRule="auto"/>
      </w:pPr>
      <w:r>
        <w:tab/>
        <w:t xml:space="preserve">Όπως έγινε δεκτό, όμως, στη συνέχεια, στην υπόθεση </w:t>
      </w:r>
      <w:r w:rsidRPr="00B01FF2">
        <w:rPr>
          <w:b/>
          <w:i/>
          <w:lang w:val="en-US"/>
        </w:rPr>
        <w:t>Kudla</w:t>
      </w:r>
      <w:r w:rsidRPr="00B01FF2">
        <w:rPr>
          <w:b/>
          <w:i/>
        </w:rPr>
        <w:t xml:space="preserve"> κατά Πολωνίας</w:t>
      </w:r>
      <w:r w:rsidR="00513D66" w:rsidRPr="00513D66">
        <w:t>,</w:t>
      </w:r>
      <w:r w:rsidR="000C2B7F" w:rsidRPr="00513D66">
        <w:t xml:space="preserve"> </w:t>
      </w:r>
      <w:r w:rsidR="000C2B7F">
        <w:t xml:space="preserve">οι διατάξεις των άρθρων 6 και 13 της Σύμβασης </w:t>
      </w:r>
      <w:r w:rsidR="000C2B7F" w:rsidRPr="00513D66">
        <w:rPr>
          <w:b/>
        </w:rPr>
        <w:t>εφαρμόζονται παράλληλα</w:t>
      </w:r>
      <w:r w:rsidR="000C2B7F">
        <w:t>, χωρίς η πρώτη να απορροφά τη δεύτερ</w:t>
      </w:r>
      <w:r w:rsidR="00513D66">
        <w:t>η</w:t>
      </w:r>
      <w:r w:rsidR="000C2B7F">
        <w:t xml:space="preserve">, όταν η παραβίαση αφορά στην </w:t>
      </w:r>
      <w:r w:rsidR="000C2B7F" w:rsidRPr="00513D66">
        <w:rPr>
          <w:b/>
        </w:rPr>
        <w:t>υπέρβαση της εύλογης διάρκειας της δίκης</w:t>
      </w:r>
      <w:r w:rsidR="00513D66" w:rsidRPr="00513D66">
        <w:t xml:space="preserve">. Τούτο διότι </w:t>
      </w:r>
      <w:r w:rsidR="00884678">
        <w:t>το ζήτημα αν ο προσφεύγων επωφελήθηκε από μία δίκη εύλογης διάρκειας είναι διαφορετικό από το αν, εντός του εσωτερικ</w:t>
      </w:r>
      <w:r w:rsidR="00976099">
        <w:t>ού</w:t>
      </w:r>
      <w:r w:rsidR="00884678">
        <w:t xml:space="preserve"> δικαίου, είχε το δικαίωμα να αποκατασταθεί η προσβολή του από την ενδεχόμενη παραβίαση του δικαιώματός του αυτού</w:t>
      </w:r>
      <w:r w:rsidR="00884678">
        <w:rPr>
          <w:rStyle w:val="a7"/>
        </w:rPr>
        <w:footnoteReference w:id="80"/>
      </w:r>
      <w:r w:rsidR="00884678">
        <w:t>. Το δε δικαίωμά του να δικαστεί εντός εύλογου χρονικού διαστήματος θα ήταν αναποτελεσματικό</w:t>
      </w:r>
      <w:r w:rsidR="00171EA5">
        <w:t xml:space="preserve"> αν δεν είχε τη δυνατότητα να προβάλλει ενδεχόμενη παραβίασή του εντός της εθνικής έννομης τάξης</w:t>
      </w:r>
      <w:r w:rsidR="00171EA5">
        <w:rPr>
          <w:rStyle w:val="a7"/>
        </w:rPr>
        <w:footnoteReference w:id="81"/>
      </w:r>
      <w:r w:rsidR="00171EA5">
        <w:t xml:space="preserve">. </w:t>
      </w:r>
    </w:p>
    <w:p w14:paraId="249B2297" w14:textId="77777777" w:rsidR="00043575" w:rsidRDefault="00012B93" w:rsidP="001B1873">
      <w:pPr>
        <w:spacing w:before="120" w:after="120" w:line="360" w:lineRule="auto"/>
      </w:pPr>
      <w:r>
        <w:tab/>
        <w:t xml:space="preserve">Έτσι, στην εν λόγω υπόθεση κρίθηκε ότι </w:t>
      </w:r>
      <w:r w:rsidRPr="00012B93">
        <w:rPr>
          <w:b/>
        </w:rPr>
        <w:t>οι προϋποθέσεις του άρθρου 13 της Σύμβασης πρέπει να ενισχύουν αυτές του άρθρου 6 παρ. 1 της Σύμβασης</w:t>
      </w:r>
      <w:r>
        <w:t xml:space="preserve">, και όχι να αποκλείονται ή, αλλιώς, να </w:t>
      </w:r>
      <w:proofErr w:type="spellStart"/>
      <w:r>
        <w:t>απορροφώνται</w:t>
      </w:r>
      <w:proofErr w:type="spellEnd"/>
      <w:r>
        <w:t>.</w:t>
      </w:r>
    </w:p>
    <w:p w14:paraId="5CBC3E49" w14:textId="04B4A404" w:rsidR="008E636A" w:rsidRDefault="00043575" w:rsidP="001B1873">
      <w:pPr>
        <w:spacing w:before="120" w:after="120" w:line="360" w:lineRule="auto"/>
      </w:pPr>
      <w:r>
        <w:tab/>
      </w:r>
      <w:r w:rsidR="00012B93">
        <w:t xml:space="preserve"> </w:t>
      </w:r>
      <w:r>
        <w:t xml:space="preserve">Η απόφαση </w:t>
      </w:r>
      <w:r w:rsidRPr="00043575">
        <w:rPr>
          <w:i/>
          <w:lang w:val="en-US"/>
        </w:rPr>
        <w:t>Kudla</w:t>
      </w:r>
      <w:r w:rsidRPr="00043575">
        <w:rPr>
          <w:i/>
        </w:rPr>
        <w:t xml:space="preserve"> κατά Πολωνίας</w:t>
      </w:r>
      <w:r>
        <w:t xml:space="preserve"> σηματοδότησε τη μεταστροφή της νομολογίας του </w:t>
      </w:r>
      <w:proofErr w:type="spellStart"/>
      <w:r>
        <w:t>ΕΔΔΑ</w:t>
      </w:r>
      <w:proofErr w:type="spellEnd"/>
      <w:r>
        <w:t>, η οποία θεωρήθηκε από το Δικαστήριο ως επιβεβλημένη</w:t>
      </w:r>
      <w:r w:rsidR="00976099">
        <w:t>,</w:t>
      </w:r>
      <w:r>
        <w:t xml:space="preserve"> εξαιτίας του διαρκώς αυξανόμενου αριθμού των προ</w:t>
      </w:r>
      <w:r w:rsidR="008E636A">
        <w:t>σ</w:t>
      </w:r>
      <w:r>
        <w:t xml:space="preserve">φυγών με αποκλειστική ή κύρια προβαλλόμενη αιτίαση την υπέρβαση της εύλογης διάρκειας της δίκης, καθώς και της συνακόλουθης ανησυχίας του Δικαστηρίου </w:t>
      </w:r>
      <w:r w:rsidR="008E636A">
        <w:t>σχετικά με τους κινδύνους που συνεπάγεται η υπερβολικά αργή απονομή της δικαιοσύνης για το κράτος δικαίου</w:t>
      </w:r>
      <w:r w:rsidR="008E636A">
        <w:rPr>
          <w:rStyle w:val="a7"/>
        </w:rPr>
        <w:footnoteReference w:id="82"/>
      </w:r>
      <w:r w:rsidR="008E636A">
        <w:t>.</w:t>
      </w:r>
    </w:p>
    <w:p w14:paraId="43C304FA" w14:textId="77777777" w:rsidR="008E636A" w:rsidRDefault="008E636A" w:rsidP="001B1873">
      <w:pPr>
        <w:spacing w:before="120" w:after="120" w:line="360" w:lineRule="auto"/>
      </w:pPr>
    </w:p>
    <w:p w14:paraId="10E70E93" w14:textId="50C552A4" w:rsidR="00012B93" w:rsidRDefault="008E636A" w:rsidP="008E636A">
      <w:pPr>
        <w:pStyle w:val="1"/>
        <w:spacing w:before="120" w:after="120" w:line="360" w:lineRule="auto"/>
      </w:pPr>
      <w:bookmarkStart w:id="21" w:name="_Toc166060933"/>
      <w:r w:rsidRPr="008E636A">
        <w:lastRenderedPageBreak/>
        <w:t xml:space="preserve">Δ. Η παραβίαση του δικαιώματος σε δίκη εύλογης διάρκειας </w:t>
      </w:r>
      <w:r>
        <w:t>εντός του ελληνικού κράτους</w:t>
      </w:r>
      <w:bookmarkEnd w:id="21"/>
    </w:p>
    <w:p w14:paraId="3D004401" w14:textId="06E6C451" w:rsidR="00A409F6" w:rsidRPr="00A409F6" w:rsidRDefault="00A409F6" w:rsidP="00A409F6">
      <w:pPr>
        <w:pStyle w:val="2"/>
      </w:pPr>
      <w:bookmarkStart w:id="22" w:name="_Toc166060934"/>
      <w:r>
        <w:t>Γενικά</w:t>
      </w:r>
      <w:bookmarkEnd w:id="22"/>
    </w:p>
    <w:p w14:paraId="14ADC53C" w14:textId="04A8B3CE" w:rsidR="001E2711" w:rsidRDefault="001E2711" w:rsidP="008E636A">
      <w:pPr>
        <w:spacing w:before="120" w:after="120" w:line="360" w:lineRule="auto"/>
      </w:pPr>
      <w:r>
        <w:tab/>
      </w:r>
      <w:r w:rsidR="008E636A">
        <w:t xml:space="preserve">Στο σημείο αυτό επιβάλλεται μία σύντομη επισκόπηση των αποφάσεων του ΕΔΔΑ που έχουν εκδοθεί σε βάρος του ελληνικού κράτους, ως αποτέλεσμα της αργοπορίας στην πρόοδο της δίκης των ποινικών, των αστικών και των διοικητικών δικαστηρίων, ενώ σημειώνεται ότι, λόγω της ανάγκης μίας γενικότερης λύσης στο πρόβλημα αυτό, το ΕΔΔΑ προέβη στην έκδοση μίας σειράς πιλοτικών αποφάσεων </w:t>
      </w:r>
      <w:r w:rsidR="009913F0">
        <w:t>με στόχο τη θεραπεία των ελλειμμάτων και την εγκαθίδρυση ενός λειτουργικ</w:t>
      </w:r>
      <w:r w:rsidR="00976099">
        <w:t>ότερου και αποτελεσματικότερου</w:t>
      </w:r>
      <w:r w:rsidR="009913F0">
        <w:t xml:space="preserve"> συστήματος απονομής της δικαιοσύνης</w:t>
      </w:r>
      <w:r w:rsidR="00A409F6">
        <w:rPr>
          <w:rStyle w:val="a7"/>
        </w:rPr>
        <w:footnoteReference w:id="83"/>
      </w:r>
      <w:r w:rsidR="009913F0">
        <w:t xml:space="preserve">. </w:t>
      </w:r>
    </w:p>
    <w:p w14:paraId="0F153CBB" w14:textId="77777777" w:rsidR="008A2B80" w:rsidRDefault="008A2B80" w:rsidP="008E636A">
      <w:pPr>
        <w:spacing w:before="120" w:after="120" w:line="360" w:lineRule="auto"/>
      </w:pPr>
    </w:p>
    <w:p w14:paraId="425BA05A" w14:textId="6272E787" w:rsidR="00A409F6" w:rsidRDefault="00E5396A" w:rsidP="008A2B80">
      <w:pPr>
        <w:pStyle w:val="2"/>
        <w:spacing w:before="120" w:after="120" w:line="360" w:lineRule="auto"/>
      </w:pPr>
      <w:bookmarkStart w:id="23" w:name="_Toc166060935"/>
      <w:r>
        <w:t>Διοικητική δικαιοσύνη</w:t>
      </w:r>
      <w:bookmarkEnd w:id="23"/>
      <w:r>
        <w:t xml:space="preserve"> </w:t>
      </w:r>
      <w:r w:rsidR="00A409F6">
        <w:t xml:space="preserve"> </w:t>
      </w:r>
    </w:p>
    <w:p w14:paraId="7E006BA8" w14:textId="12A8CD08" w:rsidR="00273137" w:rsidRDefault="00273137" w:rsidP="008A2B80">
      <w:pPr>
        <w:spacing w:before="120" w:after="120" w:line="360" w:lineRule="auto"/>
      </w:pPr>
      <w:r>
        <w:tab/>
      </w:r>
      <w:r w:rsidR="008A2B80">
        <w:t xml:space="preserve">Στην υπόθεση </w:t>
      </w:r>
      <w:r w:rsidR="008A2B80" w:rsidRPr="008A2B80">
        <w:rPr>
          <w:b/>
          <w:i/>
        </w:rPr>
        <w:t>Αθανασίου κατά Ελλάδας</w:t>
      </w:r>
      <w:r w:rsidR="008A2B80">
        <w:rPr>
          <w:rStyle w:val="a7"/>
        </w:rPr>
        <w:footnoteReference w:id="84"/>
      </w:r>
      <w:r w:rsidR="008A2B80">
        <w:t xml:space="preserve">, το Δικαστήριο </w:t>
      </w:r>
      <w:proofErr w:type="spellStart"/>
      <w:r w:rsidR="008A2B80">
        <w:t>απεφάνθη</w:t>
      </w:r>
      <w:proofErr w:type="spellEnd"/>
      <w:r w:rsidR="008A2B80">
        <w:t xml:space="preserve"> ότι η αγωγή αποζημίωσης σε βάρος του Δημοσίου, κατά το άρθρο 105 </w:t>
      </w:r>
      <w:proofErr w:type="spellStart"/>
      <w:r w:rsidR="008A2B80">
        <w:t>ΕισΝΑΚ</w:t>
      </w:r>
      <w:proofErr w:type="spellEnd"/>
      <w:r w:rsidR="008A2B80">
        <w:t>, δεν συνιστά αποτελεσματικό ένδικο μέσο για την αποκατάσταση της παραβίασης του δικαιώματος του προσφεύγοντος σε δίκη εύλογης διάρκειας ενώπιον των διοικητικών δικαστηρίων.</w:t>
      </w:r>
    </w:p>
    <w:p w14:paraId="70CE6167" w14:textId="34ECFC96" w:rsidR="008A2B80" w:rsidRDefault="008A2B80" w:rsidP="008A2B80">
      <w:pPr>
        <w:spacing w:before="120" w:after="120" w:line="360" w:lineRule="auto"/>
      </w:pPr>
      <w:r>
        <w:tab/>
        <w:t>Δεδομένου δε του μακροχρόνιου προβλήματος της υπέρβασης της εύλογης διάρκειας της δίκης εντός του ελληνικού κράτους, το Δικαστήριο</w:t>
      </w:r>
      <w:r w:rsidR="00513537">
        <w:t xml:space="preserve"> </w:t>
      </w:r>
      <w:r>
        <w:t xml:space="preserve">ενέταξε την </w:t>
      </w:r>
      <w:r w:rsidR="00513537">
        <w:t>απόφαση αυτή στην πιλοτική διαδικασία, επιτάσσοντας το ελληνικό κράτος να λάβει τα αναγκαία μέτρα για την αντιμετώπισή του</w:t>
      </w:r>
      <w:r w:rsidR="00513537">
        <w:rPr>
          <w:rStyle w:val="a7"/>
        </w:rPr>
        <w:footnoteReference w:id="85"/>
      </w:r>
      <w:r w:rsidR="00513537">
        <w:t xml:space="preserve">. </w:t>
      </w:r>
    </w:p>
    <w:p w14:paraId="53263DFB" w14:textId="6CDDD68C" w:rsidR="00367D95" w:rsidRDefault="00513537" w:rsidP="00E5396A">
      <w:pPr>
        <w:spacing w:before="120" w:after="120" w:line="360" w:lineRule="auto"/>
      </w:pPr>
      <w:r>
        <w:tab/>
        <w:t>Δύο χρόνια αργότερα, θεσπίστηκε</w:t>
      </w:r>
      <w:r w:rsidR="00A95205">
        <w:t xml:space="preserve"> στην ελληνική έννομη τάξη</w:t>
      </w:r>
      <w:r>
        <w:t xml:space="preserve"> ο </w:t>
      </w:r>
      <w:r w:rsidRPr="002644E7">
        <w:rPr>
          <w:b/>
        </w:rPr>
        <w:t>νόμος 4055/2012</w:t>
      </w:r>
      <w:r w:rsidR="007F26BF">
        <w:t xml:space="preserve">, ο οποίος εισήγαγε </w:t>
      </w:r>
      <w:r w:rsidR="00A95205">
        <w:t xml:space="preserve">δύο </w:t>
      </w:r>
      <w:r w:rsidR="007F26BF">
        <w:t>ένδικα βοηθήματα</w:t>
      </w:r>
      <w:r w:rsidR="00A95205">
        <w:t xml:space="preserve">: ένα προληπτικό, </w:t>
      </w:r>
      <w:r w:rsidR="007F26BF">
        <w:t xml:space="preserve">για την επιτάχυνση της </w:t>
      </w:r>
      <w:r w:rsidR="00E5396A">
        <w:t xml:space="preserve">διοικητικής </w:t>
      </w:r>
      <w:r w:rsidR="007F26BF">
        <w:t xml:space="preserve">διαδικασίας και </w:t>
      </w:r>
      <w:r w:rsidR="00A95205">
        <w:t xml:space="preserve">ένα </w:t>
      </w:r>
      <w:proofErr w:type="spellStart"/>
      <w:r w:rsidR="00A95205">
        <w:t>αποζημιωτικό</w:t>
      </w:r>
      <w:proofErr w:type="spellEnd"/>
      <w:r w:rsidR="00A95205">
        <w:t>, για την αποκατάσταση της ζημίας που υφίστανται τα πρόσωπα από την υπέρβαση</w:t>
      </w:r>
      <w:r w:rsidR="007F26BF">
        <w:t xml:space="preserve"> της εύλογης διάρκειας της </w:t>
      </w:r>
      <w:r w:rsidR="00E5396A">
        <w:t xml:space="preserve">διοικητικής </w:t>
      </w:r>
      <w:r w:rsidR="007F26BF">
        <w:t>δίκης. Τα</w:t>
      </w:r>
      <w:r w:rsidR="00A95205">
        <w:t xml:space="preserve"> ένδικα αυτά βοηθήματα κρίθηκαν</w:t>
      </w:r>
      <w:r w:rsidR="00D47E8A">
        <w:t>, μάλιστα,</w:t>
      </w:r>
      <w:r w:rsidR="00A95205">
        <w:t xml:space="preserve"> </w:t>
      </w:r>
      <w:r w:rsidR="007F26BF">
        <w:t xml:space="preserve">στην υπόθεση </w:t>
      </w:r>
      <w:r w:rsidR="007F26BF" w:rsidRPr="00A95205">
        <w:rPr>
          <w:b/>
          <w:i/>
        </w:rPr>
        <w:t>Τ.Ο.Α.Ε. κατά Ελλάδας</w:t>
      </w:r>
      <w:r w:rsidR="007F26BF">
        <w:t xml:space="preserve">, </w:t>
      </w:r>
      <w:r w:rsidR="007F26BF" w:rsidRPr="00B8220D">
        <w:rPr>
          <w:b/>
        </w:rPr>
        <w:t>αποτελεσματικά</w:t>
      </w:r>
      <w:r w:rsidR="007F26BF">
        <w:t xml:space="preserve">, ώστε το </w:t>
      </w:r>
      <w:r w:rsidR="00A95205">
        <w:t>Δικαστήριο κατέληξε στο συμπέρασμα ότι</w:t>
      </w:r>
      <w:r w:rsidR="00482E17">
        <w:t>, στην προκειμένη περίπτωση,</w:t>
      </w:r>
      <w:r w:rsidR="00A95205">
        <w:t xml:space="preserve"> δεν παραβιάστηκε το άρθρο 13 της Σύμβασης.</w:t>
      </w:r>
      <w:r w:rsidR="00B43046">
        <w:t xml:space="preserve"> Συγκεκριμένα, ως προς τη διαθέσιμη προληπτική προσφυγή, το Δικαστήριο έκρινε ότι είναι αποτελεσματική, διότι προβλέπει πρόσθετες προϋποθέσεις που αποσκοπούν στην </w:t>
      </w:r>
      <w:r w:rsidR="00B43046">
        <w:lastRenderedPageBreak/>
        <w:t xml:space="preserve">εκδίκαση της υπόθεσης εντός συντομότερων προθεσμιών και, ως προς την </w:t>
      </w:r>
      <w:proofErr w:type="spellStart"/>
      <w:r w:rsidR="00B43046">
        <w:t>αποζημιωτική</w:t>
      </w:r>
      <w:proofErr w:type="spellEnd"/>
      <w:r w:rsidR="00482E17">
        <w:t xml:space="preserve"> προσφυγή</w:t>
      </w:r>
      <w:r w:rsidR="00B43046">
        <w:t xml:space="preserve">, </w:t>
      </w:r>
      <w:r w:rsidR="00B43046" w:rsidRPr="00B43046">
        <w:t>το Δικαστήριο έκρινε</w:t>
      </w:r>
      <w:r w:rsidR="00B43046">
        <w:t>, επίσης,</w:t>
      </w:r>
      <w:r w:rsidR="00B43046" w:rsidRPr="00B43046">
        <w:t xml:space="preserve"> ότι είναι αποτελεσματική, </w:t>
      </w:r>
      <w:r w:rsidR="00B43046">
        <w:t xml:space="preserve">διότι </w:t>
      </w:r>
      <w:r w:rsidR="00482E17">
        <w:t>α) εφαρμόζονται οι εγγυήσεις της δίκαιης δίκης, β) εξασφαλίζεται η αμεροληψία του αρμόδιου δικαστηρίου</w:t>
      </w:r>
      <w:r w:rsidR="00482E17" w:rsidRPr="00482E17">
        <w:t xml:space="preserve"> </w:t>
      </w:r>
      <w:r w:rsidR="00482E17">
        <w:t xml:space="preserve">να την εξετάσει, γ) </w:t>
      </w:r>
      <w:r w:rsidR="00B3710A">
        <w:t xml:space="preserve">προβλέπεται η εκδίκασή της εντός σύντομης προθεσμίας, δ) </w:t>
      </w:r>
      <w:r w:rsidR="004B4130">
        <w:t>το</w:t>
      </w:r>
      <w:r w:rsidR="00B3710A">
        <w:t xml:space="preserve"> χρηματικό </w:t>
      </w:r>
      <w:r w:rsidR="004B4130">
        <w:t xml:space="preserve">ποσό που ορίζεται </w:t>
      </w:r>
      <w:r w:rsidR="00B3710A">
        <w:t>για την κάλυψη των δικαστικών εξόδων της διαδικασίας</w:t>
      </w:r>
      <w:r w:rsidR="004B4130">
        <w:t xml:space="preserve"> είναι εύλογο, </w:t>
      </w:r>
      <w:r w:rsidR="00B3710A">
        <w:t>ε)</w:t>
      </w:r>
      <w:r w:rsidR="004B4130">
        <w:t xml:space="preserve"> τα χρηματικά ποσά που έχουν επιδικάσει τα ελληνικά δικαστήρια κατά την εφαρμογή της σε παρόμοιες υποθέσεις, αν και μικρότερα από τα ποσά που επιδικάζει το Δικαστήριο, δεν είναι μη εύλογα και, τέλος, στ) </w:t>
      </w:r>
      <w:r w:rsidR="00A859CF">
        <w:t>προβλέπεται ότι η απόφαση που εκδίδεται σε βάρος του ελληνικού κράτους εκτελείται εντός έξι μηνών.</w:t>
      </w:r>
    </w:p>
    <w:p w14:paraId="157CB6D1" w14:textId="77777777" w:rsidR="00E5396A" w:rsidRDefault="00E5396A" w:rsidP="00E5396A">
      <w:pPr>
        <w:spacing w:before="120" w:after="120" w:line="360" w:lineRule="auto"/>
      </w:pPr>
    </w:p>
    <w:p w14:paraId="68FCD789" w14:textId="6C7AA526" w:rsidR="00E5396A" w:rsidRDefault="00E5396A" w:rsidP="00E5396A">
      <w:pPr>
        <w:pStyle w:val="2"/>
        <w:spacing w:before="120" w:after="120" w:line="360" w:lineRule="auto"/>
      </w:pPr>
      <w:bookmarkStart w:id="24" w:name="_Toc166060936"/>
      <w:r>
        <w:t>Ποινική και πολιτική δικαιοσύνη</w:t>
      </w:r>
      <w:bookmarkEnd w:id="24"/>
      <w:r>
        <w:t xml:space="preserve">  </w:t>
      </w:r>
    </w:p>
    <w:p w14:paraId="2B298CAD" w14:textId="57068D3F" w:rsidR="00E5396A" w:rsidRDefault="00E5396A" w:rsidP="00E5396A">
      <w:pPr>
        <w:spacing w:before="120" w:after="120" w:line="360" w:lineRule="auto"/>
      </w:pPr>
      <w:r>
        <w:tab/>
        <w:t xml:space="preserve">Στην υπόθεση </w:t>
      </w:r>
      <w:proofErr w:type="spellStart"/>
      <w:r w:rsidRPr="00E5396A">
        <w:rPr>
          <w:b/>
          <w:i/>
        </w:rPr>
        <w:t>Μιχελιουδάκης</w:t>
      </w:r>
      <w:proofErr w:type="spellEnd"/>
      <w:r w:rsidRPr="00E5396A">
        <w:rPr>
          <w:b/>
          <w:i/>
        </w:rPr>
        <w:t xml:space="preserve"> κατά Ελλάδας</w:t>
      </w:r>
      <w:r>
        <w:rPr>
          <w:rStyle w:val="a7"/>
          <w:b/>
          <w:i/>
        </w:rPr>
        <w:footnoteReference w:id="86"/>
      </w:r>
      <w:r>
        <w:t xml:space="preserve">, το Δικαστήριο </w:t>
      </w:r>
      <w:proofErr w:type="spellStart"/>
      <w:r>
        <w:t>απεφάνθη</w:t>
      </w:r>
      <w:proofErr w:type="spellEnd"/>
      <w:r>
        <w:t xml:space="preserve">, αυτή τη φορά για την ποινική δίκη, αντί της διοικητικής, ότι </w:t>
      </w:r>
      <w:r w:rsidRPr="00E5396A">
        <w:t xml:space="preserve">η αγωγή αποζημίωσης σε βάρος του Δημοσίου, κατά το άρθρο 105 </w:t>
      </w:r>
      <w:proofErr w:type="spellStart"/>
      <w:r w:rsidRPr="00E5396A">
        <w:t>ΕισΝΑΚ</w:t>
      </w:r>
      <w:proofErr w:type="spellEnd"/>
      <w:r w:rsidRPr="00E5396A">
        <w:t>, δεν συνιστά αποτελεσματικό ένδικο μέσο για την αποκατάσταση της παραβίασης του δικαιώματος του προσφεύγοντος σε δίκη εύλογης διάρκειας</w:t>
      </w:r>
      <w:r>
        <w:t xml:space="preserve">. </w:t>
      </w:r>
    </w:p>
    <w:p w14:paraId="39A15DD5" w14:textId="219A644B" w:rsidR="00E5396A" w:rsidRDefault="00E5396A" w:rsidP="00E5396A">
      <w:pPr>
        <w:spacing w:before="120" w:after="120" w:line="360" w:lineRule="auto"/>
      </w:pPr>
      <w:r>
        <w:tab/>
        <w:t xml:space="preserve">Το </w:t>
      </w:r>
      <w:proofErr w:type="spellStart"/>
      <w:r>
        <w:t>ΕΔΔΑ</w:t>
      </w:r>
      <w:proofErr w:type="spellEnd"/>
      <w:r w:rsidR="00976099">
        <w:t xml:space="preserve"> </w:t>
      </w:r>
      <w:r>
        <w:t xml:space="preserve">ενέταξε και αυτήν </w:t>
      </w:r>
      <w:r w:rsidRPr="00E5396A">
        <w:t xml:space="preserve">την απόφαση στην πιλοτική διαδικασία, </w:t>
      </w:r>
      <w:r>
        <w:t xml:space="preserve">προκειμένου να επιταχθεί </w:t>
      </w:r>
      <w:r w:rsidRPr="00E5396A">
        <w:t>το ελληνικό κράτος να λάβει τα ανα</w:t>
      </w:r>
      <w:r>
        <w:t>γκαία μέτρα για την αντιμετώπιση</w:t>
      </w:r>
      <w:r w:rsidRPr="00E5396A">
        <w:t xml:space="preserve"> του</w:t>
      </w:r>
      <w:r>
        <w:t xml:space="preserve"> προβλήματος της υπέρβασης της εύλογης διάρκειας και στο πλαίσιο της ποινικής δικαιοσύνης.</w:t>
      </w:r>
    </w:p>
    <w:p w14:paraId="71A038CE" w14:textId="6FDF6866" w:rsidR="00186708" w:rsidRDefault="00186708" w:rsidP="00E5396A">
      <w:pPr>
        <w:spacing w:before="120" w:after="120" w:line="360" w:lineRule="auto"/>
      </w:pPr>
      <w:r>
        <w:tab/>
        <w:t>Το</w:t>
      </w:r>
      <w:r w:rsidR="00976099">
        <w:t xml:space="preserve">ύτο </w:t>
      </w:r>
      <w:r>
        <w:t xml:space="preserve">συνέβη και στην υπόθεση </w:t>
      </w:r>
      <w:proofErr w:type="spellStart"/>
      <w:r w:rsidRPr="00186708">
        <w:rPr>
          <w:b/>
          <w:i/>
        </w:rPr>
        <w:t>Γλύκαντζη</w:t>
      </w:r>
      <w:proofErr w:type="spellEnd"/>
      <w:r w:rsidRPr="00186708">
        <w:rPr>
          <w:b/>
          <w:i/>
        </w:rPr>
        <w:t xml:space="preserve"> κατά Ελλάδας</w:t>
      </w:r>
      <w:r>
        <w:t xml:space="preserve">, η οποία αφορούσε στην παραβίαση του δικαιώματος της προσφεύγουσας σε δίκη εύλογης διάρκειας ενώπιον των πολιτικών δικαστηρίων, ώστε και αυτή εντάχθηκε από το Δικαστήριο στην πιλοτική διαδικασία, προκειμένου να αντιμετωπιστεί, συνολικώς, το πρόβλημα της αργοπορίας στην απονομή της ελληνικής δικαιοσύνης. </w:t>
      </w:r>
    </w:p>
    <w:p w14:paraId="1AE0F785" w14:textId="77777777" w:rsidR="00362D1D" w:rsidRDefault="00186708" w:rsidP="00E5396A">
      <w:pPr>
        <w:spacing w:before="120" w:after="120" w:line="360" w:lineRule="auto"/>
      </w:pPr>
      <w:r>
        <w:tab/>
        <w:t xml:space="preserve">Κατόπιν των δύο αυτών αποφάσεων, εισήχθη στο ελληνικό νομικό σύστημα ο </w:t>
      </w:r>
      <w:r w:rsidRPr="002644E7">
        <w:rPr>
          <w:b/>
        </w:rPr>
        <w:t>νόμος 4239/2014</w:t>
      </w:r>
      <w:r>
        <w:t xml:space="preserve"> σχετικά με τη δίκαιη ικανοποίηση λόγω υπέρβασης της εύλογης διάρκειας της δίκης </w:t>
      </w:r>
      <w:r w:rsidR="002644E7">
        <w:t>στα πολιτικά και ποινικά δικαστήρια και στο Ελεγκτικό Συνέδριο, ο οποίος εισήγαγε την α</w:t>
      </w:r>
      <w:r w:rsidR="00B376D5">
        <w:t xml:space="preserve">ίτηση για δίκαιη ικανοποίηση στην περίπτωση αδικαιολόγητης υπέρβασης της εύλογης διάρκειας της ποινικής ή πολιτικής δίκης ή της δίκης ενώπιον του </w:t>
      </w:r>
      <w:r w:rsidR="00B376D5">
        <w:lastRenderedPageBreak/>
        <w:t xml:space="preserve">Ελεγκτικού Συνεδρίου, ενώ, ειδικά για την ποινική δίκη, προέβλεψε επιπλέον, ότι η υπέρβασή της θα λαμβάνεται υπόψη κατά την επιμέτρηση της ποινής. </w:t>
      </w:r>
    </w:p>
    <w:p w14:paraId="5F253F92" w14:textId="2C589D06" w:rsidR="00E5396A" w:rsidRDefault="00362D1D" w:rsidP="00E5396A">
      <w:pPr>
        <w:spacing w:before="120" w:after="120" w:line="360" w:lineRule="auto"/>
      </w:pPr>
      <w:r>
        <w:tab/>
        <w:t xml:space="preserve">Η ρύθμιση αυτή αξιολογήθηκε από το </w:t>
      </w:r>
      <w:proofErr w:type="spellStart"/>
      <w:r>
        <w:t>ΕΔΔΑ</w:t>
      </w:r>
      <w:proofErr w:type="spellEnd"/>
      <w:r>
        <w:t xml:space="preserve">, στην υπόθεση </w:t>
      </w:r>
      <w:proofErr w:type="spellStart"/>
      <w:r w:rsidRPr="00362D1D">
        <w:rPr>
          <w:b/>
          <w:i/>
        </w:rPr>
        <w:t>Ξυνός</w:t>
      </w:r>
      <w:proofErr w:type="spellEnd"/>
      <w:r w:rsidRPr="00362D1D">
        <w:rPr>
          <w:b/>
          <w:i/>
        </w:rPr>
        <w:t xml:space="preserve"> κατά Ελλάδος</w:t>
      </w:r>
      <w:r>
        <w:t xml:space="preserve">, και κρίθηκε </w:t>
      </w:r>
      <w:r w:rsidRPr="00B8220D">
        <w:rPr>
          <w:b/>
        </w:rPr>
        <w:t>αποτελεσματική</w:t>
      </w:r>
      <w:r w:rsidR="00014677">
        <w:t>, διότι</w:t>
      </w:r>
      <w:r w:rsidR="00F634A8">
        <w:t xml:space="preserve">, όπως και στην υπόθεση </w:t>
      </w:r>
      <w:r w:rsidR="00F634A8" w:rsidRPr="00976099">
        <w:rPr>
          <w:b/>
          <w:bCs/>
          <w:i/>
          <w:iCs/>
        </w:rPr>
        <w:t>Τ.Ο.Α.Ε. κατά Ελλάδας</w:t>
      </w:r>
      <w:r w:rsidR="00F634A8">
        <w:t xml:space="preserve">, </w:t>
      </w:r>
      <w:r w:rsidR="00F634A8" w:rsidRPr="00F634A8">
        <w:t>α) εφαρμόζονται οι εγγυήσεις της δίκαιης δίκης, β) εξασφαλίζεται η αμεροληψία του αρμόδιου δικαστηρίου να την εξετάσει, γ) προβλέπεται η εκδίκασή της εντός σύντομης προθεσμίας, δ) το χρηματικό ποσό που ορίζεται για την κάλυψη των δικαστικών εξόδων της διαδ</w:t>
      </w:r>
      <w:r w:rsidR="00F634A8">
        <w:t>ι</w:t>
      </w:r>
      <w:r w:rsidR="00F634A8" w:rsidRPr="00F634A8">
        <w:t>κασίας είναι εύλογο</w:t>
      </w:r>
      <w:r w:rsidR="00BB51CF">
        <w:t xml:space="preserve"> </w:t>
      </w:r>
      <w:r w:rsidR="00F634A8" w:rsidRPr="00F634A8">
        <w:t>και</w:t>
      </w:r>
      <w:r w:rsidR="00BB51CF">
        <w:t xml:space="preserve"> </w:t>
      </w:r>
      <w:r w:rsidR="00F634A8">
        <w:t>ε</w:t>
      </w:r>
      <w:r w:rsidR="00F634A8" w:rsidRPr="00F634A8">
        <w:t>) προβλέπεται ότι η απόφαση που εκδίδεται σε βάρος του ελληνικού κράτους εκτελείται εντός έξι μηνών</w:t>
      </w:r>
      <w:r w:rsidR="00BB51CF">
        <w:t>. Επιπλέον, το Δικαστήριο έκρινε ότι η μη προσκομιδή</w:t>
      </w:r>
      <w:r w:rsidR="00F634A8" w:rsidRPr="00F634A8">
        <w:t xml:space="preserve"> από το ελληνικό κράτος κάποια</w:t>
      </w:r>
      <w:r w:rsidR="00BB51CF">
        <w:t>ς</w:t>
      </w:r>
      <w:r w:rsidR="00F634A8" w:rsidRPr="00F634A8">
        <w:t xml:space="preserve"> απόφαση</w:t>
      </w:r>
      <w:r w:rsidR="00BB51CF">
        <w:t>ς</w:t>
      </w:r>
      <w:r w:rsidR="00F634A8" w:rsidRPr="00F634A8">
        <w:t xml:space="preserve"> που </w:t>
      </w:r>
      <w:r w:rsidR="00976099">
        <w:t xml:space="preserve">έχει δεχθεί κατ’ </w:t>
      </w:r>
      <w:proofErr w:type="spellStart"/>
      <w:r w:rsidR="00976099">
        <w:t>ουσίαν</w:t>
      </w:r>
      <w:proofErr w:type="spellEnd"/>
      <w:r w:rsidR="00976099">
        <w:t xml:space="preserve"> </w:t>
      </w:r>
      <w:r w:rsidR="00F634A8" w:rsidRPr="00F634A8">
        <w:t>την εν λόγω αίτηση</w:t>
      </w:r>
      <w:r w:rsidR="00BB51CF">
        <w:t xml:space="preserve"> δεν καθιστά άνευ ετέρου αναποτελεσματική τη συγκεκριμένη προσφυγή στην πράξη, δεδομένου ότι η ρύθμιση είχε εισαχθεί στον νόμο </w:t>
      </w:r>
      <w:r w:rsidR="00E53874">
        <w:t xml:space="preserve">πολύ </w:t>
      </w:r>
      <w:r w:rsidR="00BB51CF">
        <w:t>πρ</w:t>
      </w:r>
      <w:r w:rsidR="00E53874">
        <w:t>όσφατα</w:t>
      </w:r>
      <w:r w:rsidR="00BB51CF">
        <w:t xml:space="preserve">. </w:t>
      </w:r>
    </w:p>
    <w:p w14:paraId="01668237" w14:textId="77777777" w:rsidR="00563DD3" w:rsidRDefault="00563DD3" w:rsidP="00E5396A">
      <w:pPr>
        <w:spacing w:before="120" w:after="120" w:line="360" w:lineRule="auto"/>
      </w:pPr>
    </w:p>
    <w:p w14:paraId="0D34F497" w14:textId="59C11520" w:rsidR="00E5396A" w:rsidRDefault="00563DD3" w:rsidP="00563DD3">
      <w:pPr>
        <w:pStyle w:val="1"/>
        <w:spacing w:before="120" w:after="120" w:line="360" w:lineRule="auto"/>
      </w:pPr>
      <w:bookmarkStart w:id="25" w:name="_Toc166060937"/>
      <w:r>
        <w:t>Ε. Συμπέρασμα</w:t>
      </w:r>
      <w:bookmarkEnd w:id="25"/>
    </w:p>
    <w:p w14:paraId="1019469C" w14:textId="45A59A96" w:rsidR="00563DD3" w:rsidRDefault="00563DD3" w:rsidP="00563DD3">
      <w:pPr>
        <w:spacing w:before="120" w:after="120" w:line="360" w:lineRule="auto"/>
      </w:pPr>
      <w:r>
        <w:tab/>
        <w:t>Από τη συνοπτική παράθεση της διαχρονικής νομολογίας του ΕΔΔΑ, σχετικά με την παραβίαση του δικαιώματος αποτελεσματικής προσφυγής, όπως αυτή καθιερώνεται στο άρθρο 13 της ΕΣΔΑ, διαπιστώνεται, ευχερέστερα, η επικουρική προστασία που παρέχει το Δικαστήριο σε περίπτωση παραβ</w:t>
      </w:r>
      <w:r w:rsidR="006A498C">
        <w:t xml:space="preserve">ιάσεων συμβατικών δικαιωμάτων. </w:t>
      </w:r>
      <w:r>
        <w:t xml:space="preserve">Η αυτόνομη εφαρμογή του </w:t>
      </w:r>
      <w:r w:rsidR="00976099">
        <w:t xml:space="preserve">άρθρου </w:t>
      </w:r>
      <w:r>
        <w:t>13</w:t>
      </w:r>
      <w:r w:rsidR="006A498C">
        <w:t xml:space="preserve"> της Σύμβασης, η οποία αναπτύχθηκε και καλλιεργήθηκε από το Δικαστήριο </w:t>
      </w:r>
      <w:r>
        <w:t>με την πάροδο των ετών</w:t>
      </w:r>
      <w:r w:rsidR="006A498C">
        <w:t>,</w:t>
      </w:r>
      <w:r>
        <w:t xml:space="preserve"> </w:t>
      </w:r>
      <w:r w:rsidR="006A498C">
        <w:t xml:space="preserve">καθιστά την επικουρική προστασία του ακόμη πιο εμφανή. </w:t>
      </w:r>
    </w:p>
    <w:p w14:paraId="7E299BB5" w14:textId="187B1448" w:rsidR="006A498C" w:rsidRDefault="006A498C" w:rsidP="00563DD3">
      <w:pPr>
        <w:spacing w:before="120" w:after="120" w:line="360" w:lineRule="auto"/>
      </w:pPr>
      <w:r>
        <w:tab/>
        <w:t xml:space="preserve">Παράλληλα, η έκδοση πιλοτικών αποφάσεων με σκοπό την οριστική αντιμετώπιση παραβιάσεων της Σύμβασης, που απασχολούν, σε μεγάλο βαθμό, το Δικαστήριο λόγω του αριθμού και του όγκου τους, μέσω της υπόδειξης στο καθ’ ου κράτος μέρος των μέτρων που υποχρεούται να λάβει προς αντιμετώπισή τους, συνιστά, ακόμη, έναν </w:t>
      </w:r>
      <w:proofErr w:type="spellStart"/>
      <w:r>
        <w:t>ενδείκτη</w:t>
      </w:r>
      <w:proofErr w:type="spellEnd"/>
      <w:r>
        <w:t xml:space="preserve"> της προσπάθειας του Δικαστηρίου να διασφαλίζει, με κάθε τρόπο, την επικουρική </w:t>
      </w:r>
      <w:r w:rsidR="00B84324">
        <w:t>του</w:t>
      </w:r>
      <w:r>
        <w:t xml:space="preserve"> προστασία έναντι της προστασίας των κρατών μερών.</w:t>
      </w:r>
    </w:p>
    <w:p w14:paraId="64D2C472" w14:textId="2B1D05F8" w:rsidR="00152CB9" w:rsidRDefault="00B84324" w:rsidP="00563DD3">
      <w:pPr>
        <w:spacing w:before="120" w:after="120" w:line="360" w:lineRule="auto"/>
      </w:pPr>
      <w:r>
        <w:tab/>
        <w:t>Από την εξέλιξη δε της νομολογίας του, προκύπτει ότι δίνεται ολοένα και μεγαλύτερη έμφαση στην προστασία των συμβατικών δικαιωμάτων, καθώς και στην υποχρέωση των κρατών μερών να τα προστατεύουν με τον πλέον αποτελεσματικό τρόπο, ερευνώντας ουσιαστικά και αποτελεσματικά κάθε επικαλούμενη παραβίασ</w:t>
      </w:r>
      <w:r w:rsidR="00A125D8">
        <w:t>ή τους</w:t>
      </w:r>
      <w:r>
        <w:t>.</w:t>
      </w:r>
    </w:p>
    <w:p w14:paraId="744F61AB" w14:textId="12293CCA" w:rsidR="00F03602" w:rsidRDefault="00F03602" w:rsidP="00F03602">
      <w:pPr>
        <w:pStyle w:val="1"/>
      </w:pPr>
      <w:bookmarkStart w:id="26" w:name="_Toc166060938"/>
      <w:r>
        <w:lastRenderedPageBreak/>
        <w:t>Βιβλιογραφία - Νομολογία</w:t>
      </w:r>
      <w:bookmarkEnd w:id="26"/>
    </w:p>
    <w:p w14:paraId="3439A7A0" w14:textId="7B212E77" w:rsidR="00F03602" w:rsidRDefault="00F03602" w:rsidP="00F03602">
      <w:pPr>
        <w:spacing w:before="120" w:after="120" w:line="360" w:lineRule="auto"/>
      </w:pPr>
      <w:r w:rsidRPr="00F03602">
        <w:rPr>
          <w:b/>
          <w:bCs/>
        </w:rPr>
        <w:t>Μ. Μαργαρίτης</w:t>
      </w:r>
      <w:r w:rsidRPr="00F03602">
        <w:t xml:space="preserve">, </w:t>
      </w:r>
      <w:r w:rsidRPr="00F03602">
        <w:rPr>
          <w:i/>
          <w:iCs/>
        </w:rPr>
        <w:t>Η Ευρωπαϊκή Σύμβαση Δικαιωμάτων του Ανθρώπου (ΕΣΔΑ) και των Πρωτοκόλλων υπ’ αριθμ. 1, 6, 7, &amp; 13, Μια Συνοπτική Ερμηνεία</w:t>
      </w:r>
      <w:r w:rsidRPr="00F03602">
        <w:t xml:space="preserve">, Π.Ν. </w:t>
      </w:r>
      <w:proofErr w:type="spellStart"/>
      <w:r>
        <w:t>Σάκκουλας</w:t>
      </w:r>
      <w:proofErr w:type="spellEnd"/>
      <w:r>
        <w:t>, 2019.</w:t>
      </w:r>
    </w:p>
    <w:p w14:paraId="08AF58A5" w14:textId="411354CB" w:rsidR="00F03602" w:rsidRPr="00F03602" w:rsidRDefault="00F03602" w:rsidP="00F03602">
      <w:pPr>
        <w:spacing w:before="120" w:after="120" w:line="360" w:lineRule="auto"/>
      </w:pPr>
      <w:r w:rsidRPr="00F03602">
        <w:rPr>
          <w:b/>
          <w:bCs/>
        </w:rPr>
        <w:t>Ι. Σαρμά</w:t>
      </w:r>
      <w:r>
        <w:rPr>
          <w:b/>
          <w:bCs/>
        </w:rPr>
        <w:t>ς</w:t>
      </w:r>
      <w:r w:rsidRPr="00F03602">
        <w:t xml:space="preserve">, </w:t>
      </w:r>
      <w:r w:rsidRPr="00F03602">
        <w:rPr>
          <w:b/>
          <w:bCs/>
        </w:rPr>
        <w:t xml:space="preserve">Ξ. </w:t>
      </w:r>
      <w:proofErr w:type="spellStart"/>
      <w:r w:rsidRPr="00F03602">
        <w:rPr>
          <w:b/>
          <w:bCs/>
        </w:rPr>
        <w:t>Κοντιάδη</w:t>
      </w:r>
      <w:r>
        <w:rPr>
          <w:b/>
          <w:bCs/>
        </w:rPr>
        <w:t>ς</w:t>
      </w:r>
      <w:proofErr w:type="spellEnd"/>
      <w:r w:rsidRPr="00F03602">
        <w:t xml:space="preserve">, </w:t>
      </w:r>
      <w:r>
        <w:rPr>
          <w:b/>
          <w:bCs/>
        </w:rPr>
        <w:t>Χ. Ανθόπουλος</w:t>
      </w:r>
      <w:r w:rsidRPr="00F03602">
        <w:t xml:space="preserve">, </w:t>
      </w:r>
      <w:r w:rsidRPr="00F03602">
        <w:rPr>
          <w:i/>
          <w:iCs/>
        </w:rPr>
        <w:t>ΕΣΔΑ, Κατ’ άρθρο ερμηνεία</w:t>
      </w:r>
      <w:r w:rsidRPr="00F03602">
        <w:t>, Κέντρο Ευρωπαϊκού Συνταγματικού Δικαίου</w:t>
      </w:r>
      <w:r>
        <w:t xml:space="preserve">, </w:t>
      </w:r>
      <w:proofErr w:type="spellStart"/>
      <w:r>
        <w:t>Εκδ</w:t>
      </w:r>
      <w:proofErr w:type="spellEnd"/>
      <w:r>
        <w:t xml:space="preserve">. </w:t>
      </w:r>
      <w:proofErr w:type="spellStart"/>
      <w:r>
        <w:t>Σάκκουλας</w:t>
      </w:r>
      <w:proofErr w:type="spellEnd"/>
      <w:r>
        <w:t xml:space="preserve"> Αθήνα Θεσσαλονίκη, 2021.</w:t>
      </w:r>
    </w:p>
    <w:p w14:paraId="430092A0" w14:textId="3669FE4B" w:rsidR="00F03602" w:rsidRDefault="00F03602" w:rsidP="00F03602">
      <w:pPr>
        <w:spacing w:before="120" w:after="120" w:line="360" w:lineRule="auto"/>
      </w:pPr>
      <w:r w:rsidRPr="00F03602">
        <w:rPr>
          <w:b/>
          <w:bCs/>
        </w:rPr>
        <w:t xml:space="preserve">Λ. </w:t>
      </w:r>
      <w:proofErr w:type="spellStart"/>
      <w:r w:rsidRPr="00F03602">
        <w:rPr>
          <w:b/>
          <w:bCs/>
        </w:rPr>
        <w:t>Σισιλιάνο</w:t>
      </w:r>
      <w:r>
        <w:rPr>
          <w:b/>
          <w:bCs/>
        </w:rPr>
        <w:t>ς</w:t>
      </w:r>
      <w:proofErr w:type="spellEnd"/>
      <w:r w:rsidRPr="00F03602">
        <w:t xml:space="preserve">, </w:t>
      </w:r>
      <w:r w:rsidRPr="00F03602">
        <w:rPr>
          <w:i/>
          <w:iCs/>
        </w:rPr>
        <w:t>Ευρωπαϊκή Σύμβαση Δικαιωμάτων του Ανθρώπου, Ερμηνεία κατ’ άρθρο</w:t>
      </w:r>
      <w:r w:rsidRPr="00F03602">
        <w:t>, Νομική Βιβλιοθήκη, 2017</w:t>
      </w:r>
      <w:r>
        <w:t>.</w:t>
      </w:r>
    </w:p>
    <w:p w14:paraId="563EFBE6" w14:textId="4DE9CD3B" w:rsidR="00F03602" w:rsidRDefault="00F03602" w:rsidP="00F03602">
      <w:pPr>
        <w:spacing w:before="120" w:after="120" w:line="360" w:lineRule="auto"/>
        <w:rPr>
          <w:lang w:val="en-US"/>
        </w:rPr>
      </w:pPr>
      <w:r w:rsidRPr="00F03602">
        <w:rPr>
          <w:i/>
          <w:iCs/>
          <w:lang w:val="en-US"/>
        </w:rPr>
        <w:t>Guide on Article 13 of the European Convention of Human Rights, Right to an effective remedy</w:t>
      </w:r>
      <w:r w:rsidRPr="00F03602">
        <w:rPr>
          <w:lang w:val="en-US"/>
        </w:rPr>
        <w:t>, European Court of Human Rights, 2022.</w:t>
      </w:r>
    </w:p>
    <w:p w14:paraId="250CE0FC" w14:textId="40DF3F09" w:rsidR="00F03602" w:rsidRPr="00F03602" w:rsidRDefault="00F03602" w:rsidP="00F03602">
      <w:pPr>
        <w:spacing w:before="120" w:after="120" w:line="360" w:lineRule="auto"/>
      </w:pPr>
      <w:r w:rsidRPr="00F03602">
        <w:rPr>
          <w:i/>
          <w:iCs/>
          <w:lang w:val="en-US"/>
        </w:rPr>
        <w:t>M</w:t>
      </w:r>
      <w:r w:rsidRPr="00F03602">
        <w:rPr>
          <w:i/>
          <w:iCs/>
        </w:rPr>
        <w:t>.</w:t>
      </w:r>
      <w:r w:rsidRPr="00F03602">
        <w:rPr>
          <w:i/>
          <w:iCs/>
          <w:lang w:val="en-US"/>
        </w:rPr>
        <w:t>S</w:t>
      </w:r>
      <w:r w:rsidRPr="00F03602">
        <w:rPr>
          <w:i/>
          <w:iCs/>
        </w:rPr>
        <w:t>.</w:t>
      </w:r>
      <w:r w:rsidRPr="00F03602">
        <w:rPr>
          <w:i/>
          <w:iCs/>
          <w:lang w:val="en-US"/>
        </w:rPr>
        <w:t>S</w:t>
      </w:r>
      <w:r w:rsidRPr="00F03602">
        <w:rPr>
          <w:i/>
          <w:iCs/>
        </w:rPr>
        <w:t>. κατά Βελγίου και Ελλάδας</w:t>
      </w:r>
      <w:r>
        <w:t>, 21.01.2011.</w:t>
      </w:r>
    </w:p>
    <w:p w14:paraId="3F9AC663" w14:textId="467A4C0F" w:rsidR="00F03602" w:rsidRPr="00F03602" w:rsidRDefault="00F03602" w:rsidP="00F03602">
      <w:pPr>
        <w:spacing w:before="120" w:after="120" w:line="360" w:lineRule="auto"/>
      </w:pPr>
      <w:r w:rsidRPr="00F03602">
        <w:rPr>
          <w:i/>
          <w:iCs/>
          <w:lang w:val="en-US"/>
        </w:rPr>
        <w:t>Kudla</w:t>
      </w:r>
      <w:r w:rsidRPr="00F03602">
        <w:rPr>
          <w:i/>
          <w:iCs/>
        </w:rPr>
        <w:t xml:space="preserve"> κατά Πολωνίας</w:t>
      </w:r>
      <w:r w:rsidRPr="00F03602">
        <w:t>, 26.10.2000.</w:t>
      </w:r>
    </w:p>
    <w:p w14:paraId="45CBA5C8" w14:textId="0D0FC980" w:rsidR="00F03602" w:rsidRPr="00F03602" w:rsidRDefault="00F03602" w:rsidP="00F03602">
      <w:pPr>
        <w:spacing w:before="120" w:after="120" w:line="360" w:lineRule="auto"/>
      </w:pPr>
      <w:proofErr w:type="spellStart"/>
      <w:r w:rsidRPr="00F03602">
        <w:rPr>
          <w:i/>
          <w:iCs/>
          <w:lang w:val="en-US"/>
        </w:rPr>
        <w:t>Klass</w:t>
      </w:r>
      <w:proofErr w:type="spellEnd"/>
      <w:r w:rsidRPr="00F03602">
        <w:rPr>
          <w:i/>
          <w:iCs/>
        </w:rPr>
        <w:t xml:space="preserve"> και άλλοι κατά Γερμανίας</w:t>
      </w:r>
      <w:r w:rsidRPr="00F03602">
        <w:t>, 06.09.1978</w:t>
      </w:r>
      <w:r>
        <w:t>.</w:t>
      </w:r>
    </w:p>
    <w:p w14:paraId="1561B2E1" w14:textId="1E196B5C" w:rsidR="00F03602" w:rsidRPr="00F03602" w:rsidRDefault="00F03602" w:rsidP="00F03602">
      <w:pPr>
        <w:spacing w:before="120" w:after="120" w:line="360" w:lineRule="auto"/>
      </w:pPr>
      <w:r w:rsidRPr="00F03602">
        <w:rPr>
          <w:i/>
          <w:iCs/>
          <w:lang w:val="en-US"/>
        </w:rPr>
        <w:t>Leander</w:t>
      </w:r>
      <w:r w:rsidRPr="00F03602">
        <w:rPr>
          <w:i/>
          <w:iCs/>
        </w:rPr>
        <w:t xml:space="preserve"> κατά Σουηδίας</w:t>
      </w:r>
      <w:r w:rsidRPr="00F03602">
        <w:t>, 26.03.1987.</w:t>
      </w:r>
    </w:p>
    <w:p w14:paraId="60183056" w14:textId="0674B83D" w:rsidR="00F03602" w:rsidRPr="00F03602" w:rsidRDefault="00F03602" w:rsidP="00F03602">
      <w:pPr>
        <w:spacing w:before="120" w:after="120" w:line="360" w:lineRule="auto"/>
      </w:pPr>
      <w:r w:rsidRPr="00F03602">
        <w:rPr>
          <w:i/>
          <w:iCs/>
          <w:lang w:val="en-US"/>
        </w:rPr>
        <w:t>Silver</w:t>
      </w:r>
      <w:r w:rsidRPr="00F03602">
        <w:rPr>
          <w:i/>
          <w:iCs/>
        </w:rPr>
        <w:t xml:space="preserve"> και άλλοι κατά Ηνωμένου Βασιλείου, </w:t>
      </w:r>
      <w:r w:rsidRPr="00F03602">
        <w:t>25.03.1983.</w:t>
      </w:r>
    </w:p>
    <w:p w14:paraId="67018C7A" w14:textId="09D8F2AB" w:rsidR="00F03602" w:rsidRDefault="00F03602" w:rsidP="00F03602">
      <w:pPr>
        <w:spacing w:before="120" w:after="120" w:line="360" w:lineRule="auto"/>
      </w:pPr>
      <w:r w:rsidRPr="00F03602">
        <w:rPr>
          <w:i/>
          <w:iCs/>
          <w:lang w:val="en-US"/>
        </w:rPr>
        <w:t>Boyle</w:t>
      </w:r>
      <w:r w:rsidRPr="00F03602">
        <w:rPr>
          <w:i/>
          <w:iCs/>
        </w:rPr>
        <w:t xml:space="preserve"> </w:t>
      </w:r>
      <w:r w:rsidRPr="00F03602">
        <w:rPr>
          <w:i/>
          <w:iCs/>
          <w:lang w:val="en-US"/>
        </w:rPr>
        <w:t>and</w:t>
      </w:r>
      <w:r w:rsidRPr="00F03602">
        <w:rPr>
          <w:i/>
          <w:iCs/>
        </w:rPr>
        <w:t xml:space="preserve"> </w:t>
      </w:r>
      <w:r w:rsidRPr="00F03602">
        <w:rPr>
          <w:i/>
          <w:iCs/>
          <w:lang w:val="en-US"/>
        </w:rPr>
        <w:t>Rice</w:t>
      </w:r>
      <w:r w:rsidRPr="00F03602">
        <w:rPr>
          <w:i/>
          <w:iCs/>
        </w:rPr>
        <w:t xml:space="preserve"> κατά Ηνωμένου Βασιλείου, </w:t>
      </w:r>
      <w:r w:rsidRPr="00F03602">
        <w:t>27.04.1988</w:t>
      </w:r>
      <w:r>
        <w:t>.</w:t>
      </w:r>
    </w:p>
    <w:p w14:paraId="2602D675" w14:textId="1D127AC2" w:rsidR="00F03602" w:rsidRPr="00F03602" w:rsidRDefault="00F03602" w:rsidP="00F03602">
      <w:pPr>
        <w:spacing w:before="120" w:after="120" w:line="360" w:lineRule="auto"/>
      </w:pPr>
      <w:r w:rsidRPr="00F03602">
        <w:rPr>
          <w:i/>
          <w:iCs/>
          <w:lang w:val="en-US"/>
        </w:rPr>
        <w:t>Paul</w:t>
      </w:r>
      <w:r w:rsidRPr="00F03602">
        <w:rPr>
          <w:i/>
          <w:iCs/>
        </w:rPr>
        <w:t xml:space="preserve"> </w:t>
      </w:r>
      <w:r w:rsidRPr="00F03602">
        <w:rPr>
          <w:i/>
          <w:iCs/>
          <w:lang w:val="en-US"/>
        </w:rPr>
        <w:t>and</w:t>
      </w:r>
      <w:r w:rsidRPr="00F03602">
        <w:rPr>
          <w:i/>
          <w:iCs/>
        </w:rPr>
        <w:t xml:space="preserve"> </w:t>
      </w:r>
      <w:r w:rsidRPr="00F03602">
        <w:rPr>
          <w:i/>
          <w:iCs/>
          <w:lang w:val="en-US"/>
        </w:rPr>
        <w:t>Audrey</w:t>
      </w:r>
      <w:r w:rsidRPr="00F03602">
        <w:rPr>
          <w:i/>
          <w:iCs/>
        </w:rPr>
        <w:t xml:space="preserve"> </w:t>
      </w:r>
      <w:r w:rsidRPr="00F03602">
        <w:rPr>
          <w:i/>
          <w:iCs/>
          <w:lang w:val="en-US"/>
        </w:rPr>
        <w:t>Edwards</w:t>
      </w:r>
      <w:r w:rsidRPr="00F03602">
        <w:rPr>
          <w:i/>
          <w:iCs/>
        </w:rPr>
        <w:t xml:space="preserve"> κατά Ηνωμένου Βασιλείου, </w:t>
      </w:r>
      <w:r w:rsidRPr="00F03602">
        <w:t>14.03.2002.</w:t>
      </w:r>
    </w:p>
    <w:p w14:paraId="5F244F3C" w14:textId="699A885C" w:rsidR="00F03602" w:rsidRPr="00F03602" w:rsidRDefault="00F03602" w:rsidP="00F03602">
      <w:pPr>
        <w:spacing w:before="120" w:after="120" w:line="360" w:lineRule="auto"/>
      </w:pPr>
      <w:r w:rsidRPr="00F03602">
        <w:rPr>
          <w:i/>
          <w:iCs/>
        </w:rPr>
        <w:t xml:space="preserve">Λ.Μ. και Ε.Κ. κατά Ελλάδος, </w:t>
      </w:r>
      <w:r>
        <w:t>13.12.2005</w:t>
      </w:r>
      <w:r w:rsidRPr="00F03602">
        <w:t>.</w:t>
      </w:r>
    </w:p>
    <w:p w14:paraId="0F009F05" w14:textId="5A9465CD" w:rsidR="00F03602" w:rsidRPr="005D26F3" w:rsidRDefault="00F03602" w:rsidP="00F03602">
      <w:pPr>
        <w:spacing w:before="120" w:after="120" w:line="360" w:lineRule="auto"/>
        <w:rPr>
          <w:i/>
          <w:iCs/>
        </w:rPr>
      </w:pPr>
      <w:r w:rsidRPr="00F03602">
        <w:rPr>
          <w:i/>
          <w:iCs/>
        </w:rPr>
        <w:t>Βαλσάμης</w:t>
      </w:r>
      <w:r w:rsidRPr="005D26F3">
        <w:rPr>
          <w:i/>
          <w:iCs/>
        </w:rPr>
        <w:t xml:space="preserve"> </w:t>
      </w:r>
      <w:r w:rsidRPr="00F03602">
        <w:rPr>
          <w:i/>
          <w:iCs/>
        </w:rPr>
        <w:t>κατά</w:t>
      </w:r>
      <w:r w:rsidRPr="005D26F3">
        <w:rPr>
          <w:i/>
          <w:iCs/>
        </w:rPr>
        <w:t xml:space="preserve"> </w:t>
      </w:r>
      <w:r w:rsidRPr="00F03602">
        <w:rPr>
          <w:i/>
          <w:iCs/>
        </w:rPr>
        <w:t>Ελλάδος</w:t>
      </w:r>
      <w:r w:rsidRPr="005D26F3">
        <w:rPr>
          <w:i/>
          <w:iCs/>
        </w:rPr>
        <w:t xml:space="preserve">, </w:t>
      </w:r>
      <w:r w:rsidRPr="005D26F3">
        <w:t>18.12.1996</w:t>
      </w:r>
      <w:r w:rsidRPr="005D26F3">
        <w:rPr>
          <w:i/>
          <w:iCs/>
        </w:rPr>
        <w:t>.</w:t>
      </w:r>
    </w:p>
    <w:p w14:paraId="3C80D7EE" w14:textId="1B38EDF3" w:rsidR="00F03602" w:rsidRPr="00F03602" w:rsidRDefault="00F03602" w:rsidP="00F03602">
      <w:pPr>
        <w:spacing w:before="120" w:after="120" w:line="360" w:lineRule="auto"/>
      </w:pPr>
      <w:r w:rsidRPr="00F03602">
        <w:rPr>
          <w:i/>
          <w:iCs/>
        </w:rPr>
        <w:t>Γιαννακοπούλου κατά Ελλάδος</w:t>
      </w:r>
      <w:r>
        <w:t>, 02.06.2005</w:t>
      </w:r>
      <w:r w:rsidRPr="00F03602">
        <w:t>.</w:t>
      </w:r>
    </w:p>
    <w:p w14:paraId="150CF702" w14:textId="2D649B93" w:rsidR="00F03602" w:rsidRPr="00F03602" w:rsidRDefault="00F03602" w:rsidP="00F03602">
      <w:pPr>
        <w:spacing w:before="120" w:after="120" w:line="360" w:lineRule="auto"/>
      </w:pPr>
      <w:r w:rsidRPr="00F03602">
        <w:rPr>
          <w:i/>
          <w:iCs/>
          <w:lang w:val="en-US"/>
        </w:rPr>
        <w:t>D</w:t>
      </w:r>
      <w:r w:rsidRPr="00F03602">
        <w:rPr>
          <w:i/>
          <w:iCs/>
        </w:rPr>
        <w:t>.</w:t>
      </w:r>
      <w:r w:rsidRPr="00F03602">
        <w:rPr>
          <w:i/>
          <w:iCs/>
          <w:lang w:val="en-US"/>
        </w:rPr>
        <w:t>M</w:t>
      </w:r>
      <w:r w:rsidRPr="00F03602">
        <w:rPr>
          <w:i/>
          <w:iCs/>
        </w:rPr>
        <w:t xml:space="preserve">. κατά Ελλάδος, </w:t>
      </w:r>
      <w:r>
        <w:t>16.02.2017</w:t>
      </w:r>
      <w:r w:rsidRPr="00F03602">
        <w:t>.</w:t>
      </w:r>
    </w:p>
    <w:p w14:paraId="7CAA58B5" w14:textId="11E66F66" w:rsidR="00F03602" w:rsidRPr="00F03602" w:rsidRDefault="00F03602" w:rsidP="00F03602">
      <w:pPr>
        <w:spacing w:before="120" w:after="120" w:line="360" w:lineRule="auto"/>
      </w:pPr>
      <w:r w:rsidRPr="00F03602">
        <w:rPr>
          <w:i/>
          <w:iCs/>
          <w:lang w:val="en-US"/>
        </w:rPr>
        <w:t>Ramirez</w:t>
      </w:r>
      <w:r w:rsidRPr="00F03602">
        <w:rPr>
          <w:i/>
          <w:iCs/>
        </w:rPr>
        <w:t xml:space="preserve"> </w:t>
      </w:r>
      <w:r w:rsidRPr="00F03602">
        <w:rPr>
          <w:i/>
          <w:iCs/>
          <w:lang w:val="en-US"/>
        </w:rPr>
        <w:t>Sanchez</w:t>
      </w:r>
      <w:r w:rsidRPr="00F03602">
        <w:rPr>
          <w:i/>
          <w:iCs/>
        </w:rPr>
        <w:t xml:space="preserve"> κατά Γαλλίας, </w:t>
      </w:r>
      <w:r>
        <w:t>04.07.2006</w:t>
      </w:r>
      <w:r w:rsidRPr="00F03602">
        <w:t>.</w:t>
      </w:r>
    </w:p>
    <w:p w14:paraId="2E1A1389" w14:textId="60D0FF76" w:rsidR="00F03602" w:rsidRPr="00F03602" w:rsidRDefault="00F03602" w:rsidP="00F03602">
      <w:pPr>
        <w:spacing w:before="120" w:after="120" w:line="360" w:lineRule="auto"/>
      </w:pPr>
      <w:proofErr w:type="spellStart"/>
      <w:r w:rsidRPr="00F03602">
        <w:rPr>
          <w:i/>
          <w:iCs/>
        </w:rPr>
        <w:t>Ζαζάνης</w:t>
      </w:r>
      <w:proofErr w:type="spellEnd"/>
      <w:r w:rsidRPr="00F03602">
        <w:rPr>
          <w:i/>
          <w:iCs/>
        </w:rPr>
        <w:t xml:space="preserve"> κατά Ελλάδος, </w:t>
      </w:r>
      <w:r w:rsidRPr="00F03602">
        <w:t>18.11.2004.</w:t>
      </w:r>
    </w:p>
    <w:p w14:paraId="446BA346" w14:textId="455F16F0" w:rsidR="00F03602" w:rsidRPr="00F03602" w:rsidRDefault="00F03602" w:rsidP="00F03602">
      <w:pPr>
        <w:spacing w:before="120" w:after="120" w:line="360" w:lineRule="auto"/>
      </w:pPr>
      <w:r w:rsidRPr="00F03602">
        <w:rPr>
          <w:i/>
          <w:iCs/>
          <w:lang w:val="en-US"/>
        </w:rPr>
        <w:t>Kudla</w:t>
      </w:r>
      <w:r w:rsidRPr="00F03602">
        <w:rPr>
          <w:i/>
          <w:iCs/>
        </w:rPr>
        <w:t xml:space="preserve"> κατά Πολωνίας</w:t>
      </w:r>
      <w:r w:rsidRPr="00F03602">
        <w:t>, 26.10.2000</w:t>
      </w:r>
      <w:r>
        <w:t>.</w:t>
      </w:r>
    </w:p>
    <w:p w14:paraId="0A125FB7" w14:textId="313BE806" w:rsidR="00F03602" w:rsidRPr="00F03602" w:rsidRDefault="00F03602" w:rsidP="00F03602">
      <w:pPr>
        <w:spacing w:before="120" w:after="120" w:line="360" w:lineRule="auto"/>
      </w:pPr>
      <w:r w:rsidRPr="00F03602">
        <w:rPr>
          <w:i/>
          <w:iCs/>
        </w:rPr>
        <w:t xml:space="preserve">Τ.Ο.Α.Ε. κατά Ελλάδας, </w:t>
      </w:r>
      <w:r w:rsidRPr="00F03602">
        <w:t>01.10.2023</w:t>
      </w:r>
      <w:r>
        <w:t>.</w:t>
      </w:r>
    </w:p>
    <w:p w14:paraId="40944EA8" w14:textId="4C77AA2F" w:rsidR="00F03602" w:rsidRPr="00F03602" w:rsidRDefault="00F03602" w:rsidP="00F03602">
      <w:pPr>
        <w:spacing w:before="120" w:after="120" w:line="360" w:lineRule="auto"/>
      </w:pPr>
      <w:proofErr w:type="spellStart"/>
      <w:r w:rsidRPr="00F03602">
        <w:rPr>
          <w:i/>
          <w:iCs/>
          <w:lang w:val="en-US"/>
        </w:rPr>
        <w:t>Burdov</w:t>
      </w:r>
      <w:proofErr w:type="spellEnd"/>
      <w:r w:rsidRPr="00F03602">
        <w:rPr>
          <w:i/>
          <w:iCs/>
        </w:rPr>
        <w:t xml:space="preserve"> κατά Ρωσίας</w:t>
      </w:r>
      <w:r>
        <w:t>, 15.01.2009</w:t>
      </w:r>
      <w:r w:rsidRPr="00F03602">
        <w:t>.</w:t>
      </w:r>
    </w:p>
    <w:p w14:paraId="7EA222EF" w14:textId="64022720" w:rsidR="00F03602" w:rsidRPr="00F03602" w:rsidRDefault="00F03602" w:rsidP="00F03602">
      <w:pPr>
        <w:spacing w:before="120" w:after="120" w:line="360" w:lineRule="auto"/>
      </w:pPr>
      <w:proofErr w:type="spellStart"/>
      <w:r w:rsidRPr="00F03602">
        <w:rPr>
          <w:i/>
          <w:iCs/>
        </w:rPr>
        <w:t>Μιχελιουδάκης</w:t>
      </w:r>
      <w:proofErr w:type="spellEnd"/>
      <w:r w:rsidRPr="00F03602">
        <w:rPr>
          <w:i/>
          <w:iCs/>
        </w:rPr>
        <w:t xml:space="preserve"> κατά Ελλάδας</w:t>
      </w:r>
      <w:r w:rsidRPr="00F03602">
        <w:t xml:space="preserve">, 03.04.2012. </w:t>
      </w:r>
    </w:p>
    <w:p w14:paraId="2D232329" w14:textId="68D38814" w:rsidR="00F03602" w:rsidRPr="00F03602" w:rsidRDefault="00F03602" w:rsidP="00F03602">
      <w:pPr>
        <w:spacing w:before="120" w:after="120" w:line="360" w:lineRule="auto"/>
      </w:pPr>
      <w:proofErr w:type="spellStart"/>
      <w:r w:rsidRPr="00F03602">
        <w:rPr>
          <w:i/>
          <w:iCs/>
        </w:rPr>
        <w:t>Γλύκαντζη</w:t>
      </w:r>
      <w:proofErr w:type="spellEnd"/>
      <w:r w:rsidRPr="00F03602">
        <w:rPr>
          <w:i/>
          <w:iCs/>
        </w:rPr>
        <w:t xml:space="preserve"> κατά Ελλάδας, </w:t>
      </w:r>
      <w:r w:rsidRPr="00F03602">
        <w:t>30.10.2012.</w:t>
      </w:r>
    </w:p>
    <w:p w14:paraId="36739420" w14:textId="4C0A9602" w:rsidR="00F03602" w:rsidRPr="00F03602" w:rsidRDefault="00F03602" w:rsidP="00F03602">
      <w:pPr>
        <w:spacing w:before="120" w:after="120" w:line="360" w:lineRule="auto"/>
      </w:pPr>
      <w:r w:rsidRPr="00F03602">
        <w:rPr>
          <w:i/>
          <w:iCs/>
        </w:rPr>
        <w:lastRenderedPageBreak/>
        <w:t xml:space="preserve">Παπαγεωργίου κατά Ελλάδας, </w:t>
      </w:r>
      <w:r>
        <w:t>18.02.2016</w:t>
      </w:r>
      <w:r w:rsidRPr="00F03602">
        <w:t>.</w:t>
      </w:r>
    </w:p>
    <w:p w14:paraId="0B0659E2" w14:textId="5B5C7F7A" w:rsidR="00F03602" w:rsidRPr="00F03602" w:rsidRDefault="00F03602" w:rsidP="00F03602">
      <w:pPr>
        <w:spacing w:before="120" w:after="120" w:line="360" w:lineRule="auto"/>
      </w:pPr>
      <w:proofErr w:type="spellStart"/>
      <w:r w:rsidRPr="00F03602">
        <w:rPr>
          <w:i/>
          <w:iCs/>
          <w:lang w:val="en-US"/>
        </w:rPr>
        <w:t>Firat</w:t>
      </w:r>
      <w:proofErr w:type="spellEnd"/>
      <w:r w:rsidRPr="00F03602">
        <w:rPr>
          <w:i/>
          <w:iCs/>
        </w:rPr>
        <w:t xml:space="preserve"> κατά Ελλάδας, </w:t>
      </w:r>
      <w:r>
        <w:t>09.11.2017</w:t>
      </w:r>
      <w:r w:rsidRPr="00F03602">
        <w:t>.</w:t>
      </w:r>
    </w:p>
    <w:p w14:paraId="0362A80C" w14:textId="77E15EB9" w:rsidR="00F03602" w:rsidRPr="005D26F3" w:rsidRDefault="00F03602" w:rsidP="00F03602">
      <w:pPr>
        <w:spacing w:before="120" w:after="120" w:line="360" w:lineRule="auto"/>
        <w:rPr>
          <w:i/>
          <w:iCs/>
        </w:rPr>
      </w:pPr>
      <w:proofErr w:type="spellStart"/>
      <w:r w:rsidRPr="00F03602">
        <w:rPr>
          <w:i/>
          <w:iCs/>
          <w:lang w:val="en-US"/>
        </w:rPr>
        <w:t>Camenzing</w:t>
      </w:r>
      <w:proofErr w:type="spellEnd"/>
      <w:r w:rsidRPr="005D26F3">
        <w:rPr>
          <w:i/>
          <w:iCs/>
        </w:rPr>
        <w:t xml:space="preserve"> </w:t>
      </w:r>
      <w:r w:rsidRPr="00F03602">
        <w:rPr>
          <w:i/>
          <w:iCs/>
        </w:rPr>
        <w:t>κατά</w:t>
      </w:r>
      <w:r w:rsidRPr="005D26F3">
        <w:rPr>
          <w:i/>
          <w:iCs/>
        </w:rPr>
        <w:t xml:space="preserve"> </w:t>
      </w:r>
      <w:r w:rsidRPr="00F03602">
        <w:rPr>
          <w:i/>
          <w:iCs/>
        </w:rPr>
        <w:t>Ελβετίας</w:t>
      </w:r>
      <w:r w:rsidRPr="005D26F3">
        <w:t>, 16.12.1997.</w:t>
      </w:r>
    </w:p>
    <w:p w14:paraId="654529C6" w14:textId="1479F5D5" w:rsidR="00F03602" w:rsidRPr="00F03602" w:rsidRDefault="00F03602" w:rsidP="00F03602">
      <w:pPr>
        <w:spacing w:before="120" w:after="120" w:line="360" w:lineRule="auto"/>
      </w:pPr>
      <w:r w:rsidRPr="00F03602">
        <w:rPr>
          <w:i/>
          <w:iCs/>
        </w:rPr>
        <w:t xml:space="preserve">Μητροπολιτική Εκκλησία της Βεσσαραβίας κατά Μολδαβίας, </w:t>
      </w:r>
      <w:r w:rsidRPr="00F03602">
        <w:t>13.12.2001</w:t>
      </w:r>
      <w:r>
        <w:t>.</w:t>
      </w:r>
    </w:p>
    <w:p w14:paraId="11BF6075" w14:textId="5EBA5539" w:rsidR="00845A4B" w:rsidRPr="00845A4B" w:rsidRDefault="00845A4B" w:rsidP="00845A4B">
      <w:pPr>
        <w:spacing w:before="120" w:after="120" w:line="360" w:lineRule="auto"/>
      </w:pPr>
      <w:r w:rsidRPr="00845A4B">
        <w:rPr>
          <w:i/>
          <w:iCs/>
        </w:rPr>
        <w:t>Αθανασίου κατά Ελλάδας,</w:t>
      </w:r>
      <w:r w:rsidRPr="00845A4B">
        <w:t xml:space="preserve"> 01.06.2006. </w:t>
      </w:r>
    </w:p>
    <w:p w14:paraId="36BF0E35" w14:textId="40560B53" w:rsidR="00845A4B" w:rsidRPr="00845A4B" w:rsidRDefault="00845A4B" w:rsidP="00845A4B">
      <w:pPr>
        <w:spacing w:before="120" w:after="120" w:line="360" w:lineRule="auto"/>
      </w:pPr>
      <w:r w:rsidRPr="00845A4B">
        <w:rPr>
          <w:i/>
          <w:iCs/>
        </w:rPr>
        <w:t xml:space="preserve">Λαυρεντιάδης κατά Ελλάδος, </w:t>
      </w:r>
      <w:r w:rsidRPr="00845A4B">
        <w:t>22.09.2015</w:t>
      </w:r>
      <w:r>
        <w:t>.</w:t>
      </w:r>
    </w:p>
    <w:p w14:paraId="7FF06BBA" w14:textId="2EB65280" w:rsidR="00845A4B" w:rsidRPr="00845A4B" w:rsidRDefault="00845A4B" w:rsidP="00845A4B">
      <w:pPr>
        <w:spacing w:before="120" w:after="120" w:line="360" w:lineRule="auto"/>
      </w:pPr>
      <w:proofErr w:type="spellStart"/>
      <w:r w:rsidRPr="00845A4B">
        <w:rPr>
          <w:i/>
          <w:iCs/>
          <w:lang w:val="en-US"/>
        </w:rPr>
        <w:t>Burdov</w:t>
      </w:r>
      <w:proofErr w:type="spellEnd"/>
      <w:r w:rsidRPr="00845A4B">
        <w:rPr>
          <w:i/>
          <w:iCs/>
        </w:rPr>
        <w:t xml:space="preserve"> κατά Ρωσίας, </w:t>
      </w:r>
      <w:r w:rsidRPr="00845A4B">
        <w:t>15.01.2009</w:t>
      </w:r>
      <w:r>
        <w:t>.</w:t>
      </w:r>
    </w:p>
    <w:p w14:paraId="29608BE4" w14:textId="3D2AF1F5" w:rsidR="00F03602" w:rsidRPr="00F03602" w:rsidRDefault="00F03602" w:rsidP="00F03602">
      <w:pPr>
        <w:spacing w:before="120" w:after="120" w:line="360" w:lineRule="auto"/>
      </w:pPr>
    </w:p>
    <w:p w14:paraId="62E249A9" w14:textId="77777777" w:rsidR="00F03602" w:rsidRPr="00F03602" w:rsidRDefault="00F03602" w:rsidP="00F03602">
      <w:pPr>
        <w:spacing w:before="120" w:after="120" w:line="360" w:lineRule="auto"/>
      </w:pPr>
    </w:p>
    <w:p w14:paraId="0678C2DA" w14:textId="77777777" w:rsidR="00F03602" w:rsidRPr="002A2ACB" w:rsidRDefault="00F03602" w:rsidP="00F03602">
      <w:pPr>
        <w:spacing w:before="120" w:after="120" w:line="360" w:lineRule="auto"/>
      </w:pPr>
    </w:p>
    <w:sectPr w:rsidR="00F03602" w:rsidRPr="002A2ACB" w:rsidSect="0013275C">
      <w:footerReference w:type="even" r:id="rId8"/>
      <w:footerReference w:type="default" r:id="rId9"/>
      <w:pgSz w:w="11906" w:h="16838"/>
      <w:pgMar w:top="1440" w:right="155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DE9E" w14:textId="77777777" w:rsidR="00B510D9" w:rsidRDefault="00B510D9" w:rsidP="00DC09D1">
      <w:pPr>
        <w:spacing w:line="240" w:lineRule="auto"/>
      </w:pPr>
      <w:r>
        <w:separator/>
      </w:r>
    </w:p>
  </w:endnote>
  <w:endnote w:type="continuationSeparator" w:id="0">
    <w:p w14:paraId="48575E4B" w14:textId="77777777" w:rsidR="00B510D9" w:rsidRDefault="00B510D9" w:rsidP="00DC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528405380"/>
      <w:docPartObj>
        <w:docPartGallery w:val="Page Numbers (Bottom of Page)"/>
        <w:docPartUnique/>
      </w:docPartObj>
    </w:sdtPr>
    <w:sdtContent>
      <w:p w14:paraId="760718A0" w14:textId="4247B0C9" w:rsidR="00F03602" w:rsidRDefault="00F03602" w:rsidP="00D52BD3">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556DF2C3" w14:textId="77777777" w:rsidR="00F03602" w:rsidRDefault="00F03602" w:rsidP="00DC09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96121"/>
      <w:docPartObj>
        <w:docPartGallery w:val="Page Numbers (Bottom of Page)"/>
        <w:docPartUnique/>
      </w:docPartObj>
    </w:sdtPr>
    <w:sdtContent>
      <w:p w14:paraId="525712D6" w14:textId="7F7E87E7" w:rsidR="00F03602" w:rsidRDefault="00F03602">
        <w:pPr>
          <w:pStyle w:val="a3"/>
          <w:jc w:val="right"/>
        </w:pPr>
        <w:r>
          <w:fldChar w:fldCharType="begin"/>
        </w:r>
        <w:r>
          <w:instrText>PAGE   \* MERGEFORMAT</w:instrText>
        </w:r>
        <w:r>
          <w:fldChar w:fldCharType="separate"/>
        </w:r>
        <w:r w:rsidR="003A212D">
          <w:rPr>
            <w:noProof/>
          </w:rPr>
          <w:t>27</w:t>
        </w:r>
        <w:r>
          <w:fldChar w:fldCharType="end"/>
        </w:r>
      </w:p>
    </w:sdtContent>
  </w:sdt>
  <w:p w14:paraId="2E02BC00" w14:textId="77777777" w:rsidR="00F03602" w:rsidRDefault="00F03602" w:rsidP="00DC09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D740" w14:textId="77777777" w:rsidR="00B510D9" w:rsidRDefault="00B510D9" w:rsidP="00DC09D1">
      <w:pPr>
        <w:spacing w:line="240" w:lineRule="auto"/>
      </w:pPr>
      <w:r>
        <w:separator/>
      </w:r>
    </w:p>
  </w:footnote>
  <w:footnote w:type="continuationSeparator" w:id="0">
    <w:p w14:paraId="3E15A4E4" w14:textId="77777777" w:rsidR="00B510D9" w:rsidRDefault="00B510D9" w:rsidP="00DC09D1">
      <w:pPr>
        <w:spacing w:line="240" w:lineRule="auto"/>
      </w:pPr>
      <w:r>
        <w:continuationSeparator/>
      </w:r>
    </w:p>
  </w:footnote>
  <w:footnote w:id="1">
    <w:p w14:paraId="3B52DC98" w14:textId="2A4D273E" w:rsidR="00F03602" w:rsidRPr="009650B6" w:rsidRDefault="00F03602">
      <w:pPr>
        <w:pStyle w:val="a6"/>
        <w:rPr>
          <w:lang w:val="en-US"/>
        </w:rPr>
      </w:pPr>
      <w:r>
        <w:rPr>
          <w:rStyle w:val="a7"/>
        </w:rPr>
        <w:footnoteRef/>
      </w:r>
      <w:r>
        <w:rPr>
          <w:lang w:val="en-US"/>
        </w:rPr>
        <w:t xml:space="preserve"> </w:t>
      </w:r>
      <w:r w:rsidRPr="00FF455C">
        <w:rPr>
          <w:i/>
          <w:iCs/>
          <w:lang w:val="en-US"/>
        </w:rPr>
        <w:t>Guide on Article 13 of the European Convention of Human Rights, Right to an effective remedy</w:t>
      </w:r>
      <w:r>
        <w:rPr>
          <w:lang w:val="en-US"/>
        </w:rPr>
        <w:t>, European Court of Human Rights, 2022</w:t>
      </w:r>
      <w:r w:rsidRPr="00A14834">
        <w:rPr>
          <w:lang w:val="en-US"/>
        </w:rPr>
        <w:t xml:space="preserve">, </w:t>
      </w:r>
      <w:proofErr w:type="spellStart"/>
      <w:r>
        <w:t>παρ</w:t>
      </w:r>
      <w:proofErr w:type="spellEnd"/>
      <w:r w:rsidRPr="00A14834">
        <w:rPr>
          <w:lang w:val="en-US"/>
        </w:rPr>
        <w:t>. 1</w:t>
      </w:r>
      <w:r w:rsidRPr="003E0D8B">
        <w:rPr>
          <w:lang w:val="en-US"/>
        </w:rPr>
        <w:t>-2</w:t>
      </w:r>
      <w:r>
        <w:rPr>
          <w:lang w:val="en-US"/>
        </w:rPr>
        <w:t>.</w:t>
      </w:r>
    </w:p>
  </w:footnote>
  <w:footnote w:id="2">
    <w:p w14:paraId="5B5119B9" w14:textId="0E3A660B" w:rsidR="00F03602" w:rsidRPr="00A810C5" w:rsidRDefault="00F03602">
      <w:pPr>
        <w:pStyle w:val="a6"/>
      </w:pPr>
      <w:r>
        <w:rPr>
          <w:rStyle w:val="a7"/>
        </w:rPr>
        <w:footnoteRef/>
      </w:r>
      <w:r>
        <w:t xml:space="preserve"> ΕΔΔΑ </w:t>
      </w:r>
      <w:r w:rsidRPr="00711223">
        <w:rPr>
          <w:i/>
          <w:iCs/>
          <w:lang w:val="en-US"/>
        </w:rPr>
        <w:t>M</w:t>
      </w:r>
      <w:r w:rsidRPr="00711223">
        <w:rPr>
          <w:i/>
          <w:iCs/>
        </w:rPr>
        <w:t>.</w:t>
      </w:r>
      <w:r w:rsidRPr="00711223">
        <w:rPr>
          <w:i/>
          <w:iCs/>
          <w:lang w:val="en-US"/>
        </w:rPr>
        <w:t>S</w:t>
      </w:r>
      <w:r w:rsidRPr="00711223">
        <w:rPr>
          <w:i/>
          <w:iCs/>
        </w:rPr>
        <w:t>.</w:t>
      </w:r>
      <w:r w:rsidRPr="00711223">
        <w:rPr>
          <w:i/>
          <w:iCs/>
          <w:lang w:val="en-US"/>
        </w:rPr>
        <w:t>S</w:t>
      </w:r>
      <w:r w:rsidRPr="00711223">
        <w:rPr>
          <w:i/>
          <w:iCs/>
        </w:rPr>
        <w:t>. κατά Βελγίου και Ελλάδας</w:t>
      </w:r>
      <w:r>
        <w:t xml:space="preserve">, 21.01.2011, </w:t>
      </w:r>
      <w:r w:rsidRPr="00A810C5">
        <w:rPr>
          <w:i/>
          <w:iCs/>
          <w:lang w:val="en-US"/>
        </w:rPr>
        <w:t>Kudla</w:t>
      </w:r>
      <w:r w:rsidRPr="00A810C5">
        <w:rPr>
          <w:i/>
          <w:iCs/>
        </w:rPr>
        <w:t xml:space="preserve"> κατά Πολωνίας</w:t>
      </w:r>
      <w:r>
        <w:t>, 26.10.2000.</w:t>
      </w:r>
    </w:p>
  </w:footnote>
  <w:footnote w:id="3">
    <w:p w14:paraId="741D0555" w14:textId="5DA54AA3" w:rsidR="00F03602" w:rsidRPr="004A2D42" w:rsidRDefault="00F03602">
      <w:pPr>
        <w:pStyle w:val="a6"/>
      </w:pPr>
      <w:r>
        <w:rPr>
          <w:rStyle w:val="a7"/>
        </w:rPr>
        <w:footnoteRef/>
      </w:r>
      <w:r>
        <w:t xml:space="preserve"> </w:t>
      </w:r>
      <w:r w:rsidRPr="0076715E">
        <w:rPr>
          <w:b/>
          <w:bCs/>
        </w:rPr>
        <w:t>Μ. Μαργαρίτης</w:t>
      </w:r>
      <w:r>
        <w:t xml:space="preserve">, </w:t>
      </w:r>
      <w:r w:rsidRPr="0076715E">
        <w:rPr>
          <w:i/>
          <w:iCs/>
        </w:rPr>
        <w:t>Η Ευρωπαϊκή Σύμβαση Δικαιωμάτων του Ανθρώπου (ΕΣΔΑ) και των Πρωτοκόλλων υπ’ αριθμ. 1, 6, 7, &amp; 13, Μια Συνοπτική Ερμηνεία</w:t>
      </w:r>
      <w:r>
        <w:t xml:space="preserve">, Π.Ν. Σάκκουλας, 2019, σελ. 458, ΕΔΔΑ </w:t>
      </w:r>
      <w:r>
        <w:rPr>
          <w:i/>
          <w:iCs/>
        </w:rPr>
        <w:t xml:space="preserve">Τ.Ο.Α.Ε. κατά Ελλάδας, </w:t>
      </w:r>
      <w:r>
        <w:t>01.10.2013, παρ. 27.</w:t>
      </w:r>
    </w:p>
  </w:footnote>
  <w:footnote w:id="4">
    <w:p w14:paraId="53FA8A1E" w14:textId="4F728E4C" w:rsidR="00F03602" w:rsidRDefault="00F03602">
      <w:pPr>
        <w:pStyle w:val="a6"/>
      </w:pPr>
      <w:r>
        <w:rPr>
          <w:rStyle w:val="a7"/>
        </w:rPr>
        <w:footnoteRef/>
      </w:r>
      <w:r>
        <w:t xml:space="preserve"> ΕΔΔΑ </w:t>
      </w:r>
      <w:r w:rsidRPr="00A97BD0">
        <w:rPr>
          <w:i/>
          <w:iCs/>
          <w:lang w:val="en-US"/>
        </w:rPr>
        <w:t>Kudla</w:t>
      </w:r>
      <w:r w:rsidRPr="00A97BD0">
        <w:rPr>
          <w:i/>
          <w:iCs/>
        </w:rPr>
        <w:t xml:space="preserve"> κατά Πολωνίας</w:t>
      </w:r>
      <w:r w:rsidRPr="00A97BD0">
        <w:t>, 26.10.2000</w:t>
      </w:r>
      <w:r>
        <w:t>, παρ. 152</w:t>
      </w:r>
      <w:r w:rsidRPr="00A97BD0">
        <w:t>.</w:t>
      </w:r>
    </w:p>
  </w:footnote>
  <w:footnote w:id="5">
    <w:p w14:paraId="6B5DB3AB" w14:textId="74B5F70E" w:rsidR="00F03602" w:rsidRDefault="00F03602">
      <w:pPr>
        <w:pStyle w:val="a6"/>
      </w:pPr>
      <w:r>
        <w:rPr>
          <w:rStyle w:val="a7"/>
        </w:rPr>
        <w:footnoteRef/>
      </w:r>
      <w:r>
        <w:t xml:space="preserve"> </w:t>
      </w:r>
      <w:r w:rsidRPr="00747354">
        <w:rPr>
          <w:b/>
          <w:bCs/>
        </w:rPr>
        <w:t>Μ. Μαργαρίτης</w:t>
      </w:r>
      <w:r w:rsidRPr="00747354">
        <w:t xml:space="preserve">, </w:t>
      </w:r>
      <w:proofErr w:type="spellStart"/>
      <w:r>
        <w:rPr>
          <w:i/>
          <w:iCs/>
        </w:rPr>
        <w:t>ό.π</w:t>
      </w:r>
      <w:proofErr w:type="spellEnd"/>
      <w:r>
        <w:rPr>
          <w:i/>
          <w:iCs/>
        </w:rPr>
        <w:t>.</w:t>
      </w:r>
      <w:r w:rsidRPr="00747354">
        <w:t>, σελ. 45</w:t>
      </w:r>
      <w:r>
        <w:t>9</w:t>
      </w:r>
      <w:r w:rsidRPr="00747354">
        <w:t>.</w:t>
      </w:r>
    </w:p>
  </w:footnote>
  <w:footnote w:id="6">
    <w:p w14:paraId="765929FF" w14:textId="350BCCC8" w:rsidR="00F03602" w:rsidRDefault="00F03602">
      <w:pPr>
        <w:pStyle w:val="a6"/>
      </w:pPr>
      <w:r>
        <w:rPr>
          <w:rStyle w:val="a7"/>
        </w:rPr>
        <w:footnoteRef/>
      </w:r>
      <w:r>
        <w:t xml:space="preserve"> </w:t>
      </w:r>
      <w:r>
        <w:rPr>
          <w:b/>
          <w:bCs/>
        </w:rPr>
        <w:t xml:space="preserve">Ι. Σαρμάς </w:t>
      </w:r>
      <w:r>
        <w:t xml:space="preserve">σε </w:t>
      </w:r>
      <w:r w:rsidRPr="005E758E">
        <w:rPr>
          <w:b/>
          <w:bCs/>
        </w:rPr>
        <w:t>Ι. Σαρμά</w:t>
      </w:r>
      <w:r>
        <w:t xml:space="preserve">, </w:t>
      </w:r>
      <w:r w:rsidRPr="005E758E">
        <w:rPr>
          <w:b/>
          <w:bCs/>
        </w:rPr>
        <w:t>Ξ. Κοντιάδη</w:t>
      </w:r>
      <w:r>
        <w:t xml:space="preserve">, </w:t>
      </w:r>
      <w:r w:rsidRPr="005E758E">
        <w:rPr>
          <w:b/>
          <w:bCs/>
        </w:rPr>
        <w:t>Χ. Ανθόπουλου</w:t>
      </w:r>
      <w:r>
        <w:t xml:space="preserve">, </w:t>
      </w:r>
      <w:r w:rsidRPr="005E758E">
        <w:rPr>
          <w:i/>
          <w:iCs/>
        </w:rPr>
        <w:t>ΕΣΔΑ, Κατ’ άρθρο ερμηνεία</w:t>
      </w:r>
      <w:r>
        <w:t>, Κέντρο Ευρωπαϊκού Συνταγματικού Δικαίου, σελ. 896 επ., ΕΔΔΑ Λαυρεντιάδης κατά Ελλάδας, 22.09.2015, παρ. 81.</w:t>
      </w:r>
    </w:p>
  </w:footnote>
  <w:footnote w:id="7">
    <w:p w14:paraId="5595A77C" w14:textId="10EA25DF" w:rsidR="00F03602" w:rsidRDefault="00F03602">
      <w:pPr>
        <w:pStyle w:val="a6"/>
      </w:pPr>
      <w:r>
        <w:rPr>
          <w:rStyle w:val="a7"/>
        </w:rPr>
        <w:footnoteRef/>
      </w:r>
      <w:r>
        <w:t xml:space="preserve"> </w:t>
      </w:r>
      <w:r w:rsidRPr="00E77D1F">
        <w:rPr>
          <w:b/>
          <w:bCs/>
        </w:rPr>
        <w:t>Π. Βογιατζής</w:t>
      </w:r>
      <w:r>
        <w:t xml:space="preserve"> σε </w:t>
      </w:r>
      <w:r w:rsidRPr="00E77D1F">
        <w:rPr>
          <w:b/>
          <w:bCs/>
        </w:rPr>
        <w:t>Λ. Σισιλιάνο</w:t>
      </w:r>
      <w:r>
        <w:rPr>
          <w:b/>
          <w:bCs/>
        </w:rPr>
        <w:t>υ</w:t>
      </w:r>
      <w:r>
        <w:t xml:space="preserve">, </w:t>
      </w:r>
      <w:r w:rsidRPr="00E77D1F">
        <w:rPr>
          <w:i/>
          <w:iCs/>
        </w:rPr>
        <w:t>Ευρωπαϊκή Σύμβαση Δικαιωμάτων του Ανθρώπου, Ερμηνεία κατ’ άρθρο</w:t>
      </w:r>
      <w:r>
        <w:t>, Νομική Βιβλιοθήκη, 2017, σελ. 676.</w:t>
      </w:r>
    </w:p>
  </w:footnote>
  <w:footnote w:id="8">
    <w:p w14:paraId="5C2ACD8C" w14:textId="2EB0F684" w:rsidR="00F03602" w:rsidRDefault="00F03602">
      <w:pPr>
        <w:pStyle w:val="a6"/>
      </w:pPr>
      <w:r>
        <w:rPr>
          <w:rStyle w:val="a7"/>
        </w:rPr>
        <w:footnoteRef/>
      </w:r>
      <w:r>
        <w:t xml:space="preserve"> </w:t>
      </w:r>
      <w:r w:rsidRPr="000C19CB">
        <w:rPr>
          <w:b/>
          <w:bCs/>
        </w:rPr>
        <w:t>Μ. Μαργαρίτης</w:t>
      </w:r>
      <w:r w:rsidRPr="000C19CB">
        <w:t xml:space="preserve">, </w:t>
      </w:r>
      <w:r w:rsidRPr="000C19CB">
        <w:rPr>
          <w:i/>
          <w:iCs/>
        </w:rPr>
        <w:t>ό.π.</w:t>
      </w:r>
      <w:r w:rsidRPr="000C19CB">
        <w:t>, σελ. 4</w:t>
      </w:r>
      <w:r>
        <w:t>00</w:t>
      </w:r>
      <w:r w:rsidRPr="000C19CB">
        <w:t>.</w:t>
      </w:r>
    </w:p>
  </w:footnote>
  <w:footnote w:id="9">
    <w:p w14:paraId="5909F768" w14:textId="7C997C10" w:rsidR="00F03602" w:rsidRDefault="00F03602">
      <w:pPr>
        <w:pStyle w:val="a6"/>
      </w:pPr>
      <w:r>
        <w:rPr>
          <w:rStyle w:val="a7"/>
        </w:rPr>
        <w:footnoteRef/>
      </w:r>
      <w:r>
        <w:t xml:space="preserve"> </w:t>
      </w:r>
      <w:r w:rsidRPr="00B76DB9">
        <w:rPr>
          <w:b/>
          <w:bCs/>
        </w:rPr>
        <w:t>Β. Καψάλη</w:t>
      </w:r>
      <w:r>
        <w:t xml:space="preserve"> σε </w:t>
      </w:r>
      <w:r w:rsidRPr="005E758E">
        <w:rPr>
          <w:b/>
          <w:bCs/>
        </w:rPr>
        <w:t>Ι. Σαρμά</w:t>
      </w:r>
      <w:r>
        <w:t xml:space="preserve">, </w:t>
      </w:r>
      <w:r w:rsidRPr="005E758E">
        <w:rPr>
          <w:b/>
          <w:bCs/>
        </w:rPr>
        <w:t>Ξ. Κοντιάδη</w:t>
      </w:r>
      <w:r>
        <w:t xml:space="preserve">, </w:t>
      </w:r>
      <w:r w:rsidRPr="005E758E">
        <w:rPr>
          <w:b/>
          <w:bCs/>
        </w:rPr>
        <w:t>Χ. Ανθόπουλου</w:t>
      </w:r>
      <w:r>
        <w:t xml:space="preserve">, </w:t>
      </w:r>
      <w:r>
        <w:rPr>
          <w:i/>
          <w:iCs/>
        </w:rPr>
        <w:t>ό.π.</w:t>
      </w:r>
      <w:r w:rsidRPr="00DE2E26">
        <w:t xml:space="preserve">, </w:t>
      </w:r>
      <w:r>
        <w:t>σελ. 693.</w:t>
      </w:r>
    </w:p>
  </w:footnote>
  <w:footnote w:id="10">
    <w:p w14:paraId="42BFC813" w14:textId="1961193E" w:rsidR="00F03602" w:rsidRPr="00ED3257" w:rsidRDefault="00F03602" w:rsidP="00110BD6">
      <w:pPr>
        <w:pStyle w:val="a6"/>
      </w:pPr>
      <w:r>
        <w:rPr>
          <w:rStyle w:val="a7"/>
        </w:rPr>
        <w:footnoteRef/>
      </w:r>
      <w:r>
        <w:t xml:space="preserve"> </w:t>
      </w:r>
      <w:proofErr w:type="spellStart"/>
      <w:r>
        <w:t>ΕΔΔΑ</w:t>
      </w:r>
      <w:proofErr w:type="spellEnd"/>
      <w:r>
        <w:t xml:space="preserve"> </w:t>
      </w:r>
      <w:proofErr w:type="spellStart"/>
      <w:r w:rsidRPr="00150432">
        <w:rPr>
          <w:i/>
          <w:iCs/>
          <w:lang w:val="en-US"/>
        </w:rPr>
        <w:t>Klass</w:t>
      </w:r>
      <w:proofErr w:type="spellEnd"/>
      <w:r w:rsidRPr="00150432">
        <w:rPr>
          <w:i/>
          <w:iCs/>
        </w:rPr>
        <w:t xml:space="preserve"> </w:t>
      </w:r>
      <w:r>
        <w:rPr>
          <w:i/>
          <w:iCs/>
        </w:rPr>
        <w:t xml:space="preserve">και άλλοι </w:t>
      </w:r>
      <w:r w:rsidRPr="00150432">
        <w:rPr>
          <w:i/>
          <w:iCs/>
        </w:rPr>
        <w:t>κατά Γερμανίας</w:t>
      </w:r>
      <w:r>
        <w:t>, 06.09.1978, παρ. 64.</w:t>
      </w:r>
    </w:p>
  </w:footnote>
  <w:footnote w:id="11">
    <w:p w14:paraId="3BE2B5C5" w14:textId="00E982C6" w:rsidR="00F03602" w:rsidRPr="006C6B8C" w:rsidRDefault="00F03602" w:rsidP="00110BD6">
      <w:pPr>
        <w:pStyle w:val="a6"/>
        <w:rPr>
          <w:lang w:val="en-US"/>
        </w:rPr>
      </w:pPr>
      <w:r>
        <w:rPr>
          <w:rStyle w:val="a7"/>
        </w:rPr>
        <w:footnoteRef/>
      </w:r>
      <w:r w:rsidRPr="006C6B8C">
        <w:rPr>
          <w:lang w:val="en-US"/>
        </w:rPr>
        <w:t xml:space="preserve"> </w:t>
      </w:r>
      <w:r>
        <w:t>Επί</w:t>
      </w:r>
      <w:r w:rsidRPr="006C6B8C">
        <w:rPr>
          <w:lang w:val="en-US"/>
        </w:rPr>
        <w:t xml:space="preserve"> </w:t>
      </w:r>
      <w:r>
        <w:t>λέξει</w:t>
      </w:r>
      <w:r w:rsidRPr="006C6B8C">
        <w:rPr>
          <w:lang w:val="en-US"/>
        </w:rPr>
        <w:t>: «</w:t>
      </w:r>
      <w:r w:rsidRPr="006C6B8C">
        <w:rPr>
          <w:i/>
          <w:iCs/>
          <w:lang w:val="en-US"/>
        </w:rPr>
        <w:t xml:space="preserve">Thus Article 13 (art. 13) must be interpreted as guaranteeing an effective remedy before a national authority </w:t>
      </w:r>
      <w:r w:rsidRPr="00EC09F3">
        <w:rPr>
          <w:b/>
          <w:bCs/>
          <w:i/>
          <w:iCs/>
          <w:lang w:val="en-US"/>
        </w:rPr>
        <w:t>to everyone who claims that his rights and freedoms under the Convention have been violated</w:t>
      </w:r>
      <w:r w:rsidRPr="006C6B8C">
        <w:rPr>
          <w:lang w:val="en-US"/>
        </w:rPr>
        <w:t>».</w:t>
      </w:r>
    </w:p>
  </w:footnote>
  <w:footnote w:id="12">
    <w:p w14:paraId="34CA40A6" w14:textId="777C2E2A" w:rsidR="00F03602" w:rsidRPr="00401413" w:rsidRDefault="00F03602">
      <w:pPr>
        <w:pStyle w:val="a6"/>
      </w:pPr>
      <w:r>
        <w:rPr>
          <w:rStyle w:val="a7"/>
        </w:rPr>
        <w:footnoteRef/>
      </w:r>
      <w:r w:rsidRPr="00401413">
        <w:t xml:space="preserve"> </w:t>
      </w:r>
      <w:r>
        <w:t xml:space="preserve">π.χ. ΕΔΔΑ </w:t>
      </w:r>
      <w:r w:rsidRPr="00401413">
        <w:rPr>
          <w:i/>
          <w:iCs/>
          <w:lang w:val="en-US"/>
        </w:rPr>
        <w:t>Leander</w:t>
      </w:r>
      <w:r w:rsidRPr="00401413">
        <w:rPr>
          <w:i/>
          <w:iCs/>
        </w:rPr>
        <w:t xml:space="preserve"> κατά Σουηδίας</w:t>
      </w:r>
      <w:r>
        <w:t>, 26.03.1987.</w:t>
      </w:r>
    </w:p>
  </w:footnote>
  <w:footnote w:id="13">
    <w:p w14:paraId="2FF7E5D5" w14:textId="565F1984" w:rsidR="00F03602" w:rsidRPr="00AC67F5" w:rsidRDefault="00F03602" w:rsidP="00110BD6">
      <w:pPr>
        <w:pStyle w:val="a6"/>
      </w:pPr>
      <w:r>
        <w:rPr>
          <w:rStyle w:val="a7"/>
        </w:rPr>
        <w:footnoteRef/>
      </w:r>
      <w:r w:rsidRPr="00AC67F5">
        <w:t xml:space="preserve"> </w:t>
      </w:r>
      <w:r>
        <w:t>ΕΔΔΑ</w:t>
      </w:r>
      <w:r w:rsidRPr="00AC67F5">
        <w:t xml:space="preserve"> </w:t>
      </w:r>
      <w:r>
        <w:rPr>
          <w:i/>
          <w:iCs/>
          <w:lang w:val="en-US"/>
        </w:rPr>
        <w:t>Silver</w:t>
      </w:r>
      <w:r w:rsidRPr="00AC67F5">
        <w:rPr>
          <w:i/>
          <w:iCs/>
        </w:rPr>
        <w:t xml:space="preserve"> </w:t>
      </w:r>
      <w:r>
        <w:rPr>
          <w:i/>
          <w:iCs/>
        </w:rPr>
        <w:t>και άλλοι</w:t>
      </w:r>
      <w:r w:rsidRPr="00AC67F5">
        <w:rPr>
          <w:i/>
          <w:iCs/>
        </w:rPr>
        <w:t xml:space="preserve"> </w:t>
      </w:r>
      <w:r>
        <w:rPr>
          <w:i/>
          <w:iCs/>
        </w:rPr>
        <w:t>κατά</w:t>
      </w:r>
      <w:r w:rsidRPr="00AC67F5">
        <w:rPr>
          <w:i/>
          <w:iCs/>
        </w:rPr>
        <w:t xml:space="preserve"> </w:t>
      </w:r>
      <w:r>
        <w:rPr>
          <w:i/>
          <w:iCs/>
        </w:rPr>
        <w:t>Ηνωμένου</w:t>
      </w:r>
      <w:r w:rsidRPr="00AC67F5">
        <w:rPr>
          <w:i/>
          <w:iCs/>
        </w:rPr>
        <w:t xml:space="preserve"> </w:t>
      </w:r>
      <w:r>
        <w:rPr>
          <w:i/>
          <w:iCs/>
        </w:rPr>
        <w:t>Βασιλείου</w:t>
      </w:r>
      <w:r w:rsidRPr="00AC67F5">
        <w:rPr>
          <w:i/>
          <w:iCs/>
        </w:rPr>
        <w:t xml:space="preserve">, </w:t>
      </w:r>
      <w:r w:rsidRPr="00AC67F5">
        <w:t>25.03.1983.</w:t>
      </w:r>
    </w:p>
  </w:footnote>
  <w:footnote w:id="14">
    <w:p w14:paraId="196C0D9B" w14:textId="6888C118" w:rsidR="00F03602" w:rsidRPr="00EB0E1A" w:rsidRDefault="00F03602" w:rsidP="00110BD6">
      <w:pPr>
        <w:pStyle w:val="a6"/>
      </w:pPr>
      <w:r>
        <w:rPr>
          <w:rStyle w:val="a7"/>
        </w:rPr>
        <w:footnoteRef/>
      </w:r>
      <w:r>
        <w:t xml:space="preserve"> Στην αγγλική χρησιμοποιείται ο όρος «</w:t>
      </w:r>
      <w:r>
        <w:rPr>
          <w:lang w:val="en-US"/>
        </w:rPr>
        <w:t>arguable</w:t>
      </w:r>
      <w:r w:rsidRPr="00110BD6">
        <w:t xml:space="preserve"> </w:t>
      </w:r>
      <w:r>
        <w:rPr>
          <w:lang w:val="en-US"/>
        </w:rPr>
        <w:t>claim</w:t>
      </w:r>
      <w:r>
        <w:t>».</w:t>
      </w:r>
    </w:p>
  </w:footnote>
  <w:footnote w:id="15">
    <w:p w14:paraId="55F0D587" w14:textId="60740F8C" w:rsidR="00F03602" w:rsidRPr="00A7444C" w:rsidRDefault="00F03602">
      <w:pPr>
        <w:pStyle w:val="a6"/>
      </w:pPr>
      <w:r>
        <w:rPr>
          <w:rStyle w:val="a7"/>
        </w:rPr>
        <w:footnoteRef/>
      </w:r>
      <w:r>
        <w:t xml:space="preserve"> ΕΔΔΑ </w:t>
      </w:r>
      <w:r w:rsidRPr="00A7444C">
        <w:rPr>
          <w:i/>
          <w:iCs/>
          <w:lang w:val="en-US"/>
        </w:rPr>
        <w:t>Boyle</w:t>
      </w:r>
      <w:r w:rsidRPr="00A7444C">
        <w:rPr>
          <w:i/>
          <w:iCs/>
        </w:rPr>
        <w:t xml:space="preserve"> </w:t>
      </w:r>
      <w:r w:rsidRPr="00A7444C">
        <w:rPr>
          <w:i/>
          <w:iCs/>
          <w:lang w:val="en-US"/>
        </w:rPr>
        <w:t>and</w:t>
      </w:r>
      <w:r w:rsidRPr="00A7444C">
        <w:rPr>
          <w:i/>
          <w:iCs/>
        </w:rPr>
        <w:t xml:space="preserve"> </w:t>
      </w:r>
      <w:r w:rsidRPr="00A7444C">
        <w:rPr>
          <w:i/>
          <w:iCs/>
          <w:lang w:val="en-US"/>
        </w:rPr>
        <w:t>Rice</w:t>
      </w:r>
      <w:r w:rsidRPr="00A7444C">
        <w:rPr>
          <w:i/>
          <w:iCs/>
        </w:rPr>
        <w:t xml:space="preserve"> κατά Ηνωμένου Βασιλείου, </w:t>
      </w:r>
      <w:r w:rsidRPr="00A7444C">
        <w:t xml:space="preserve">27.04.1988, </w:t>
      </w:r>
      <w:r>
        <w:t>παρ. 52.</w:t>
      </w:r>
    </w:p>
  </w:footnote>
  <w:footnote w:id="16">
    <w:p w14:paraId="09BAB020" w14:textId="41E9010E" w:rsidR="00F03602" w:rsidRDefault="00F03602">
      <w:pPr>
        <w:pStyle w:val="a6"/>
      </w:pPr>
      <w:r>
        <w:rPr>
          <w:rStyle w:val="a7"/>
        </w:rPr>
        <w:footnoteRef/>
      </w:r>
      <w:r>
        <w:t xml:space="preserve"> </w:t>
      </w:r>
      <w:r w:rsidRPr="000C19CB">
        <w:rPr>
          <w:b/>
          <w:bCs/>
        </w:rPr>
        <w:t>Μ. Μαργαρίτης</w:t>
      </w:r>
      <w:r w:rsidRPr="000C19CB">
        <w:t xml:space="preserve">, </w:t>
      </w:r>
      <w:r w:rsidRPr="000C19CB">
        <w:rPr>
          <w:i/>
          <w:iCs/>
        </w:rPr>
        <w:t>ό.π.</w:t>
      </w:r>
      <w:r w:rsidRPr="000C19CB">
        <w:t>, σελ. 4</w:t>
      </w:r>
      <w:r>
        <w:t xml:space="preserve">01, ΕΔΔΑ </w:t>
      </w:r>
      <w:r w:rsidRPr="00144885">
        <w:rPr>
          <w:i/>
          <w:iCs/>
        </w:rPr>
        <w:t>Τ.Ο.Α.Ε. κατά Ελλάδας</w:t>
      </w:r>
      <w:r>
        <w:t>, 01.10.2013, παρ. 26</w:t>
      </w:r>
      <w:r w:rsidRPr="000C19CB">
        <w:t>.</w:t>
      </w:r>
    </w:p>
  </w:footnote>
  <w:footnote w:id="17">
    <w:p w14:paraId="66B6BEA7" w14:textId="3764245D" w:rsidR="00F03602" w:rsidRDefault="00F03602">
      <w:pPr>
        <w:pStyle w:val="a6"/>
      </w:pPr>
      <w:r>
        <w:rPr>
          <w:rStyle w:val="a7"/>
        </w:rPr>
        <w:footnoteRef/>
      </w:r>
      <w:r>
        <w:t xml:space="preserve"> ΕΔΔΑ </w:t>
      </w:r>
      <w:r w:rsidRPr="00A7444C">
        <w:rPr>
          <w:i/>
          <w:iCs/>
          <w:lang w:val="en-US"/>
        </w:rPr>
        <w:t>Boyle</w:t>
      </w:r>
      <w:r w:rsidRPr="00A7444C">
        <w:rPr>
          <w:i/>
          <w:iCs/>
        </w:rPr>
        <w:t xml:space="preserve"> </w:t>
      </w:r>
      <w:r w:rsidRPr="00A7444C">
        <w:rPr>
          <w:i/>
          <w:iCs/>
          <w:lang w:val="en-US"/>
        </w:rPr>
        <w:t>and</w:t>
      </w:r>
      <w:r w:rsidRPr="00A7444C">
        <w:rPr>
          <w:i/>
          <w:iCs/>
        </w:rPr>
        <w:t xml:space="preserve"> </w:t>
      </w:r>
      <w:r w:rsidRPr="00A7444C">
        <w:rPr>
          <w:i/>
          <w:iCs/>
          <w:lang w:val="en-US"/>
        </w:rPr>
        <w:t>Rice</w:t>
      </w:r>
      <w:r w:rsidRPr="00A7444C">
        <w:rPr>
          <w:i/>
          <w:iCs/>
        </w:rPr>
        <w:t xml:space="preserve"> κατά Ηνωμένου Βασιλείου, </w:t>
      </w:r>
      <w:r w:rsidRPr="00A7444C">
        <w:t xml:space="preserve">27.04.1988, </w:t>
      </w:r>
      <w:r>
        <w:t>παρ. 55.</w:t>
      </w:r>
    </w:p>
  </w:footnote>
  <w:footnote w:id="18">
    <w:p w14:paraId="49F8FA94" w14:textId="77777777" w:rsidR="00321CA9" w:rsidRPr="00A14834" w:rsidRDefault="00321CA9" w:rsidP="00321CA9">
      <w:pPr>
        <w:pStyle w:val="a6"/>
        <w:rPr>
          <w:lang w:val="en-US"/>
        </w:rPr>
      </w:pPr>
      <w:r>
        <w:rPr>
          <w:rStyle w:val="a7"/>
        </w:rPr>
        <w:footnoteRef/>
      </w:r>
      <w:r w:rsidRPr="00A14834">
        <w:rPr>
          <w:lang w:val="en-US"/>
        </w:rPr>
        <w:t xml:space="preserve"> </w:t>
      </w:r>
      <w:r w:rsidRPr="00FF455C">
        <w:rPr>
          <w:i/>
          <w:iCs/>
          <w:lang w:val="en-US"/>
        </w:rPr>
        <w:t xml:space="preserve">Guide on Article 13 of the European Convention of Human Rights, </w:t>
      </w:r>
      <w:proofErr w:type="gramStart"/>
      <w:r>
        <w:rPr>
          <w:i/>
          <w:iCs/>
          <w:lang w:val="en-US"/>
        </w:rPr>
        <w:t>R</w:t>
      </w:r>
      <w:r w:rsidRPr="00FF455C">
        <w:rPr>
          <w:i/>
          <w:iCs/>
          <w:lang w:val="en-US"/>
        </w:rPr>
        <w:t>ight</w:t>
      </w:r>
      <w:proofErr w:type="gramEnd"/>
      <w:r w:rsidRPr="00FF455C">
        <w:rPr>
          <w:i/>
          <w:iCs/>
          <w:lang w:val="en-US"/>
        </w:rPr>
        <w:t xml:space="preserve"> to an effective remedy</w:t>
      </w:r>
      <w:r>
        <w:rPr>
          <w:lang w:val="en-US"/>
        </w:rPr>
        <w:t>, European Court of Human Rights, 2022</w:t>
      </w:r>
      <w:r w:rsidRPr="00A14834">
        <w:rPr>
          <w:lang w:val="en-US"/>
        </w:rPr>
        <w:t xml:space="preserve">, </w:t>
      </w:r>
      <w:proofErr w:type="spellStart"/>
      <w:r>
        <w:t>παρ</w:t>
      </w:r>
      <w:proofErr w:type="spellEnd"/>
      <w:r w:rsidRPr="00A14834">
        <w:rPr>
          <w:lang w:val="en-US"/>
        </w:rPr>
        <w:t>. 18 - 19</w:t>
      </w:r>
      <w:r>
        <w:rPr>
          <w:lang w:val="en-US"/>
        </w:rPr>
        <w:t>.</w:t>
      </w:r>
    </w:p>
  </w:footnote>
  <w:footnote w:id="19">
    <w:p w14:paraId="01C2DD7D" w14:textId="4F193F2D" w:rsidR="00F03602" w:rsidRPr="00321CA9" w:rsidRDefault="00F03602">
      <w:pPr>
        <w:pStyle w:val="a6"/>
        <w:rPr>
          <w:lang w:val="en-US"/>
        </w:rPr>
      </w:pPr>
      <w:r>
        <w:rPr>
          <w:rStyle w:val="a7"/>
        </w:rPr>
        <w:footnoteRef/>
      </w:r>
      <w:r w:rsidRPr="00321CA9">
        <w:rPr>
          <w:lang w:val="en-US"/>
        </w:rPr>
        <w:t xml:space="preserve"> </w:t>
      </w:r>
      <w:proofErr w:type="spellStart"/>
      <w:r>
        <w:t>ΕΔΔΑ</w:t>
      </w:r>
      <w:proofErr w:type="spellEnd"/>
      <w:r w:rsidRPr="00321CA9">
        <w:rPr>
          <w:lang w:val="en-US"/>
        </w:rPr>
        <w:t xml:space="preserve"> </w:t>
      </w:r>
      <w:r w:rsidRPr="00E77BB1">
        <w:rPr>
          <w:i/>
          <w:iCs/>
          <w:lang w:val="en-US"/>
        </w:rPr>
        <w:t>Paul</w:t>
      </w:r>
      <w:r w:rsidRPr="00321CA9">
        <w:rPr>
          <w:i/>
          <w:iCs/>
          <w:lang w:val="en-US"/>
        </w:rPr>
        <w:t xml:space="preserve"> </w:t>
      </w:r>
      <w:r w:rsidRPr="00E77BB1">
        <w:rPr>
          <w:i/>
          <w:iCs/>
          <w:lang w:val="en-US"/>
        </w:rPr>
        <w:t>and</w:t>
      </w:r>
      <w:r w:rsidRPr="00321CA9">
        <w:rPr>
          <w:i/>
          <w:iCs/>
          <w:lang w:val="en-US"/>
        </w:rPr>
        <w:t xml:space="preserve"> </w:t>
      </w:r>
      <w:r w:rsidRPr="00E77BB1">
        <w:rPr>
          <w:i/>
          <w:iCs/>
          <w:lang w:val="en-US"/>
        </w:rPr>
        <w:t>Audrey</w:t>
      </w:r>
      <w:r w:rsidRPr="00321CA9">
        <w:rPr>
          <w:i/>
          <w:iCs/>
          <w:lang w:val="en-US"/>
        </w:rPr>
        <w:t xml:space="preserve"> </w:t>
      </w:r>
      <w:r w:rsidRPr="00E77BB1">
        <w:rPr>
          <w:i/>
          <w:iCs/>
          <w:lang w:val="en-US"/>
        </w:rPr>
        <w:t>Edwards</w:t>
      </w:r>
      <w:r w:rsidRPr="00321CA9">
        <w:rPr>
          <w:i/>
          <w:iCs/>
          <w:lang w:val="en-US"/>
        </w:rPr>
        <w:t xml:space="preserve"> </w:t>
      </w:r>
      <w:r w:rsidRPr="00E77BB1">
        <w:rPr>
          <w:i/>
          <w:iCs/>
        </w:rPr>
        <w:t>κατά</w:t>
      </w:r>
      <w:r w:rsidRPr="00321CA9">
        <w:rPr>
          <w:i/>
          <w:iCs/>
          <w:lang w:val="en-US"/>
        </w:rPr>
        <w:t xml:space="preserve"> </w:t>
      </w:r>
      <w:r w:rsidRPr="00E77BB1">
        <w:rPr>
          <w:i/>
          <w:iCs/>
        </w:rPr>
        <w:t>Ηνωμένου</w:t>
      </w:r>
      <w:r w:rsidRPr="00321CA9">
        <w:rPr>
          <w:i/>
          <w:iCs/>
          <w:lang w:val="en-US"/>
        </w:rPr>
        <w:t xml:space="preserve"> </w:t>
      </w:r>
      <w:r w:rsidRPr="00E77BB1">
        <w:rPr>
          <w:i/>
          <w:iCs/>
        </w:rPr>
        <w:t>Βασιλείου</w:t>
      </w:r>
      <w:r w:rsidRPr="00321CA9">
        <w:rPr>
          <w:i/>
          <w:iCs/>
          <w:lang w:val="en-US"/>
        </w:rPr>
        <w:t xml:space="preserve">, </w:t>
      </w:r>
      <w:r w:rsidRPr="00321CA9">
        <w:rPr>
          <w:lang w:val="en-US"/>
        </w:rPr>
        <w:t>14.03.2002.</w:t>
      </w:r>
    </w:p>
  </w:footnote>
  <w:footnote w:id="20">
    <w:p w14:paraId="7CFE0CDE" w14:textId="79D41B8B" w:rsidR="00F03602" w:rsidRDefault="00F03602">
      <w:pPr>
        <w:pStyle w:val="a6"/>
      </w:pPr>
      <w:r>
        <w:rPr>
          <w:rStyle w:val="a7"/>
        </w:rPr>
        <w:footnoteRef/>
      </w:r>
      <w:r>
        <w:t xml:space="preserve"> </w:t>
      </w:r>
      <w:proofErr w:type="spellStart"/>
      <w:r>
        <w:t>ΕΔΔΑ</w:t>
      </w:r>
      <w:proofErr w:type="spellEnd"/>
      <w:r>
        <w:t xml:space="preserve"> </w:t>
      </w:r>
      <w:r w:rsidRPr="00C86C99">
        <w:rPr>
          <w:i/>
          <w:iCs/>
          <w:lang w:val="en-US"/>
        </w:rPr>
        <w:t>Paul</w:t>
      </w:r>
      <w:r w:rsidRPr="00C86C99">
        <w:rPr>
          <w:i/>
          <w:iCs/>
        </w:rPr>
        <w:t xml:space="preserve"> </w:t>
      </w:r>
      <w:r w:rsidRPr="00C86C99">
        <w:rPr>
          <w:i/>
          <w:iCs/>
          <w:lang w:val="en-US"/>
        </w:rPr>
        <w:t>and</w:t>
      </w:r>
      <w:r w:rsidRPr="00C86C99">
        <w:rPr>
          <w:i/>
          <w:iCs/>
        </w:rPr>
        <w:t xml:space="preserve"> </w:t>
      </w:r>
      <w:r w:rsidRPr="00C86C99">
        <w:rPr>
          <w:i/>
          <w:iCs/>
          <w:lang w:val="en-US"/>
        </w:rPr>
        <w:t>Audrey</w:t>
      </w:r>
      <w:r w:rsidRPr="00C86C99">
        <w:rPr>
          <w:i/>
          <w:iCs/>
        </w:rPr>
        <w:t xml:space="preserve"> </w:t>
      </w:r>
      <w:r w:rsidRPr="00C86C99">
        <w:rPr>
          <w:i/>
          <w:iCs/>
          <w:lang w:val="en-US"/>
        </w:rPr>
        <w:t>Edwards</w:t>
      </w:r>
      <w:r w:rsidRPr="00C86C99">
        <w:rPr>
          <w:i/>
          <w:iCs/>
        </w:rPr>
        <w:t xml:space="preserve"> κατά Ηνωμένου Βασιλείου, </w:t>
      </w:r>
      <w:r w:rsidRPr="00C86C99">
        <w:t>14.06.2002</w:t>
      </w:r>
      <w:r>
        <w:t>, παρ. 99.</w:t>
      </w:r>
    </w:p>
  </w:footnote>
  <w:footnote w:id="21">
    <w:p w14:paraId="24F73646" w14:textId="0D334D1A" w:rsidR="00F03602" w:rsidRDefault="00F03602">
      <w:pPr>
        <w:pStyle w:val="a6"/>
      </w:pPr>
      <w:r>
        <w:rPr>
          <w:rStyle w:val="a7"/>
        </w:rPr>
        <w:footnoteRef/>
      </w:r>
      <w:r>
        <w:t xml:space="preserve"> ΕΔΔΑ </w:t>
      </w:r>
      <w:r w:rsidRPr="00F61051">
        <w:rPr>
          <w:i/>
          <w:iCs/>
        </w:rPr>
        <w:t>Λ.Μ. και Ε.Κ. κατά Ελλάδος</w:t>
      </w:r>
      <w:r>
        <w:rPr>
          <w:i/>
          <w:iCs/>
        </w:rPr>
        <w:t xml:space="preserve">, </w:t>
      </w:r>
      <w:r>
        <w:t>13.12.2005, παρ. 56-57.</w:t>
      </w:r>
    </w:p>
  </w:footnote>
  <w:footnote w:id="22">
    <w:p w14:paraId="4F8F13B7" w14:textId="4CA9C7FF" w:rsidR="00F03602" w:rsidRPr="000F31C8" w:rsidRDefault="00F03602">
      <w:pPr>
        <w:pStyle w:val="a6"/>
        <w:rPr>
          <w:lang w:val="en-US"/>
        </w:rPr>
      </w:pPr>
      <w:r>
        <w:rPr>
          <w:rStyle w:val="a7"/>
        </w:rPr>
        <w:footnoteRef/>
      </w:r>
      <w:r w:rsidRPr="000F31C8">
        <w:rPr>
          <w:lang w:val="en-US"/>
        </w:rPr>
        <w:t xml:space="preserve"> </w:t>
      </w:r>
      <w:r>
        <w:t>ΕΔΔΑ</w:t>
      </w:r>
      <w:r w:rsidRPr="000F31C8">
        <w:rPr>
          <w:lang w:val="en-US"/>
        </w:rPr>
        <w:t xml:space="preserve"> </w:t>
      </w:r>
      <w:r w:rsidRPr="00C24D06">
        <w:rPr>
          <w:i/>
          <w:iCs/>
        </w:rPr>
        <w:t>Βαλσάμης</w:t>
      </w:r>
      <w:r w:rsidRPr="000F31C8">
        <w:rPr>
          <w:i/>
          <w:iCs/>
          <w:lang w:val="en-US"/>
        </w:rPr>
        <w:t xml:space="preserve"> </w:t>
      </w:r>
      <w:r w:rsidRPr="00C24D06">
        <w:rPr>
          <w:i/>
          <w:iCs/>
        </w:rPr>
        <w:t>κατά</w:t>
      </w:r>
      <w:r w:rsidRPr="000F31C8">
        <w:rPr>
          <w:i/>
          <w:iCs/>
          <w:lang w:val="en-US"/>
        </w:rPr>
        <w:t xml:space="preserve"> </w:t>
      </w:r>
      <w:r w:rsidRPr="00C24D06">
        <w:rPr>
          <w:i/>
          <w:iCs/>
        </w:rPr>
        <w:t>Ελλάδος</w:t>
      </w:r>
      <w:r>
        <w:rPr>
          <w:i/>
          <w:iCs/>
          <w:lang w:val="en-US"/>
        </w:rPr>
        <w:t xml:space="preserve">, </w:t>
      </w:r>
      <w:r>
        <w:rPr>
          <w:lang w:val="en-US"/>
        </w:rPr>
        <w:t>18.12.1996</w:t>
      </w:r>
      <w:r w:rsidRPr="000F31C8">
        <w:rPr>
          <w:i/>
          <w:iCs/>
          <w:lang w:val="en-US"/>
        </w:rPr>
        <w:t>.</w:t>
      </w:r>
    </w:p>
  </w:footnote>
  <w:footnote w:id="23">
    <w:p w14:paraId="7292DB00" w14:textId="3F927FBA" w:rsidR="00F03602" w:rsidRDefault="00F03602">
      <w:pPr>
        <w:pStyle w:val="a6"/>
      </w:pPr>
      <w:r>
        <w:rPr>
          <w:rStyle w:val="a7"/>
        </w:rPr>
        <w:footnoteRef/>
      </w:r>
      <w:r>
        <w:t xml:space="preserve"> </w:t>
      </w:r>
      <w:r w:rsidRPr="00DD370F">
        <w:rPr>
          <w:b/>
          <w:bCs/>
        </w:rPr>
        <w:t>Μ. Μαργαρίτης</w:t>
      </w:r>
      <w:r w:rsidRPr="00DD370F">
        <w:t xml:space="preserve">, </w:t>
      </w:r>
      <w:r w:rsidRPr="00DD370F">
        <w:rPr>
          <w:i/>
          <w:iCs/>
        </w:rPr>
        <w:t>ό.π.</w:t>
      </w:r>
      <w:r w:rsidRPr="00DD370F">
        <w:t>, σελ. 401.</w:t>
      </w:r>
    </w:p>
  </w:footnote>
  <w:footnote w:id="24">
    <w:p w14:paraId="1EC43442" w14:textId="5E86FA22" w:rsidR="00F03602" w:rsidRPr="00EF7973" w:rsidRDefault="00F03602">
      <w:pPr>
        <w:pStyle w:val="a6"/>
      </w:pPr>
      <w:r>
        <w:rPr>
          <w:rStyle w:val="a7"/>
        </w:rPr>
        <w:footnoteRef/>
      </w:r>
      <w:r>
        <w:t xml:space="preserve"> ΕΔΔΑ </w:t>
      </w:r>
      <w:r w:rsidRPr="00EF7973">
        <w:rPr>
          <w:i/>
          <w:iCs/>
          <w:lang w:val="en-US"/>
        </w:rPr>
        <w:t>Boyle</w:t>
      </w:r>
      <w:r w:rsidRPr="00EF7973">
        <w:rPr>
          <w:i/>
          <w:iCs/>
        </w:rPr>
        <w:t xml:space="preserve"> </w:t>
      </w:r>
      <w:r w:rsidRPr="00EF7973">
        <w:rPr>
          <w:i/>
          <w:iCs/>
          <w:lang w:val="en-US"/>
        </w:rPr>
        <w:t>and</w:t>
      </w:r>
      <w:r w:rsidRPr="00EF7973">
        <w:rPr>
          <w:i/>
          <w:iCs/>
        </w:rPr>
        <w:t xml:space="preserve"> </w:t>
      </w:r>
      <w:r w:rsidRPr="00EF7973">
        <w:rPr>
          <w:i/>
          <w:iCs/>
          <w:lang w:val="en-US"/>
        </w:rPr>
        <w:t>Rice</w:t>
      </w:r>
      <w:r w:rsidRPr="00EF7973">
        <w:rPr>
          <w:i/>
          <w:iCs/>
        </w:rPr>
        <w:t xml:space="preserve"> κατά Ηνωμένου Βασιλείου</w:t>
      </w:r>
      <w:r>
        <w:t xml:space="preserve">, </w:t>
      </w:r>
      <w:r w:rsidRPr="00A7444C">
        <w:t xml:space="preserve">27.04.1988, </w:t>
      </w:r>
      <w:r>
        <w:t>παρ. 54.</w:t>
      </w:r>
    </w:p>
  </w:footnote>
  <w:footnote w:id="25">
    <w:p w14:paraId="5959E078" w14:textId="2346825A" w:rsidR="00F03602" w:rsidRPr="001943F5" w:rsidRDefault="00F03602">
      <w:pPr>
        <w:pStyle w:val="a6"/>
      </w:pPr>
      <w:r>
        <w:rPr>
          <w:rStyle w:val="a7"/>
        </w:rPr>
        <w:footnoteRef/>
      </w:r>
      <w:r>
        <w:t xml:space="preserve"> ΕΔΔΑ </w:t>
      </w:r>
      <w:r>
        <w:rPr>
          <w:i/>
          <w:iCs/>
        </w:rPr>
        <w:t>Γιαννακοπούλου κατά Ελλάδος</w:t>
      </w:r>
      <w:r>
        <w:t>, 02.06.2005, παρ. 21-24.</w:t>
      </w:r>
    </w:p>
  </w:footnote>
  <w:footnote w:id="26">
    <w:p w14:paraId="73D1F35A" w14:textId="34CB05C9" w:rsidR="00F03602" w:rsidRPr="00145B60" w:rsidRDefault="00F03602">
      <w:pPr>
        <w:pStyle w:val="a6"/>
      </w:pPr>
      <w:r>
        <w:rPr>
          <w:rStyle w:val="a7"/>
        </w:rPr>
        <w:footnoteRef/>
      </w:r>
      <w:r>
        <w:t xml:space="preserve"> </w:t>
      </w:r>
      <w:r w:rsidRPr="00145B60">
        <w:t xml:space="preserve">ΕΔΔΑ </w:t>
      </w:r>
      <w:r w:rsidRPr="00145B60">
        <w:rPr>
          <w:i/>
          <w:iCs/>
          <w:lang w:val="en-US"/>
        </w:rPr>
        <w:t>D</w:t>
      </w:r>
      <w:r w:rsidRPr="00145B60">
        <w:rPr>
          <w:i/>
          <w:iCs/>
        </w:rPr>
        <w:t>.</w:t>
      </w:r>
      <w:r w:rsidRPr="00145B60">
        <w:rPr>
          <w:i/>
          <w:iCs/>
          <w:lang w:val="en-US"/>
        </w:rPr>
        <w:t>M</w:t>
      </w:r>
      <w:r w:rsidRPr="00145B60">
        <w:rPr>
          <w:i/>
          <w:iCs/>
        </w:rPr>
        <w:t xml:space="preserve">. κατά Ελλάδος, </w:t>
      </w:r>
      <w:r w:rsidRPr="00145B60">
        <w:t>16.02.2017, παρ. 43.</w:t>
      </w:r>
    </w:p>
  </w:footnote>
  <w:footnote w:id="27">
    <w:p w14:paraId="0BA8DF8B" w14:textId="0EF17021" w:rsidR="00F03602" w:rsidRPr="00145B60" w:rsidRDefault="00F03602">
      <w:pPr>
        <w:pStyle w:val="a6"/>
        <w:rPr>
          <w:i/>
          <w:iCs/>
        </w:rPr>
      </w:pPr>
      <w:r w:rsidRPr="00145B60">
        <w:rPr>
          <w:rStyle w:val="a7"/>
        </w:rPr>
        <w:footnoteRef/>
      </w:r>
      <w:r w:rsidRPr="00145B60">
        <w:t xml:space="preserve"> ΕΔΔΑ </w:t>
      </w:r>
      <w:r w:rsidRPr="00145B60">
        <w:rPr>
          <w:i/>
          <w:iCs/>
          <w:lang w:val="en-US"/>
        </w:rPr>
        <w:t>Klass</w:t>
      </w:r>
      <w:r w:rsidRPr="00145B60">
        <w:rPr>
          <w:i/>
          <w:iCs/>
        </w:rPr>
        <w:t xml:space="preserve"> και άλλοι κατά Γερμανίας, </w:t>
      </w:r>
      <w:r w:rsidRPr="00145B60">
        <w:t>06.09.1978</w:t>
      </w:r>
      <w:r w:rsidRPr="00145B60">
        <w:rPr>
          <w:i/>
          <w:iCs/>
        </w:rPr>
        <w:t xml:space="preserve">, </w:t>
      </w:r>
      <w:r w:rsidRPr="00145B60">
        <w:rPr>
          <w:i/>
          <w:iCs/>
          <w:lang w:val="en-US"/>
        </w:rPr>
        <w:t>Silver</w:t>
      </w:r>
      <w:r w:rsidRPr="00145B60">
        <w:rPr>
          <w:i/>
          <w:iCs/>
        </w:rPr>
        <w:t xml:space="preserve"> και άλλοι κατά Ηνωμένου Βασιλείου, </w:t>
      </w:r>
      <w:r w:rsidRPr="00145B60">
        <w:t>25.03.1983</w:t>
      </w:r>
      <w:r w:rsidRPr="00145B60">
        <w:rPr>
          <w:i/>
          <w:iCs/>
        </w:rPr>
        <w:t xml:space="preserve">, </w:t>
      </w:r>
      <w:r w:rsidRPr="00145B60">
        <w:rPr>
          <w:i/>
          <w:iCs/>
          <w:lang w:val="en-US"/>
        </w:rPr>
        <w:t>Boyle</w:t>
      </w:r>
      <w:r w:rsidRPr="00145B60">
        <w:rPr>
          <w:i/>
          <w:iCs/>
        </w:rPr>
        <w:t xml:space="preserve"> </w:t>
      </w:r>
      <w:r w:rsidRPr="00145B60">
        <w:rPr>
          <w:i/>
          <w:iCs/>
          <w:lang w:val="en-US"/>
        </w:rPr>
        <w:t>and</w:t>
      </w:r>
      <w:r w:rsidRPr="00145B60">
        <w:rPr>
          <w:i/>
          <w:iCs/>
        </w:rPr>
        <w:t xml:space="preserve"> </w:t>
      </w:r>
      <w:r w:rsidRPr="00145B60">
        <w:rPr>
          <w:i/>
          <w:iCs/>
          <w:lang w:val="en-US"/>
        </w:rPr>
        <w:t>Rice</w:t>
      </w:r>
      <w:r w:rsidRPr="00145B60">
        <w:rPr>
          <w:i/>
          <w:iCs/>
        </w:rPr>
        <w:t xml:space="preserve"> κατά Ηνωμένου Βασιλείου</w:t>
      </w:r>
      <w:r w:rsidRPr="00145B60">
        <w:t>, 27.04.1988.</w:t>
      </w:r>
    </w:p>
  </w:footnote>
  <w:footnote w:id="28">
    <w:p w14:paraId="22F87640" w14:textId="016B73F3" w:rsidR="00F03602" w:rsidRPr="00145B60" w:rsidRDefault="00F03602">
      <w:pPr>
        <w:pStyle w:val="a6"/>
        <w:rPr>
          <w:i/>
          <w:iCs/>
        </w:rPr>
      </w:pPr>
      <w:r w:rsidRPr="00145B60">
        <w:rPr>
          <w:rStyle w:val="a7"/>
        </w:rPr>
        <w:footnoteRef/>
      </w:r>
      <w:r w:rsidRPr="00145B60">
        <w:t xml:space="preserve"> ΕΔΔΑ </w:t>
      </w:r>
      <w:r w:rsidRPr="00145B60">
        <w:rPr>
          <w:i/>
          <w:iCs/>
          <w:lang w:val="en-US"/>
        </w:rPr>
        <w:t>M</w:t>
      </w:r>
      <w:r w:rsidRPr="00145B60">
        <w:rPr>
          <w:i/>
          <w:iCs/>
        </w:rPr>
        <w:t>.</w:t>
      </w:r>
      <w:r w:rsidRPr="00145B60">
        <w:rPr>
          <w:i/>
          <w:iCs/>
          <w:lang w:val="en-US"/>
        </w:rPr>
        <w:t>S</w:t>
      </w:r>
      <w:r w:rsidRPr="00145B60">
        <w:rPr>
          <w:i/>
          <w:iCs/>
        </w:rPr>
        <w:t>.</w:t>
      </w:r>
      <w:r w:rsidRPr="00145B60">
        <w:rPr>
          <w:i/>
          <w:iCs/>
          <w:lang w:val="en-US"/>
        </w:rPr>
        <w:t>S</w:t>
      </w:r>
      <w:r w:rsidRPr="00145B60">
        <w:rPr>
          <w:i/>
          <w:iCs/>
        </w:rPr>
        <w:t>. κατά Βελγίου και Ελλάδας</w:t>
      </w:r>
      <w:r w:rsidRPr="00145B60">
        <w:t xml:space="preserve">, 21.01.2010, </w:t>
      </w:r>
      <w:r w:rsidRPr="00145B60">
        <w:rPr>
          <w:i/>
          <w:iCs/>
          <w:lang w:val="en-US"/>
        </w:rPr>
        <w:t>Klass</w:t>
      </w:r>
      <w:r w:rsidRPr="00145B60">
        <w:rPr>
          <w:i/>
          <w:iCs/>
        </w:rPr>
        <w:t xml:space="preserve"> και άλλοι κατά Γερμανίας,</w:t>
      </w:r>
      <w:r w:rsidRPr="00145B60">
        <w:t xml:space="preserve"> 06.09.1978</w:t>
      </w:r>
      <w:r>
        <w:t>.</w:t>
      </w:r>
    </w:p>
  </w:footnote>
  <w:footnote w:id="29">
    <w:p w14:paraId="7F59F27A" w14:textId="43D408E6" w:rsidR="00F03602" w:rsidRDefault="00F03602">
      <w:pPr>
        <w:pStyle w:val="a6"/>
      </w:pPr>
      <w:r>
        <w:rPr>
          <w:rStyle w:val="a7"/>
        </w:rPr>
        <w:footnoteRef/>
      </w:r>
      <w:r>
        <w:t xml:space="preserve"> </w:t>
      </w:r>
      <w:r w:rsidRPr="00145B60">
        <w:t xml:space="preserve">ΕΔΔΑ </w:t>
      </w:r>
      <w:r w:rsidRPr="00145B60">
        <w:rPr>
          <w:i/>
          <w:iCs/>
          <w:lang w:val="en-US"/>
        </w:rPr>
        <w:t>M</w:t>
      </w:r>
      <w:r w:rsidRPr="00145B60">
        <w:rPr>
          <w:i/>
          <w:iCs/>
        </w:rPr>
        <w:t>.</w:t>
      </w:r>
      <w:r w:rsidRPr="00145B60">
        <w:rPr>
          <w:i/>
          <w:iCs/>
          <w:lang w:val="en-US"/>
        </w:rPr>
        <w:t>S</w:t>
      </w:r>
      <w:r w:rsidRPr="00145B60">
        <w:rPr>
          <w:i/>
          <w:iCs/>
        </w:rPr>
        <w:t>.</w:t>
      </w:r>
      <w:r w:rsidRPr="00145B60">
        <w:rPr>
          <w:i/>
          <w:iCs/>
          <w:lang w:val="en-US"/>
        </w:rPr>
        <w:t>S</w:t>
      </w:r>
      <w:r w:rsidRPr="00145B60">
        <w:rPr>
          <w:i/>
          <w:iCs/>
        </w:rPr>
        <w:t>. κατά Βελγίου και Ελλάδας</w:t>
      </w:r>
      <w:r w:rsidRPr="00145B60">
        <w:t>, 21.01.2010, παρ. 2</w:t>
      </w:r>
      <w:r>
        <w:t>89.</w:t>
      </w:r>
    </w:p>
  </w:footnote>
  <w:footnote w:id="30">
    <w:p w14:paraId="0F108DCA" w14:textId="70B1EF56" w:rsidR="00F03602" w:rsidRPr="00030506" w:rsidRDefault="00F03602">
      <w:pPr>
        <w:pStyle w:val="a6"/>
      </w:pPr>
      <w:r>
        <w:rPr>
          <w:rStyle w:val="a7"/>
        </w:rPr>
        <w:footnoteRef/>
      </w:r>
      <w:r>
        <w:t xml:space="preserve"> ΕΔΔΑ </w:t>
      </w:r>
      <w:r w:rsidRPr="00145B60">
        <w:rPr>
          <w:i/>
          <w:iCs/>
          <w:lang w:val="en-US"/>
        </w:rPr>
        <w:t>Boyle</w:t>
      </w:r>
      <w:r w:rsidRPr="00145B60">
        <w:rPr>
          <w:i/>
          <w:iCs/>
        </w:rPr>
        <w:t xml:space="preserve"> </w:t>
      </w:r>
      <w:r w:rsidRPr="00145B60">
        <w:rPr>
          <w:i/>
          <w:iCs/>
          <w:lang w:val="en-US"/>
        </w:rPr>
        <w:t>and</w:t>
      </w:r>
      <w:r w:rsidRPr="00145B60">
        <w:rPr>
          <w:i/>
          <w:iCs/>
        </w:rPr>
        <w:t xml:space="preserve"> </w:t>
      </w:r>
      <w:r w:rsidRPr="00145B60">
        <w:rPr>
          <w:i/>
          <w:iCs/>
          <w:lang w:val="en-US"/>
        </w:rPr>
        <w:t>Rice</w:t>
      </w:r>
      <w:r w:rsidRPr="00145B60">
        <w:rPr>
          <w:i/>
          <w:iCs/>
        </w:rPr>
        <w:t xml:space="preserve"> κατά Ηνωμένου Βασιλείου</w:t>
      </w:r>
      <w:r w:rsidRPr="00145B60">
        <w:t>, 27.04.1988</w:t>
      </w:r>
      <w:r w:rsidRPr="00030506">
        <w:t xml:space="preserve">, </w:t>
      </w:r>
      <w:r>
        <w:t>παρ. 78.</w:t>
      </w:r>
    </w:p>
  </w:footnote>
  <w:footnote w:id="31">
    <w:p w14:paraId="485BF938" w14:textId="6C80EBB5" w:rsidR="00F03602" w:rsidRPr="00030506" w:rsidRDefault="00F03602" w:rsidP="008E5AC2">
      <w:pPr>
        <w:pStyle w:val="a6"/>
      </w:pPr>
      <w:r>
        <w:rPr>
          <w:rStyle w:val="a7"/>
        </w:rPr>
        <w:footnoteRef/>
      </w:r>
      <w:r>
        <w:t xml:space="preserve"> ΕΔΔΑ </w:t>
      </w:r>
      <w:r w:rsidRPr="00145B60">
        <w:rPr>
          <w:i/>
          <w:iCs/>
          <w:lang w:val="en-US"/>
        </w:rPr>
        <w:t>Klass</w:t>
      </w:r>
      <w:r w:rsidRPr="00145B60">
        <w:rPr>
          <w:i/>
          <w:iCs/>
        </w:rPr>
        <w:t xml:space="preserve"> και άλλοι κατά Γερμανίας, </w:t>
      </w:r>
      <w:r w:rsidRPr="00145B60">
        <w:t>06.09.1978</w:t>
      </w:r>
      <w:r>
        <w:t>, παρ. 67.</w:t>
      </w:r>
    </w:p>
  </w:footnote>
  <w:footnote w:id="32">
    <w:p w14:paraId="434C2AD5" w14:textId="4DA1E333" w:rsidR="00F03602" w:rsidRPr="00E75DAF" w:rsidRDefault="00F03602">
      <w:pPr>
        <w:pStyle w:val="a6"/>
      </w:pPr>
      <w:r>
        <w:rPr>
          <w:rStyle w:val="a7"/>
        </w:rPr>
        <w:footnoteRef/>
      </w:r>
      <w:r>
        <w:t xml:space="preserve"> Αρμόδιος να ελέγχει τη νομιμότητα των κυβερνητικών πράξεων.</w:t>
      </w:r>
    </w:p>
  </w:footnote>
  <w:footnote w:id="33">
    <w:p w14:paraId="77222946" w14:textId="78024312" w:rsidR="00F03602" w:rsidRPr="00E75DAF" w:rsidRDefault="00F03602">
      <w:pPr>
        <w:pStyle w:val="a6"/>
      </w:pPr>
      <w:r>
        <w:rPr>
          <w:rStyle w:val="a7"/>
        </w:rPr>
        <w:footnoteRef/>
      </w:r>
      <w:r>
        <w:t xml:space="preserve"> Ανεξάρτητη αρχή αρμόδια να ερευνά περιστατικά άδικης μεταχείρισης σε βάρος πολιτών από δημόσιες αρχές.</w:t>
      </w:r>
    </w:p>
  </w:footnote>
  <w:footnote w:id="34">
    <w:p w14:paraId="44AF7777" w14:textId="1B057BC1" w:rsidR="00F03602" w:rsidRPr="005D2538" w:rsidRDefault="00F03602">
      <w:pPr>
        <w:pStyle w:val="a6"/>
      </w:pPr>
      <w:r>
        <w:rPr>
          <w:rStyle w:val="a7"/>
        </w:rPr>
        <w:footnoteRef/>
      </w:r>
      <w:r>
        <w:t xml:space="preserve"> ΕΔΔΑ </w:t>
      </w:r>
      <w:r w:rsidRPr="005D2538">
        <w:rPr>
          <w:i/>
          <w:iCs/>
          <w:lang w:val="en-US"/>
        </w:rPr>
        <w:t>Leander</w:t>
      </w:r>
      <w:r w:rsidRPr="005D2538">
        <w:rPr>
          <w:i/>
          <w:iCs/>
        </w:rPr>
        <w:t xml:space="preserve"> κατά Σουηδίας</w:t>
      </w:r>
      <w:r>
        <w:rPr>
          <w:i/>
          <w:iCs/>
        </w:rPr>
        <w:t>,</w:t>
      </w:r>
      <w:r>
        <w:t xml:space="preserve"> 26.03.1987, παρ. 81.</w:t>
      </w:r>
    </w:p>
  </w:footnote>
  <w:footnote w:id="35">
    <w:p w14:paraId="6E738C27" w14:textId="77777777" w:rsidR="00F03602" w:rsidRPr="00AF11BE" w:rsidRDefault="00F03602" w:rsidP="00F634B5">
      <w:pPr>
        <w:pStyle w:val="a6"/>
      </w:pPr>
      <w:r>
        <w:rPr>
          <w:rStyle w:val="a7"/>
        </w:rPr>
        <w:footnoteRef/>
      </w:r>
      <w:r>
        <w:t xml:space="preserve"> ΕΔΔΑ </w:t>
      </w:r>
      <w:r w:rsidRPr="00145B60">
        <w:rPr>
          <w:i/>
          <w:iCs/>
          <w:lang w:val="en-US"/>
        </w:rPr>
        <w:t>Klass</w:t>
      </w:r>
      <w:r w:rsidRPr="00145B60">
        <w:rPr>
          <w:i/>
          <w:iCs/>
        </w:rPr>
        <w:t xml:space="preserve"> και άλλοι κατά Γερμανίας, </w:t>
      </w:r>
      <w:r w:rsidRPr="00145B60">
        <w:t>06.09.1978</w:t>
      </w:r>
      <w:r>
        <w:t>, παρ.</w:t>
      </w:r>
      <w:r w:rsidRPr="00FC2A58">
        <w:t xml:space="preserve"> 67, </w:t>
      </w:r>
      <w:r w:rsidRPr="00FC2A58">
        <w:rPr>
          <w:i/>
          <w:iCs/>
          <w:lang w:val="en-US"/>
        </w:rPr>
        <w:t>Silver</w:t>
      </w:r>
      <w:r w:rsidRPr="00FC2A58">
        <w:rPr>
          <w:i/>
          <w:iCs/>
        </w:rPr>
        <w:t xml:space="preserve"> και άλλοι κατά Ηνωμένου Βασιλείου</w:t>
      </w:r>
      <w:r>
        <w:t xml:space="preserve">, 25.03.1983, παρ. 113, </w:t>
      </w:r>
      <w:r w:rsidRPr="00145B60">
        <w:rPr>
          <w:i/>
          <w:iCs/>
          <w:lang w:val="en-US"/>
        </w:rPr>
        <w:t>M</w:t>
      </w:r>
      <w:r w:rsidRPr="00145B60">
        <w:rPr>
          <w:i/>
          <w:iCs/>
        </w:rPr>
        <w:t>.</w:t>
      </w:r>
      <w:r w:rsidRPr="00145B60">
        <w:rPr>
          <w:i/>
          <w:iCs/>
          <w:lang w:val="en-US"/>
        </w:rPr>
        <w:t>S</w:t>
      </w:r>
      <w:r w:rsidRPr="00145B60">
        <w:rPr>
          <w:i/>
          <w:iCs/>
        </w:rPr>
        <w:t>.</w:t>
      </w:r>
      <w:r w:rsidRPr="00145B60">
        <w:rPr>
          <w:i/>
          <w:iCs/>
          <w:lang w:val="en-US"/>
        </w:rPr>
        <w:t>S</w:t>
      </w:r>
      <w:r w:rsidRPr="00145B60">
        <w:rPr>
          <w:i/>
          <w:iCs/>
        </w:rPr>
        <w:t>. κατά Βελγίου και Ελλάδας</w:t>
      </w:r>
      <w:r w:rsidRPr="00145B60">
        <w:t>, 21.01.2010, παρ. 2</w:t>
      </w:r>
      <w:r>
        <w:t>89.</w:t>
      </w:r>
    </w:p>
  </w:footnote>
  <w:footnote w:id="36">
    <w:p w14:paraId="7AB3E5AC" w14:textId="08857F42" w:rsidR="00F03602" w:rsidRDefault="00F03602">
      <w:pPr>
        <w:pStyle w:val="a6"/>
      </w:pPr>
      <w:r>
        <w:rPr>
          <w:rStyle w:val="a7"/>
        </w:rPr>
        <w:footnoteRef/>
      </w:r>
      <w:r>
        <w:t xml:space="preserve"> ΕΔΔΑ </w:t>
      </w:r>
      <w:r w:rsidRPr="00FC2A58">
        <w:rPr>
          <w:i/>
          <w:iCs/>
          <w:lang w:val="en-US"/>
        </w:rPr>
        <w:t>Silver</w:t>
      </w:r>
      <w:r w:rsidRPr="00FC2A58">
        <w:rPr>
          <w:i/>
          <w:iCs/>
        </w:rPr>
        <w:t xml:space="preserve"> και άλλοι κατά Ηνωμένου Βασιλείου</w:t>
      </w:r>
      <w:r>
        <w:t>, 25.03.1983, παρ. 116.</w:t>
      </w:r>
    </w:p>
  </w:footnote>
  <w:footnote w:id="37">
    <w:p w14:paraId="6E84372C" w14:textId="2217D81A" w:rsidR="00F03602" w:rsidRPr="00823202" w:rsidRDefault="00F03602">
      <w:pPr>
        <w:pStyle w:val="a6"/>
      </w:pPr>
      <w:r>
        <w:rPr>
          <w:rStyle w:val="a7"/>
        </w:rPr>
        <w:footnoteRef/>
      </w:r>
      <w:r>
        <w:t xml:space="preserve"> ΕΔΔΑ </w:t>
      </w:r>
      <w:r w:rsidRPr="00823202">
        <w:rPr>
          <w:i/>
          <w:iCs/>
          <w:lang w:val="en-US"/>
        </w:rPr>
        <w:t>Ramirez</w:t>
      </w:r>
      <w:r w:rsidRPr="00823202">
        <w:rPr>
          <w:i/>
          <w:iCs/>
        </w:rPr>
        <w:t xml:space="preserve"> </w:t>
      </w:r>
      <w:r w:rsidRPr="00823202">
        <w:rPr>
          <w:i/>
          <w:iCs/>
          <w:lang w:val="en-US"/>
        </w:rPr>
        <w:t>Sanchez</w:t>
      </w:r>
      <w:r w:rsidRPr="00823202">
        <w:rPr>
          <w:i/>
          <w:iCs/>
        </w:rPr>
        <w:t xml:space="preserve"> κατά Γαλλίας</w:t>
      </w:r>
      <w:r>
        <w:rPr>
          <w:i/>
          <w:iCs/>
        </w:rPr>
        <w:t xml:space="preserve">, </w:t>
      </w:r>
      <w:r>
        <w:t>04.07.2006, παρ. 165.</w:t>
      </w:r>
    </w:p>
  </w:footnote>
  <w:footnote w:id="38">
    <w:p w14:paraId="155D7B05" w14:textId="1631EF26" w:rsidR="00F03602" w:rsidRPr="0041640D" w:rsidRDefault="00F03602">
      <w:pPr>
        <w:pStyle w:val="a6"/>
      </w:pPr>
      <w:r w:rsidRPr="00823202">
        <w:rPr>
          <w:rStyle w:val="a7"/>
        </w:rPr>
        <w:footnoteRef/>
      </w:r>
      <w:r w:rsidRPr="00823202">
        <w:t xml:space="preserve"> ΕΔΔΑ </w:t>
      </w:r>
      <w:r>
        <w:rPr>
          <w:i/>
          <w:iCs/>
        </w:rPr>
        <w:t>Ζαζ</w:t>
      </w:r>
      <w:r w:rsidRPr="00823202">
        <w:rPr>
          <w:i/>
          <w:iCs/>
        </w:rPr>
        <w:t xml:space="preserve">άνης κατά Ελλάδος, </w:t>
      </w:r>
      <w:r w:rsidRPr="00823202">
        <w:t>18.11.2004</w:t>
      </w:r>
      <w:r>
        <w:t>, παρ. 47.</w:t>
      </w:r>
    </w:p>
  </w:footnote>
  <w:footnote w:id="39">
    <w:p w14:paraId="7BB22F47" w14:textId="06262081" w:rsidR="00F03602" w:rsidRDefault="00F03602">
      <w:pPr>
        <w:pStyle w:val="a6"/>
      </w:pPr>
      <w:r>
        <w:rPr>
          <w:rStyle w:val="a7"/>
        </w:rPr>
        <w:footnoteRef/>
      </w:r>
      <w:r>
        <w:t xml:space="preserve"> </w:t>
      </w:r>
      <w:r w:rsidRPr="003A0ADA">
        <w:rPr>
          <w:b/>
          <w:bCs/>
        </w:rPr>
        <w:t>Μ. Μαργαρίτης</w:t>
      </w:r>
      <w:r>
        <w:t xml:space="preserve">, </w:t>
      </w:r>
      <w:r w:rsidRPr="00DD370F">
        <w:rPr>
          <w:i/>
          <w:iCs/>
        </w:rPr>
        <w:t>ό.π.</w:t>
      </w:r>
      <w:r w:rsidRPr="00DD370F">
        <w:t>, σελ. 401.</w:t>
      </w:r>
    </w:p>
  </w:footnote>
  <w:footnote w:id="40">
    <w:p w14:paraId="61A17592" w14:textId="21856D68" w:rsidR="00F03602" w:rsidRDefault="00F03602">
      <w:pPr>
        <w:pStyle w:val="a6"/>
      </w:pPr>
      <w:r>
        <w:rPr>
          <w:rStyle w:val="a7"/>
        </w:rPr>
        <w:footnoteRef/>
      </w:r>
      <w:r>
        <w:t xml:space="preserve"> </w:t>
      </w:r>
      <w:r w:rsidRPr="00F91410">
        <w:rPr>
          <w:b/>
          <w:bCs/>
        </w:rPr>
        <w:t>Ε. Μίχα</w:t>
      </w:r>
      <w:r w:rsidRPr="00445918">
        <w:t xml:space="preserve"> σε </w:t>
      </w:r>
      <w:r w:rsidRPr="00445918">
        <w:rPr>
          <w:b/>
          <w:bCs/>
        </w:rPr>
        <w:t>Λ. Σισιλιάνου</w:t>
      </w:r>
      <w:r w:rsidRPr="00445918">
        <w:t xml:space="preserve">, </w:t>
      </w:r>
      <w:r>
        <w:rPr>
          <w:i/>
          <w:iCs/>
        </w:rPr>
        <w:t>ό.π.</w:t>
      </w:r>
      <w:r w:rsidRPr="00445918">
        <w:t xml:space="preserve">, σελ. </w:t>
      </w:r>
      <w:r>
        <w:t>574</w:t>
      </w:r>
      <w:r w:rsidRPr="00445918">
        <w:t>.</w:t>
      </w:r>
    </w:p>
  </w:footnote>
  <w:footnote w:id="41">
    <w:p w14:paraId="367C16D5" w14:textId="4C3B6F20" w:rsidR="00F03602" w:rsidRPr="006B659A" w:rsidRDefault="00F03602">
      <w:pPr>
        <w:pStyle w:val="a6"/>
      </w:pPr>
      <w:r>
        <w:rPr>
          <w:rStyle w:val="a7"/>
        </w:rPr>
        <w:footnoteRef/>
      </w:r>
      <w:r w:rsidRPr="006B659A">
        <w:t xml:space="preserve"> </w:t>
      </w:r>
      <w:r w:rsidRPr="006B659A">
        <w:rPr>
          <w:b/>
          <w:bCs/>
        </w:rPr>
        <w:t>Β</w:t>
      </w:r>
      <w:r w:rsidRPr="00B76DB9">
        <w:rPr>
          <w:b/>
          <w:bCs/>
        </w:rPr>
        <w:t>. Καψάλη</w:t>
      </w:r>
      <w:r>
        <w:t xml:space="preserve"> σε </w:t>
      </w:r>
      <w:r w:rsidRPr="005E758E">
        <w:rPr>
          <w:b/>
          <w:bCs/>
        </w:rPr>
        <w:t>Ι. Σαρμά</w:t>
      </w:r>
      <w:r>
        <w:t xml:space="preserve">, </w:t>
      </w:r>
      <w:r w:rsidRPr="005E758E">
        <w:rPr>
          <w:b/>
          <w:bCs/>
        </w:rPr>
        <w:t>Ξ. Κοντιάδη</w:t>
      </w:r>
      <w:r>
        <w:t xml:space="preserve">, </w:t>
      </w:r>
      <w:r w:rsidRPr="005E758E">
        <w:rPr>
          <w:b/>
          <w:bCs/>
        </w:rPr>
        <w:t>Χ. Ανθόπουλου</w:t>
      </w:r>
      <w:r>
        <w:t xml:space="preserve">, </w:t>
      </w:r>
      <w:r>
        <w:rPr>
          <w:i/>
          <w:iCs/>
        </w:rPr>
        <w:t>ό.π.</w:t>
      </w:r>
      <w:r w:rsidRPr="00DE2E26">
        <w:t xml:space="preserve">, </w:t>
      </w:r>
      <w:r>
        <w:t>σελ. 702.</w:t>
      </w:r>
    </w:p>
  </w:footnote>
  <w:footnote w:id="42">
    <w:p w14:paraId="502C01E0" w14:textId="548D475E" w:rsidR="00F03602" w:rsidRPr="00B74AF5" w:rsidRDefault="00F03602">
      <w:pPr>
        <w:pStyle w:val="a6"/>
        <w:rPr>
          <w:lang w:val="en-US"/>
        </w:rPr>
      </w:pPr>
      <w:r>
        <w:rPr>
          <w:rStyle w:val="a7"/>
        </w:rPr>
        <w:footnoteRef/>
      </w:r>
      <w:r w:rsidRPr="00433AE1">
        <w:rPr>
          <w:lang w:val="en-US"/>
        </w:rPr>
        <w:t xml:space="preserve"> </w:t>
      </w:r>
      <w:r w:rsidRPr="00FF455C">
        <w:rPr>
          <w:i/>
          <w:iCs/>
          <w:lang w:val="en-US"/>
        </w:rPr>
        <w:t>Guide on Article 13 of the European Convention of Human Rights, Right to an effective remedy</w:t>
      </w:r>
      <w:r>
        <w:rPr>
          <w:lang w:val="en-US"/>
        </w:rPr>
        <w:t>, European Court of Human Rights, 2022</w:t>
      </w:r>
      <w:r w:rsidRPr="00433AE1">
        <w:rPr>
          <w:lang w:val="en-US"/>
        </w:rPr>
        <w:t xml:space="preserve">, </w:t>
      </w:r>
      <w:r>
        <w:t>παρ</w:t>
      </w:r>
      <w:r w:rsidRPr="00433AE1">
        <w:rPr>
          <w:lang w:val="en-US"/>
        </w:rPr>
        <w:t>. 34</w:t>
      </w:r>
      <w:r w:rsidRPr="00B74AF5">
        <w:rPr>
          <w:lang w:val="en-US"/>
        </w:rPr>
        <w:t>.</w:t>
      </w:r>
    </w:p>
  </w:footnote>
  <w:footnote w:id="43">
    <w:p w14:paraId="53739E96" w14:textId="43BF0314" w:rsidR="00F03602" w:rsidRDefault="00F03602">
      <w:pPr>
        <w:pStyle w:val="a6"/>
      </w:pPr>
      <w:r>
        <w:rPr>
          <w:rStyle w:val="a7"/>
        </w:rPr>
        <w:footnoteRef/>
      </w:r>
      <w:r>
        <w:t xml:space="preserve"> </w:t>
      </w:r>
      <w:r w:rsidRPr="00B74AF5">
        <w:rPr>
          <w:b/>
          <w:bCs/>
        </w:rPr>
        <w:t>Β.</w:t>
      </w:r>
      <w:r w:rsidRPr="00B76DB9">
        <w:rPr>
          <w:b/>
          <w:bCs/>
        </w:rPr>
        <w:t xml:space="preserve"> Καψάλη</w:t>
      </w:r>
      <w:r>
        <w:t xml:space="preserve"> σε </w:t>
      </w:r>
      <w:r w:rsidRPr="005E758E">
        <w:rPr>
          <w:b/>
          <w:bCs/>
        </w:rPr>
        <w:t>Ι. Σαρμά</w:t>
      </w:r>
      <w:r>
        <w:t xml:space="preserve">, </w:t>
      </w:r>
      <w:r w:rsidRPr="005E758E">
        <w:rPr>
          <w:b/>
          <w:bCs/>
        </w:rPr>
        <w:t>Ξ. Κοντιάδη</w:t>
      </w:r>
      <w:r>
        <w:t xml:space="preserve">, </w:t>
      </w:r>
      <w:r w:rsidRPr="005E758E">
        <w:rPr>
          <w:b/>
          <w:bCs/>
        </w:rPr>
        <w:t>Χ. Ανθόπουλου</w:t>
      </w:r>
      <w:r>
        <w:t xml:space="preserve">, </w:t>
      </w:r>
      <w:r>
        <w:rPr>
          <w:i/>
          <w:iCs/>
        </w:rPr>
        <w:t>ό.π.</w:t>
      </w:r>
      <w:r w:rsidRPr="00DE2E26">
        <w:t xml:space="preserve">, </w:t>
      </w:r>
      <w:r>
        <w:t>σελ. 702.</w:t>
      </w:r>
    </w:p>
  </w:footnote>
  <w:footnote w:id="44">
    <w:p w14:paraId="72DBD71C" w14:textId="37F2F289" w:rsidR="00F03602" w:rsidRDefault="00F03602">
      <w:pPr>
        <w:pStyle w:val="a6"/>
      </w:pPr>
      <w:r>
        <w:rPr>
          <w:rStyle w:val="a7"/>
        </w:rPr>
        <w:footnoteRef/>
      </w:r>
      <w:r>
        <w:t xml:space="preserve"> </w:t>
      </w:r>
      <w:r w:rsidRPr="006B659A">
        <w:rPr>
          <w:b/>
          <w:bCs/>
        </w:rPr>
        <w:t>Β</w:t>
      </w:r>
      <w:r w:rsidRPr="00B76DB9">
        <w:rPr>
          <w:b/>
          <w:bCs/>
        </w:rPr>
        <w:t>. Καψάλη</w:t>
      </w:r>
      <w:r>
        <w:t xml:space="preserve"> σε </w:t>
      </w:r>
      <w:r w:rsidRPr="005E758E">
        <w:rPr>
          <w:b/>
          <w:bCs/>
        </w:rPr>
        <w:t>Ι. Σαρμά</w:t>
      </w:r>
      <w:r>
        <w:t xml:space="preserve">, </w:t>
      </w:r>
      <w:r w:rsidRPr="005E758E">
        <w:rPr>
          <w:b/>
          <w:bCs/>
        </w:rPr>
        <w:t>Ξ. Κοντιάδη</w:t>
      </w:r>
      <w:r>
        <w:t xml:space="preserve">, </w:t>
      </w:r>
      <w:r w:rsidRPr="005E758E">
        <w:rPr>
          <w:b/>
          <w:bCs/>
        </w:rPr>
        <w:t>Χ. Ανθόπουλου</w:t>
      </w:r>
      <w:r>
        <w:t xml:space="preserve">, </w:t>
      </w:r>
      <w:r>
        <w:rPr>
          <w:i/>
          <w:iCs/>
        </w:rPr>
        <w:t>ό.π.</w:t>
      </w:r>
      <w:r w:rsidRPr="00DE2E26">
        <w:t xml:space="preserve">, </w:t>
      </w:r>
      <w:r>
        <w:t>σελ. 702.</w:t>
      </w:r>
    </w:p>
  </w:footnote>
  <w:footnote w:id="45">
    <w:p w14:paraId="3165E94E" w14:textId="433A96D2" w:rsidR="00F03602" w:rsidRDefault="00F03602">
      <w:pPr>
        <w:pStyle w:val="a6"/>
      </w:pPr>
      <w:r>
        <w:rPr>
          <w:rStyle w:val="a7"/>
        </w:rPr>
        <w:footnoteRef/>
      </w:r>
      <w:r>
        <w:t xml:space="preserve"> </w:t>
      </w:r>
      <w:bookmarkStart w:id="11" w:name="_Hlk165192651"/>
      <w:r w:rsidRPr="005D24A7">
        <w:rPr>
          <w:b/>
          <w:bCs/>
        </w:rPr>
        <w:t>Β. Καψάλη</w:t>
      </w:r>
      <w:r w:rsidRPr="005D24A7">
        <w:t xml:space="preserve"> σε </w:t>
      </w:r>
      <w:r w:rsidRPr="005D24A7">
        <w:rPr>
          <w:b/>
          <w:bCs/>
        </w:rPr>
        <w:t>Ι. Σαρμά</w:t>
      </w:r>
      <w:r w:rsidRPr="005D24A7">
        <w:t xml:space="preserve">, </w:t>
      </w:r>
      <w:r w:rsidRPr="005D24A7">
        <w:rPr>
          <w:b/>
          <w:bCs/>
        </w:rPr>
        <w:t>Ξ. Κοντιάδη</w:t>
      </w:r>
      <w:r w:rsidRPr="005D24A7">
        <w:t xml:space="preserve">, </w:t>
      </w:r>
      <w:r w:rsidRPr="005D24A7">
        <w:rPr>
          <w:b/>
          <w:bCs/>
        </w:rPr>
        <w:t>Χ. Ανθόπουλου</w:t>
      </w:r>
      <w:r w:rsidRPr="005D24A7">
        <w:t xml:space="preserve">, </w:t>
      </w:r>
      <w:r w:rsidRPr="005D24A7">
        <w:rPr>
          <w:i/>
          <w:iCs/>
        </w:rPr>
        <w:t>ό.π.</w:t>
      </w:r>
      <w:r w:rsidRPr="005D24A7">
        <w:t>, σελ. 702.</w:t>
      </w:r>
    </w:p>
    <w:bookmarkEnd w:id="11"/>
  </w:footnote>
  <w:footnote w:id="46">
    <w:p w14:paraId="00ED3922" w14:textId="219A8845" w:rsidR="00F03602" w:rsidRPr="005728CB" w:rsidRDefault="00F03602">
      <w:pPr>
        <w:pStyle w:val="a6"/>
        <w:rPr>
          <w:lang w:val="en-US"/>
        </w:rPr>
      </w:pPr>
      <w:r>
        <w:rPr>
          <w:rStyle w:val="a7"/>
        </w:rPr>
        <w:footnoteRef/>
      </w:r>
      <w:r w:rsidRPr="00BD0DFE">
        <w:rPr>
          <w:lang w:val="en-US"/>
        </w:rPr>
        <w:t xml:space="preserve"> </w:t>
      </w:r>
      <w:r w:rsidRPr="00BD0DFE">
        <w:rPr>
          <w:i/>
          <w:iCs/>
          <w:lang w:val="en-US"/>
        </w:rPr>
        <w:t>Guide on Article 13 of the European Convention of Human Rights, Right to an effective remedy</w:t>
      </w:r>
      <w:r w:rsidRPr="00BD0DFE">
        <w:rPr>
          <w:lang w:val="en-US"/>
        </w:rPr>
        <w:t xml:space="preserve">, European Court of Human Rights, 2022, </w:t>
      </w:r>
      <w:r w:rsidRPr="00BD0DFE">
        <w:t>παρ</w:t>
      </w:r>
      <w:r w:rsidRPr="00BD0DFE">
        <w:rPr>
          <w:lang w:val="en-US"/>
        </w:rPr>
        <w:t xml:space="preserve">. </w:t>
      </w:r>
      <w:r w:rsidRPr="005728CB">
        <w:rPr>
          <w:lang w:val="en-US"/>
        </w:rPr>
        <w:t>57.</w:t>
      </w:r>
    </w:p>
  </w:footnote>
  <w:footnote w:id="47">
    <w:p w14:paraId="6329396E" w14:textId="25C0F75D" w:rsidR="00F03602" w:rsidRPr="00172083" w:rsidRDefault="00F03602">
      <w:pPr>
        <w:pStyle w:val="a6"/>
      </w:pPr>
      <w:r>
        <w:rPr>
          <w:rStyle w:val="a7"/>
        </w:rPr>
        <w:footnoteRef/>
      </w:r>
      <w:r w:rsidRPr="00172083">
        <w:t xml:space="preserve"> ΕΔΔΑ </w:t>
      </w:r>
      <w:r w:rsidRPr="00172083">
        <w:rPr>
          <w:i/>
          <w:iCs/>
          <w:lang w:val="en-US"/>
        </w:rPr>
        <w:t>Kudla</w:t>
      </w:r>
      <w:r w:rsidRPr="00172083">
        <w:rPr>
          <w:i/>
          <w:iCs/>
        </w:rPr>
        <w:t xml:space="preserve"> κατά Πολωνίας</w:t>
      </w:r>
      <w:r w:rsidRPr="00172083">
        <w:t>, 26.10.2000</w:t>
      </w:r>
      <w:r>
        <w:t>, παρ. 158.</w:t>
      </w:r>
    </w:p>
  </w:footnote>
  <w:footnote w:id="48">
    <w:p w14:paraId="5EA6636C" w14:textId="07FB5730" w:rsidR="00F03602" w:rsidRPr="00C15B4B" w:rsidRDefault="00F03602">
      <w:pPr>
        <w:pStyle w:val="a6"/>
        <w:rPr>
          <w:lang w:val="en-US"/>
        </w:rPr>
      </w:pPr>
      <w:r>
        <w:rPr>
          <w:rStyle w:val="a7"/>
        </w:rPr>
        <w:footnoteRef/>
      </w:r>
      <w:r w:rsidRPr="00BA593F">
        <w:rPr>
          <w:lang w:val="en-US"/>
        </w:rPr>
        <w:t xml:space="preserve"> </w:t>
      </w:r>
      <w:r w:rsidRPr="0090642D">
        <w:t>ΕΔΔΑ</w:t>
      </w:r>
      <w:r w:rsidRPr="00BA593F">
        <w:rPr>
          <w:lang w:val="en-US"/>
        </w:rPr>
        <w:t xml:space="preserve"> </w:t>
      </w:r>
      <w:r w:rsidRPr="0090642D">
        <w:rPr>
          <w:i/>
          <w:iCs/>
          <w:lang w:val="en-US"/>
        </w:rPr>
        <w:t>Kudla</w:t>
      </w:r>
      <w:r w:rsidRPr="00BA593F">
        <w:rPr>
          <w:i/>
          <w:iCs/>
          <w:lang w:val="en-US"/>
        </w:rPr>
        <w:t xml:space="preserve"> </w:t>
      </w:r>
      <w:r w:rsidRPr="0090642D">
        <w:rPr>
          <w:i/>
          <w:iCs/>
        </w:rPr>
        <w:t>κατά</w:t>
      </w:r>
      <w:r w:rsidRPr="00BA593F">
        <w:rPr>
          <w:i/>
          <w:iCs/>
          <w:lang w:val="en-US"/>
        </w:rPr>
        <w:t xml:space="preserve"> </w:t>
      </w:r>
      <w:r w:rsidRPr="0090642D">
        <w:rPr>
          <w:i/>
          <w:iCs/>
        </w:rPr>
        <w:t>Πολωνίας</w:t>
      </w:r>
      <w:r w:rsidRPr="00BA593F">
        <w:rPr>
          <w:lang w:val="en-US"/>
        </w:rPr>
        <w:t xml:space="preserve">, 26.10.2000, </w:t>
      </w:r>
      <w:r w:rsidRPr="0090642D">
        <w:t>παρ</w:t>
      </w:r>
      <w:r w:rsidRPr="00BA593F">
        <w:rPr>
          <w:lang w:val="en-US"/>
        </w:rPr>
        <w:t>. 159,</w:t>
      </w:r>
      <w:r w:rsidRPr="00BA593F">
        <w:rPr>
          <w:i/>
          <w:iCs/>
          <w:sz w:val="24"/>
          <w:szCs w:val="24"/>
          <w:lang w:val="en-US"/>
        </w:rPr>
        <w:t xml:space="preserve"> </w:t>
      </w:r>
      <w:r w:rsidRPr="00BA593F">
        <w:rPr>
          <w:i/>
          <w:iCs/>
        </w:rPr>
        <w:t>Τ</w:t>
      </w:r>
      <w:r w:rsidRPr="00BA593F">
        <w:rPr>
          <w:i/>
          <w:iCs/>
          <w:lang w:val="en-US"/>
        </w:rPr>
        <w:t>.</w:t>
      </w:r>
      <w:r w:rsidRPr="00BA593F">
        <w:rPr>
          <w:i/>
          <w:iCs/>
        </w:rPr>
        <w:t>Ο</w:t>
      </w:r>
      <w:r w:rsidRPr="00BA593F">
        <w:rPr>
          <w:i/>
          <w:iCs/>
          <w:lang w:val="en-US"/>
        </w:rPr>
        <w:t>.</w:t>
      </w:r>
      <w:r w:rsidRPr="00BA593F">
        <w:rPr>
          <w:i/>
          <w:iCs/>
        </w:rPr>
        <w:t>Α</w:t>
      </w:r>
      <w:r w:rsidRPr="00BA593F">
        <w:rPr>
          <w:i/>
          <w:iCs/>
          <w:lang w:val="en-US"/>
        </w:rPr>
        <w:t>.</w:t>
      </w:r>
      <w:r w:rsidRPr="00BA593F">
        <w:rPr>
          <w:i/>
          <w:iCs/>
        </w:rPr>
        <w:t>Ε</w:t>
      </w:r>
      <w:r w:rsidRPr="00BA593F">
        <w:rPr>
          <w:i/>
          <w:iCs/>
          <w:lang w:val="en-US"/>
        </w:rPr>
        <w:t xml:space="preserve">. </w:t>
      </w:r>
      <w:r w:rsidRPr="00BA593F">
        <w:rPr>
          <w:i/>
          <w:iCs/>
        </w:rPr>
        <w:t>κατά</w:t>
      </w:r>
      <w:r w:rsidRPr="00BA593F">
        <w:rPr>
          <w:i/>
          <w:iCs/>
          <w:lang w:val="en-US"/>
        </w:rPr>
        <w:t xml:space="preserve"> </w:t>
      </w:r>
      <w:r w:rsidRPr="00BA593F">
        <w:rPr>
          <w:i/>
          <w:iCs/>
        </w:rPr>
        <w:t>Ελλάδας</w:t>
      </w:r>
      <w:r w:rsidRPr="00BA593F">
        <w:rPr>
          <w:i/>
          <w:iCs/>
          <w:lang w:val="en-US"/>
        </w:rPr>
        <w:t xml:space="preserve">, </w:t>
      </w:r>
      <w:r w:rsidRPr="00BA593F">
        <w:rPr>
          <w:lang w:val="en-US"/>
        </w:rPr>
        <w:t xml:space="preserve">01.10.2023, </w:t>
      </w:r>
      <w:r>
        <w:t>παρ</w:t>
      </w:r>
      <w:r w:rsidRPr="00BA593F">
        <w:rPr>
          <w:lang w:val="en-US"/>
        </w:rPr>
        <w:t xml:space="preserve">. 29, </w:t>
      </w:r>
      <w:r w:rsidRPr="00BA593F">
        <w:rPr>
          <w:i/>
          <w:iCs/>
          <w:lang w:val="en-US"/>
        </w:rPr>
        <w:t>Guide on Article</w:t>
      </w:r>
      <w:r w:rsidRPr="009B173E">
        <w:rPr>
          <w:i/>
          <w:iCs/>
          <w:lang w:val="en-US"/>
        </w:rPr>
        <w:t xml:space="preserve"> 13 of the European Convention of Human Rights, Right to an effective remedy</w:t>
      </w:r>
      <w:r w:rsidRPr="009B173E">
        <w:rPr>
          <w:lang w:val="en-US"/>
        </w:rPr>
        <w:t xml:space="preserve">, European Court of Human Rights, 2022, </w:t>
      </w:r>
      <w:r w:rsidRPr="009B173E">
        <w:t>παρ</w:t>
      </w:r>
      <w:r w:rsidRPr="00C15B4B">
        <w:rPr>
          <w:lang w:val="en-US"/>
        </w:rPr>
        <w:t xml:space="preserve">. </w:t>
      </w:r>
      <w:r w:rsidRPr="00712913">
        <w:rPr>
          <w:lang w:val="en-US"/>
        </w:rPr>
        <w:t xml:space="preserve">57, </w:t>
      </w:r>
      <w:r w:rsidRPr="00C15B4B">
        <w:rPr>
          <w:lang w:val="en-US"/>
        </w:rPr>
        <w:t>60.</w:t>
      </w:r>
    </w:p>
  </w:footnote>
  <w:footnote w:id="49">
    <w:p w14:paraId="4915396A" w14:textId="17CCF784" w:rsidR="00F03602" w:rsidRPr="00E5154E" w:rsidRDefault="00F03602">
      <w:pPr>
        <w:pStyle w:val="a6"/>
      </w:pPr>
      <w:r>
        <w:rPr>
          <w:rStyle w:val="a7"/>
        </w:rPr>
        <w:footnoteRef/>
      </w:r>
      <w:r>
        <w:t xml:space="preserve"> ΕΔΔΑ</w:t>
      </w:r>
      <w:r w:rsidRPr="003D4B3F">
        <w:rPr>
          <w:b/>
          <w:bCs/>
          <w:i/>
          <w:iCs/>
          <w:sz w:val="24"/>
          <w:szCs w:val="24"/>
        </w:rPr>
        <w:t xml:space="preserve"> </w:t>
      </w:r>
      <w:r w:rsidRPr="003D4B3F">
        <w:rPr>
          <w:i/>
          <w:iCs/>
          <w:lang w:val="en-US"/>
        </w:rPr>
        <w:t>Burdov</w:t>
      </w:r>
      <w:r w:rsidRPr="003D4B3F">
        <w:rPr>
          <w:i/>
          <w:iCs/>
        </w:rPr>
        <w:t xml:space="preserve"> κατά Ρωσίας</w:t>
      </w:r>
      <w:r w:rsidRPr="0093636A">
        <w:t xml:space="preserve">, 15.01.2009, </w:t>
      </w:r>
      <w:r w:rsidRPr="00581CD8">
        <w:rPr>
          <w:color w:val="000000" w:themeColor="text1"/>
        </w:rPr>
        <w:t>παρ. 98.</w:t>
      </w:r>
    </w:p>
  </w:footnote>
  <w:footnote w:id="50">
    <w:p w14:paraId="668F45AA" w14:textId="5029BCE6" w:rsidR="00F03602" w:rsidRPr="002E615D" w:rsidRDefault="00F03602">
      <w:pPr>
        <w:pStyle w:val="a6"/>
      </w:pPr>
      <w:r>
        <w:rPr>
          <w:rStyle w:val="a7"/>
        </w:rPr>
        <w:footnoteRef/>
      </w:r>
      <w:r>
        <w:t xml:space="preserve"> Τα κριτήρια αυτά επαναλήφθηκαν και σε μεταγενέστερες αποφάσεις π.χ. </w:t>
      </w:r>
      <w:r w:rsidRPr="002E615D">
        <w:rPr>
          <w:i/>
          <w:iCs/>
          <w:lang w:val="en-US"/>
        </w:rPr>
        <w:t>Brudan</w:t>
      </w:r>
      <w:r w:rsidRPr="002E615D">
        <w:rPr>
          <w:i/>
          <w:iCs/>
        </w:rPr>
        <w:t xml:space="preserve"> κατά Ρουμανίας</w:t>
      </w:r>
      <w:r>
        <w:t>, 10.04.2018.</w:t>
      </w:r>
    </w:p>
  </w:footnote>
  <w:footnote w:id="51">
    <w:p w14:paraId="1D6A7451" w14:textId="4F1D57AD" w:rsidR="00F03602" w:rsidRPr="0021427D" w:rsidRDefault="00F03602">
      <w:pPr>
        <w:pStyle w:val="a6"/>
      </w:pPr>
      <w:r>
        <w:rPr>
          <w:rStyle w:val="a7"/>
        </w:rPr>
        <w:footnoteRef/>
      </w:r>
      <w:r w:rsidRPr="00093F31">
        <w:t xml:space="preserve"> </w:t>
      </w:r>
      <w:r w:rsidRPr="0021427D">
        <w:t xml:space="preserve">ΕΔΔΑ </w:t>
      </w:r>
      <w:r w:rsidRPr="0021427D">
        <w:rPr>
          <w:i/>
          <w:iCs/>
        </w:rPr>
        <w:t>Μιχελιουδάκης κατά Ελλάδας</w:t>
      </w:r>
      <w:r w:rsidRPr="0021427D">
        <w:t>, 03.04.2012</w:t>
      </w:r>
      <w:r>
        <w:t>, παρ. 52</w:t>
      </w:r>
      <w:r w:rsidRPr="0021427D">
        <w:t>.</w:t>
      </w:r>
      <w:r>
        <w:t xml:space="preserve"> </w:t>
      </w:r>
    </w:p>
  </w:footnote>
  <w:footnote w:id="52">
    <w:p w14:paraId="1AA59718" w14:textId="10A48AFF" w:rsidR="00F03602" w:rsidRPr="0021427D" w:rsidRDefault="00F03602">
      <w:pPr>
        <w:pStyle w:val="a6"/>
      </w:pPr>
      <w:r>
        <w:rPr>
          <w:rStyle w:val="a7"/>
        </w:rPr>
        <w:footnoteRef/>
      </w:r>
      <w:r w:rsidRPr="00093F31">
        <w:t xml:space="preserve"> </w:t>
      </w:r>
      <w:r w:rsidRPr="0021427D">
        <w:t xml:space="preserve">ΕΔΔΑ </w:t>
      </w:r>
      <w:r w:rsidRPr="0021427D">
        <w:rPr>
          <w:i/>
          <w:iCs/>
        </w:rPr>
        <w:t xml:space="preserve">Γλύκαντζη κατά Ελλάδας, </w:t>
      </w:r>
      <w:r w:rsidRPr="0021427D">
        <w:t>30.10.2012</w:t>
      </w:r>
      <w:r>
        <w:t>, παρ. 55</w:t>
      </w:r>
      <w:r w:rsidRPr="0021427D">
        <w:t>.</w:t>
      </w:r>
    </w:p>
  </w:footnote>
  <w:footnote w:id="53">
    <w:p w14:paraId="400F1338" w14:textId="77777777" w:rsidR="00F03602" w:rsidRPr="002F31DC" w:rsidRDefault="00F03602" w:rsidP="00A66537">
      <w:pPr>
        <w:pStyle w:val="a6"/>
      </w:pPr>
      <w:r>
        <w:rPr>
          <w:rStyle w:val="a7"/>
        </w:rPr>
        <w:footnoteRef/>
      </w:r>
      <w:r>
        <w:t xml:space="preserve"> </w:t>
      </w:r>
      <w:r w:rsidRPr="002F31DC">
        <w:rPr>
          <w:b/>
          <w:bCs/>
        </w:rPr>
        <w:t>Μ. Μαργαρίτης</w:t>
      </w:r>
      <w:r w:rsidRPr="002F31DC">
        <w:t>, ό.π., σελ. 402</w:t>
      </w:r>
      <w:r>
        <w:t xml:space="preserve">, ΕΔΔΑ, </w:t>
      </w:r>
      <w:r w:rsidRPr="002F31DC">
        <w:rPr>
          <w:i/>
          <w:iCs/>
          <w:lang w:val="en-US"/>
        </w:rPr>
        <w:t>Burdov</w:t>
      </w:r>
      <w:r w:rsidRPr="002F31DC">
        <w:rPr>
          <w:i/>
          <w:iCs/>
        </w:rPr>
        <w:t xml:space="preserve"> κατά Ρωσίας</w:t>
      </w:r>
      <w:r w:rsidRPr="002F31DC">
        <w:t xml:space="preserve">, 15.01.2009, παρ. </w:t>
      </w:r>
      <w:r w:rsidRPr="00EF39A0">
        <w:t>97</w:t>
      </w:r>
      <w:r w:rsidRPr="002F31DC">
        <w:t xml:space="preserve">, </w:t>
      </w:r>
      <w:r w:rsidRPr="002F31DC">
        <w:rPr>
          <w:i/>
          <w:iCs/>
          <w:lang w:val="en-US"/>
        </w:rPr>
        <w:t>Kudla</w:t>
      </w:r>
      <w:r w:rsidRPr="002F31DC">
        <w:rPr>
          <w:i/>
          <w:iCs/>
        </w:rPr>
        <w:t xml:space="preserve"> κατά Πολωνίας</w:t>
      </w:r>
      <w:r w:rsidRPr="002F31DC">
        <w:t xml:space="preserve">, 26.10.2000, παρ. </w:t>
      </w:r>
      <w:r w:rsidRPr="005624BA">
        <w:t>157.</w:t>
      </w:r>
    </w:p>
  </w:footnote>
  <w:footnote w:id="54">
    <w:p w14:paraId="495763C2" w14:textId="607AC539" w:rsidR="00F03602" w:rsidRPr="005549B8" w:rsidRDefault="00F03602">
      <w:pPr>
        <w:pStyle w:val="a6"/>
        <w:rPr>
          <w:lang w:val="en-US"/>
        </w:rPr>
      </w:pPr>
      <w:r>
        <w:rPr>
          <w:rStyle w:val="a7"/>
        </w:rPr>
        <w:footnoteRef/>
      </w:r>
      <w:r w:rsidRPr="005549B8">
        <w:rPr>
          <w:lang w:val="en-US"/>
        </w:rPr>
        <w:t xml:space="preserve"> </w:t>
      </w:r>
      <w:r w:rsidRPr="005549B8">
        <w:rPr>
          <w:i/>
          <w:iCs/>
          <w:lang w:val="en-US"/>
        </w:rPr>
        <w:t>Guide on Article 13 of the European Convention of Human Rights, Right to an effective remedy</w:t>
      </w:r>
      <w:r w:rsidRPr="005549B8">
        <w:rPr>
          <w:lang w:val="en-US"/>
        </w:rPr>
        <w:t xml:space="preserve">, European Court of Human Rights, 2022, </w:t>
      </w:r>
      <w:r w:rsidRPr="005549B8">
        <w:t>παρ</w:t>
      </w:r>
      <w:r w:rsidRPr="005549B8">
        <w:rPr>
          <w:lang w:val="en-US"/>
        </w:rPr>
        <w:t>. 47.</w:t>
      </w:r>
    </w:p>
  </w:footnote>
  <w:footnote w:id="55">
    <w:p w14:paraId="7A492C12" w14:textId="1B489364" w:rsidR="00F03602" w:rsidRPr="00F61CEE" w:rsidRDefault="00F03602">
      <w:pPr>
        <w:pStyle w:val="a6"/>
      </w:pPr>
      <w:r>
        <w:rPr>
          <w:rStyle w:val="a7"/>
        </w:rPr>
        <w:footnoteRef/>
      </w:r>
      <w:r w:rsidRPr="00F61CEE">
        <w:t xml:space="preserve"> </w:t>
      </w:r>
      <w:r>
        <w:t>ΕΔΔΑ</w:t>
      </w:r>
      <w:r w:rsidRPr="00F61CEE">
        <w:t xml:space="preserve"> </w:t>
      </w:r>
      <w:r w:rsidRPr="008E0B34">
        <w:rPr>
          <w:i/>
          <w:iCs/>
          <w:lang w:val="en-US"/>
        </w:rPr>
        <w:t>Ramirez</w:t>
      </w:r>
      <w:r w:rsidRPr="00F61CEE">
        <w:rPr>
          <w:i/>
          <w:iCs/>
        </w:rPr>
        <w:t xml:space="preserve"> </w:t>
      </w:r>
      <w:r w:rsidRPr="008E0B34">
        <w:rPr>
          <w:i/>
          <w:iCs/>
          <w:lang w:val="en-US"/>
        </w:rPr>
        <w:t>Sanchez</w:t>
      </w:r>
      <w:r w:rsidRPr="00F61CEE">
        <w:rPr>
          <w:i/>
          <w:iCs/>
        </w:rPr>
        <w:t xml:space="preserve"> </w:t>
      </w:r>
      <w:r w:rsidRPr="008E0B34">
        <w:rPr>
          <w:i/>
          <w:iCs/>
        </w:rPr>
        <w:t>κατά</w:t>
      </w:r>
      <w:r w:rsidRPr="00F61CEE">
        <w:rPr>
          <w:i/>
          <w:iCs/>
        </w:rPr>
        <w:t xml:space="preserve"> </w:t>
      </w:r>
      <w:r w:rsidRPr="008E0B34">
        <w:rPr>
          <w:i/>
          <w:iCs/>
        </w:rPr>
        <w:t>Γαλλίας</w:t>
      </w:r>
      <w:r w:rsidRPr="00F61CEE">
        <w:rPr>
          <w:i/>
          <w:iCs/>
        </w:rPr>
        <w:t xml:space="preserve">, </w:t>
      </w:r>
      <w:r w:rsidRPr="00F61CEE">
        <w:t>04.07.2006</w:t>
      </w:r>
      <w:r>
        <w:t>, παρ. 165</w:t>
      </w:r>
      <w:r w:rsidRPr="00F61CEE">
        <w:t>.</w:t>
      </w:r>
    </w:p>
  </w:footnote>
  <w:footnote w:id="56">
    <w:p w14:paraId="78006E13" w14:textId="48BBB026" w:rsidR="00F03602" w:rsidRPr="00ED7753" w:rsidRDefault="00F03602">
      <w:pPr>
        <w:pStyle w:val="a6"/>
      </w:pPr>
      <w:r>
        <w:rPr>
          <w:rStyle w:val="a7"/>
        </w:rPr>
        <w:footnoteRef/>
      </w:r>
      <w:r w:rsidRPr="00282140">
        <w:t xml:space="preserve"> </w:t>
      </w:r>
      <w:r>
        <w:t xml:space="preserve">ΕΔΔΑ </w:t>
      </w:r>
      <w:r w:rsidRPr="00ED7753">
        <w:rPr>
          <w:i/>
          <w:iCs/>
        </w:rPr>
        <w:t>Παπαγεωργίου κατά Ελλάδας</w:t>
      </w:r>
      <w:r>
        <w:rPr>
          <w:i/>
          <w:iCs/>
        </w:rPr>
        <w:t xml:space="preserve">, </w:t>
      </w:r>
      <w:r>
        <w:t>18.02.2016, παρ. 27.</w:t>
      </w:r>
    </w:p>
  </w:footnote>
  <w:footnote w:id="57">
    <w:p w14:paraId="2EDF8576" w14:textId="727D3ED7" w:rsidR="00F03602" w:rsidRPr="00A601AD" w:rsidRDefault="00F03602">
      <w:pPr>
        <w:pStyle w:val="a6"/>
      </w:pPr>
      <w:r>
        <w:rPr>
          <w:rStyle w:val="a7"/>
        </w:rPr>
        <w:footnoteRef/>
      </w:r>
      <w:r w:rsidRPr="00A601AD">
        <w:t xml:space="preserve"> </w:t>
      </w:r>
      <w:r w:rsidRPr="00282140">
        <w:t>ΕΔΔΑ</w:t>
      </w:r>
      <w:r w:rsidRPr="00A601AD">
        <w:t xml:space="preserve"> </w:t>
      </w:r>
      <w:r w:rsidRPr="00A601AD">
        <w:rPr>
          <w:i/>
          <w:iCs/>
          <w:lang w:val="en-US"/>
        </w:rPr>
        <w:t>Firat</w:t>
      </w:r>
      <w:r w:rsidRPr="00A601AD">
        <w:rPr>
          <w:i/>
          <w:iCs/>
        </w:rPr>
        <w:t xml:space="preserve"> κατά Ελλάδας, </w:t>
      </w:r>
      <w:r w:rsidRPr="00A601AD">
        <w:t xml:space="preserve">09.11.2017, </w:t>
      </w:r>
      <w:r>
        <w:t>παρ. 24.</w:t>
      </w:r>
    </w:p>
  </w:footnote>
  <w:footnote w:id="58">
    <w:p w14:paraId="55A65B9D" w14:textId="7459CCEC" w:rsidR="00F03602" w:rsidRPr="00EC2361" w:rsidRDefault="00F03602">
      <w:pPr>
        <w:pStyle w:val="a6"/>
        <w:rPr>
          <w:lang w:val="en-US"/>
        </w:rPr>
      </w:pPr>
      <w:r>
        <w:rPr>
          <w:rStyle w:val="a7"/>
        </w:rPr>
        <w:footnoteRef/>
      </w:r>
      <w:r w:rsidRPr="00EC2361">
        <w:rPr>
          <w:lang w:val="en-US"/>
        </w:rPr>
        <w:t xml:space="preserve"> </w:t>
      </w:r>
      <w:r w:rsidRPr="00EC2361">
        <w:rPr>
          <w:i/>
          <w:iCs/>
          <w:lang w:val="en-US"/>
        </w:rPr>
        <w:t>Guide on Article 13 of the European Convention of Human Rights, Right to an effective remedy</w:t>
      </w:r>
      <w:r w:rsidRPr="00EC2361">
        <w:rPr>
          <w:lang w:val="en-US"/>
        </w:rPr>
        <w:t xml:space="preserve">, European Court of Human Rights, 2022, </w:t>
      </w:r>
      <w:r w:rsidRPr="00EC2361">
        <w:t>παρ</w:t>
      </w:r>
      <w:r w:rsidRPr="00EC2361">
        <w:rPr>
          <w:lang w:val="en-US"/>
        </w:rPr>
        <w:t>. 38.</w:t>
      </w:r>
    </w:p>
  </w:footnote>
  <w:footnote w:id="59">
    <w:p w14:paraId="66772A9F" w14:textId="5CC70888" w:rsidR="00F03602" w:rsidRPr="008F2D3C" w:rsidRDefault="00F03602">
      <w:pPr>
        <w:pStyle w:val="a6"/>
        <w:rPr>
          <w:i/>
          <w:iCs/>
        </w:rPr>
      </w:pPr>
      <w:r>
        <w:rPr>
          <w:rStyle w:val="a7"/>
        </w:rPr>
        <w:footnoteRef/>
      </w:r>
      <w:r w:rsidRPr="008F2D3C">
        <w:t xml:space="preserve"> </w:t>
      </w:r>
      <w:r w:rsidRPr="001E2F9B">
        <w:t xml:space="preserve">ΕΔΔΑ </w:t>
      </w:r>
      <w:r w:rsidRPr="001E2F9B">
        <w:rPr>
          <w:i/>
          <w:iCs/>
          <w:lang w:val="en-US"/>
        </w:rPr>
        <w:t>Camenzing</w:t>
      </w:r>
      <w:r w:rsidRPr="001E2F9B">
        <w:rPr>
          <w:i/>
          <w:iCs/>
        </w:rPr>
        <w:t xml:space="preserve"> κατά Ελβετίας</w:t>
      </w:r>
      <w:r w:rsidRPr="001E2F9B">
        <w:t>, 16.12.1997, παρ. 54.</w:t>
      </w:r>
    </w:p>
  </w:footnote>
  <w:footnote w:id="60">
    <w:p w14:paraId="06605AEA" w14:textId="2D8A3893" w:rsidR="00F03602" w:rsidRPr="0041732C" w:rsidRDefault="00F03602">
      <w:pPr>
        <w:pStyle w:val="a6"/>
        <w:rPr>
          <w:lang w:val="en-US"/>
        </w:rPr>
      </w:pPr>
      <w:r>
        <w:rPr>
          <w:rStyle w:val="a7"/>
        </w:rPr>
        <w:footnoteRef/>
      </w:r>
      <w:r w:rsidRPr="0041732C">
        <w:rPr>
          <w:lang w:val="en-US"/>
        </w:rPr>
        <w:t xml:space="preserve"> </w:t>
      </w:r>
      <w:r w:rsidRPr="00A8361D">
        <w:t>ΕΔΔΑ</w:t>
      </w:r>
      <w:r w:rsidRPr="0041732C">
        <w:rPr>
          <w:lang w:val="en-US"/>
        </w:rPr>
        <w:t xml:space="preserve"> </w:t>
      </w:r>
      <w:r w:rsidRPr="00A8361D">
        <w:rPr>
          <w:i/>
          <w:iCs/>
          <w:lang w:val="en-US"/>
        </w:rPr>
        <w:t>Paul</w:t>
      </w:r>
      <w:r w:rsidRPr="0041732C">
        <w:rPr>
          <w:i/>
          <w:iCs/>
          <w:lang w:val="en-US"/>
        </w:rPr>
        <w:t xml:space="preserve"> </w:t>
      </w:r>
      <w:r w:rsidRPr="00A8361D">
        <w:rPr>
          <w:i/>
          <w:iCs/>
          <w:lang w:val="en-US"/>
        </w:rPr>
        <w:t>and</w:t>
      </w:r>
      <w:r w:rsidRPr="0041732C">
        <w:rPr>
          <w:i/>
          <w:iCs/>
          <w:lang w:val="en-US"/>
        </w:rPr>
        <w:t xml:space="preserve"> </w:t>
      </w:r>
      <w:r w:rsidRPr="00A8361D">
        <w:rPr>
          <w:i/>
          <w:iCs/>
          <w:lang w:val="en-US"/>
        </w:rPr>
        <w:t>Audrey</w:t>
      </w:r>
      <w:r w:rsidRPr="0041732C">
        <w:rPr>
          <w:i/>
          <w:iCs/>
          <w:lang w:val="en-US"/>
        </w:rPr>
        <w:t xml:space="preserve"> </w:t>
      </w:r>
      <w:r w:rsidRPr="00A8361D">
        <w:rPr>
          <w:i/>
          <w:iCs/>
          <w:lang w:val="en-US"/>
        </w:rPr>
        <w:t>Edwards</w:t>
      </w:r>
      <w:r w:rsidRPr="0041732C">
        <w:rPr>
          <w:i/>
          <w:iCs/>
          <w:lang w:val="en-US"/>
        </w:rPr>
        <w:t xml:space="preserve"> </w:t>
      </w:r>
      <w:r w:rsidRPr="00A8361D">
        <w:rPr>
          <w:i/>
          <w:iCs/>
        </w:rPr>
        <w:t>κατά</w:t>
      </w:r>
      <w:r w:rsidRPr="0041732C">
        <w:rPr>
          <w:i/>
          <w:iCs/>
          <w:lang w:val="en-US"/>
        </w:rPr>
        <w:t xml:space="preserve"> </w:t>
      </w:r>
      <w:r w:rsidRPr="00A8361D">
        <w:rPr>
          <w:i/>
          <w:iCs/>
        </w:rPr>
        <w:t>Ηνωμένου</w:t>
      </w:r>
      <w:r w:rsidRPr="0041732C">
        <w:rPr>
          <w:i/>
          <w:iCs/>
          <w:lang w:val="en-US"/>
        </w:rPr>
        <w:t xml:space="preserve"> </w:t>
      </w:r>
      <w:r w:rsidRPr="00A8361D">
        <w:rPr>
          <w:i/>
          <w:iCs/>
        </w:rPr>
        <w:t>Βασιλείου</w:t>
      </w:r>
      <w:r w:rsidRPr="0041732C">
        <w:rPr>
          <w:i/>
          <w:iCs/>
          <w:lang w:val="en-US"/>
        </w:rPr>
        <w:t xml:space="preserve">, </w:t>
      </w:r>
      <w:r w:rsidRPr="0041732C">
        <w:rPr>
          <w:lang w:val="en-US"/>
        </w:rPr>
        <w:t xml:space="preserve">14.03.2002, </w:t>
      </w:r>
      <w:r w:rsidRPr="0041732C">
        <w:rPr>
          <w:i/>
          <w:iCs/>
          <w:lang w:val="en-US"/>
        </w:rPr>
        <w:t>Guide on Article 13 of the European Convention of Human Rights, Right to an effective remedy</w:t>
      </w:r>
      <w:r w:rsidRPr="0041732C">
        <w:rPr>
          <w:lang w:val="en-US"/>
        </w:rPr>
        <w:t xml:space="preserve">, European Court of Human Rights, 2022, </w:t>
      </w:r>
      <w:r w:rsidRPr="0041732C">
        <w:t>παρ</w:t>
      </w:r>
      <w:r w:rsidRPr="0041732C">
        <w:rPr>
          <w:lang w:val="en-US"/>
        </w:rPr>
        <w:t xml:space="preserve">. </w:t>
      </w:r>
      <w:r w:rsidRPr="00334AE4">
        <w:rPr>
          <w:lang w:val="en-US"/>
        </w:rPr>
        <w:t>45</w:t>
      </w:r>
      <w:r w:rsidRPr="0041732C">
        <w:rPr>
          <w:lang w:val="en-US"/>
        </w:rPr>
        <w:t>.</w:t>
      </w:r>
    </w:p>
  </w:footnote>
  <w:footnote w:id="61">
    <w:p w14:paraId="69E8CED1" w14:textId="7AC91239" w:rsidR="00F03602" w:rsidRPr="00FB12AE" w:rsidRDefault="00F03602">
      <w:pPr>
        <w:pStyle w:val="a6"/>
        <w:rPr>
          <w:lang w:val="en-US"/>
        </w:rPr>
      </w:pPr>
      <w:r>
        <w:rPr>
          <w:rStyle w:val="a7"/>
        </w:rPr>
        <w:footnoteRef/>
      </w:r>
      <w:r w:rsidRPr="0093130E">
        <w:rPr>
          <w:lang w:val="en-US"/>
        </w:rPr>
        <w:t xml:space="preserve"> </w:t>
      </w:r>
      <w:r w:rsidRPr="0093130E">
        <w:rPr>
          <w:i/>
          <w:iCs/>
          <w:lang w:val="en-US"/>
        </w:rPr>
        <w:t>Guide on Article 13 of the European Convention of Human Rights, Right to an effective remedy</w:t>
      </w:r>
      <w:r w:rsidRPr="0093130E">
        <w:rPr>
          <w:lang w:val="en-US"/>
        </w:rPr>
        <w:t xml:space="preserve">, European Court of Human Rights, 2022, </w:t>
      </w:r>
      <w:r>
        <w:t>παρ</w:t>
      </w:r>
      <w:r w:rsidRPr="0093130E">
        <w:rPr>
          <w:lang w:val="en-US"/>
        </w:rPr>
        <w:t xml:space="preserve">. </w:t>
      </w:r>
      <w:r w:rsidRPr="009C4D2E">
        <w:rPr>
          <w:lang w:val="en-US"/>
        </w:rPr>
        <w:t xml:space="preserve">34, </w:t>
      </w:r>
      <w:r w:rsidRPr="009C4D2E">
        <w:rPr>
          <w:b/>
          <w:bCs/>
        </w:rPr>
        <w:t>Β</w:t>
      </w:r>
      <w:r w:rsidRPr="009C4D2E">
        <w:rPr>
          <w:b/>
          <w:bCs/>
          <w:lang w:val="en-US"/>
        </w:rPr>
        <w:t xml:space="preserve">. </w:t>
      </w:r>
      <w:r w:rsidRPr="009C4D2E">
        <w:rPr>
          <w:b/>
          <w:bCs/>
        </w:rPr>
        <w:t>Καψάλη</w:t>
      </w:r>
      <w:r w:rsidRPr="009C4D2E">
        <w:rPr>
          <w:lang w:val="en-US"/>
        </w:rPr>
        <w:t xml:space="preserve"> </w:t>
      </w:r>
      <w:r w:rsidRPr="009C4D2E">
        <w:t>σε</w:t>
      </w:r>
      <w:r w:rsidRPr="009C4D2E">
        <w:rPr>
          <w:lang w:val="en-US"/>
        </w:rPr>
        <w:t xml:space="preserve"> </w:t>
      </w:r>
      <w:r w:rsidRPr="009C4D2E">
        <w:rPr>
          <w:b/>
          <w:bCs/>
        </w:rPr>
        <w:t>Ι</w:t>
      </w:r>
      <w:r w:rsidRPr="009C4D2E">
        <w:rPr>
          <w:b/>
          <w:bCs/>
          <w:lang w:val="en-US"/>
        </w:rPr>
        <w:t xml:space="preserve">. </w:t>
      </w:r>
      <w:r w:rsidRPr="009C4D2E">
        <w:rPr>
          <w:b/>
          <w:bCs/>
        </w:rPr>
        <w:t>Σαρμά</w:t>
      </w:r>
      <w:r w:rsidRPr="009C4D2E">
        <w:rPr>
          <w:lang w:val="en-US"/>
        </w:rPr>
        <w:t xml:space="preserve">, </w:t>
      </w:r>
      <w:r w:rsidRPr="009C4D2E">
        <w:rPr>
          <w:b/>
          <w:bCs/>
        </w:rPr>
        <w:t>Ξ</w:t>
      </w:r>
      <w:r w:rsidRPr="009C4D2E">
        <w:rPr>
          <w:b/>
          <w:bCs/>
          <w:lang w:val="en-US"/>
        </w:rPr>
        <w:t xml:space="preserve">. </w:t>
      </w:r>
      <w:r w:rsidRPr="009C4D2E">
        <w:rPr>
          <w:b/>
          <w:bCs/>
        </w:rPr>
        <w:t>Κοντιάδη</w:t>
      </w:r>
      <w:r w:rsidRPr="009C4D2E">
        <w:rPr>
          <w:lang w:val="en-US"/>
        </w:rPr>
        <w:t xml:space="preserve">, </w:t>
      </w:r>
      <w:r w:rsidRPr="009C4D2E">
        <w:rPr>
          <w:b/>
          <w:bCs/>
        </w:rPr>
        <w:t>Χ</w:t>
      </w:r>
      <w:r w:rsidRPr="009C4D2E">
        <w:rPr>
          <w:b/>
          <w:bCs/>
          <w:lang w:val="en-US"/>
        </w:rPr>
        <w:t xml:space="preserve">. </w:t>
      </w:r>
      <w:r w:rsidRPr="009C4D2E">
        <w:rPr>
          <w:b/>
          <w:bCs/>
        </w:rPr>
        <w:t>Ανθόπουλου</w:t>
      </w:r>
      <w:r w:rsidRPr="009C4D2E">
        <w:rPr>
          <w:lang w:val="en-US"/>
        </w:rPr>
        <w:t xml:space="preserve">, </w:t>
      </w:r>
      <w:r w:rsidRPr="009C4D2E">
        <w:rPr>
          <w:i/>
          <w:iCs/>
        </w:rPr>
        <w:t>ό</w:t>
      </w:r>
      <w:r w:rsidRPr="009C4D2E">
        <w:rPr>
          <w:i/>
          <w:iCs/>
          <w:lang w:val="en-US"/>
        </w:rPr>
        <w:t>.</w:t>
      </w:r>
      <w:r w:rsidRPr="009C4D2E">
        <w:rPr>
          <w:i/>
          <w:iCs/>
        </w:rPr>
        <w:t>π</w:t>
      </w:r>
      <w:r w:rsidRPr="009C4D2E">
        <w:rPr>
          <w:i/>
          <w:iCs/>
          <w:lang w:val="en-US"/>
        </w:rPr>
        <w:t>.</w:t>
      </w:r>
      <w:r w:rsidRPr="009C4D2E">
        <w:rPr>
          <w:lang w:val="en-US"/>
        </w:rPr>
        <w:t xml:space="preserve">, </w:t>
      </w:r>
      <w:r w:rsidRPr="009C4D2E">
        <w:t>σελ</w:t>
      </w:r>
      <w:r w:rsidRPr="009C4D2E">
        <w:rPr>
          <w:lang w:val="en-US"/>
        </w:rPr>
        <w:t>. 703.</w:t>
      </w:r>
    </w:p>
  </w:footnote>
  <w:footnote w:id="62">
    <w:p w14:paraId="1F212AC1" w14:textId="4316F854" w:rsidR="00F03602" w:rsidRPr="009565B6" w:rsidRDefault="00F03602">
      <w:pPr>
        <w:pStyle w:val="a6"/>
      </w:pPr>
      <w:r>
        <w:rPr>
          <w:rStyle w:val="a7"/>
        </w:rPr>
        <w:footnoteRef/>
      </w:r>
      <w:r>
        <w:t xml:space="preserve"> </w:t>
      </w:r>
      <w:r w:rsidRPr="001E2F9B">
        <w:t xml:space="preserve">ΕΔΔΑ </w:t>
      </w:r>
      <w:r w:rsidRPr="001E2F9B">
        <w:rPr>
          <w:i/>
          <w:iCs/>
        </w:rPr>
        <w:t xml:space="preserve">Μητροπολιτική Εκκλησία της Βεσσαραβίας κατά Μολδαβίας, </w:t>
      </w:r>
      <w:r w:rsidRPr="001E2F9B">
        <w:t>13.12.2001,</w:t>
      </w:r>
      <w:r>
        <w:t xml:space="preserve"> παρ. 139,</w:t>
      </w:r>
      <w:r w:rsidRPr="009565B6">
        <w:t xml:space="preserve"> </w:t>
      </w:r>
      <w:r w:rsidRPr="009565B6">
        <w:rPr>
          <w:i/>
          <w:iCs/>
        </w:rPr>
        <w:t xml:space="preserve">Τ.Ο.Α.Ε. κατά Ελλάδας, </w:t>
      </w:r>
      <w:r w:rsidRPr="009565B6">
        <w:t>01.10.2013, παρ. 30.</w:t>
      </w:r>
    </w:p>
  </w:footnote>
  <w:footnote w:id="63">
    <w:p w14:paraId="254BE93F" w14:textId="02EB6CFD" w:rsidR="00F03602" w:rsidRPr="002849E8" w:rsidRDefault="00F03602">
      <w:pPr>
        <w:pStyle w:val="a6"/>
      </w:pPr>
      <w:r>
        <w:rPr>
          <w:rStyle w:val="a7"/>
        </w:rPr>
        <w:footnoteRef/>
      </w:r>
      <w:r w:rsidRPr="002849E8">
        <w:t xml:space="preserve"> </w:t>
      </w:r>
      <w:r>
        <w:t xml:space="preserve">ΕΔΔΑ </w:t>
      </w:r>
      <w:r w:rsidRPr="002849E8">
        <w:rPr>
          <w:i/>
          <w:iCs/>
          <w:lang w:val="en-US"/>
        </w:rPr>
        <w:t>M</w:t>
      </w:r>
      <w:r w:rsidRPr="002849E8">
        <w:rPr>
          <w:i/>
          <w:iCs/>
        </w:rPr>
        <w:t>.</w:t>
      </w:r>
      <w:r w:rsidRPr="002849E8">
        <w:rPr>
          <w:i/>
          <w:iCs/>
          <w:lang w:val="en-US"/>
        </w:rPr>
        <w:t>S</w:t>
      </w:r>
      <w:r w:rsidRPr="002849E8">
        <w:rPr>
          <w:i/>
          <w:iCs/>
        </w:rPr>
        <w:t>.</w:t>
      </w:r>
      <w:r w:rsidRPr="002849E8">
        <w:rPr>
          <w:i/>
          <w:iCs/>
          <w:lang w:val="en-US"/>
        </w:rPr>
        <w:t>S</w:t>
      </w:r>
      <w:r w:rsidRPr="002849E8">
        <w:rPr>
          <w:i/>
          <w:iCs/>
        </w:rPr>
        <w:t>. κατά Βελγίου και Ελλάδας</w:t>
      </w:r>
      <w:r w:rsidRPr="002849E8">
        <w:t>, 21.01.2010</w:t>
      </w:r>
      <w:r>
        <w:t>, παρ. 292.</w:t>
      </w:r>
    </w:p>
  </w:footnote>
  <w:footnote w:id="64">
    <w:p w14:paraId="71431D9C" w14:textId="69137B12" w:rsidR="00F03602" w:rsidRPr="00186DBC" w:rsidRDefault="00F03602">
      <w:pPr>
        <w:pStyle w:val="a6"/>
      </w:pPr>
      <w:r>
        <w:rPr>
          <w:rStyle w:val="a7"/>
        </w:rPr>
        <w:footnoteRef/>
      </w:r>
      <w:r w:rsidRPr="001A6D92">
        <w:t xml:space="preserve"> </w:t>
      </w:r>
      <w:r w:rsidRPr="00D52BD3">
        <w:t xml:space="preserve">ΕΔΔΑ </w:t>
      </w:r>
      <w:r w:rsidRPr="00D52BD3">
        <w:rPr>
          <w:i/>
          <w:iCs/>
          <w:lang w:val="en-US"/>
        </w:rPr>
        <w:t>Baczkowski</w:t>
      </w:r>
      <w:r w:rsidRPr="00D52BD3">
        <w:rPr>
          <w:i/>
          <w:iCs/>
        </w:rPr>
        <w:t xml:space="preserve"> κατά Πολωνίας, </w:t>
      </w:r>
      <w:r w:rsidRPr="00D52BD3">
        <w:t>03.05.2007, παρ. 81-84.</w:t>
      </w:r>
    </w:p>
  </w:footnote>
  <w:footnote w:id="65">
    <w:p w14:paraId="4F429020" w14:textId="050E3F9D" w:rsidR="00F03602" w:rsidRPr="00EC2361" w:rsidRDefault="00F03602" w:rsidP="00506C60">
      <w:pPr>
        <w:pStyle w:val="a6"/>
        <w:rPr>
          <w:lang w:val="en-US"/>
        </w:rPr>
      </w:pPr>
      <w:r>
        <w:rPr>
          <w:rStyle w:val="a7"/>
        </w:rPr>
        <w:footnoteRef/>
      </w:r>
      <w:r w:rsidRPr="00FB4CF2">
        <w:rPr>
          <w:lang w:val="en-US"/>
        </w:rPr>
        <w:t xml:space="preserve"> </w:t>
      </w:r>
      <w:r w:rsidRPr="00FB4CF2">
        <w:rPr>
          <w:i/>
          <w:iCs/>
          <w:lang w:val="en-US"/>
        </w:rPr>
        <w:t>Guide on Article 13 of the European Convention of Human Rights, Right to an effective remedy</w:t>
      </w:r>
      <w:r w:rsidRPr="00FB4CF2">
        <w:rPr>
          <w:lang w:val="en-US"/>
        </w:rPr>
        <w:t xml:space="preserve">, European Court of Human Rights, 2022, </w:t>
      </w:r>
      <w:r w:rsidRPr="00FB4CF2">
        <w:t>παρ</w:t>
      </w:r>
      <w:r w:rsidRPr="00FB4CF2">
        <w:rPr>
          <w:lang w:val="en-US"/>
        </w:rPr>
        <w:t xml:space="preserve">. </w:t>
      </w:r>
      <w:r w:rsidRPr="00A81999">
        <w:rPr>
          <w:lang w:val="en-US"/>
        </w:rPr>
        <w:t>50</w:t>
      </w:r>
      <w:r w:rsidRPr="00B73A81">
        <w:rPr>
          <w:lang w:val="en-US"/>
        </w:rPr>
        <w:t xml:space="preserve">, </w:t>
      </w:r>
      <w:r w:rsidRPr="00151CEA">
        <w:rPr>
          <w:b/>
          <w:bCs/>
        </w:rPr>
        <w:t>Μ</w:t>
      </w:r>
      <w:r w:rsidRPr="00151CEA">
        <w:rPr>
          <w:b/>
          <w:bCs/>
          <w:lang w:val="en-US"/>
        </w:rPr>
        <w:t xml:space="preserve">. </w:t>
      </w:r>
      <w:r w:rsidRPr="00151CEA">
        <w:rPr>
          <w:b/>
          <w:bCs/>
        </w:rPr>
        <w:t>Μαργαρίτης</w:t>
      </w:r>
      <w:r w:rsidRPr="00151CEA">
        <w:rPr>
          <w:lang w:val="en-US"/>
        </w:rPr>
        <w:t xml:space="preserve">, </w:t>
      </w:r>
      <w:r>
        <w:t>ό</w:t>
      </w:r>
      <w:r w:rsidRPr="00151CEA">
        <w:rPr>
          <w:lang w:val="en-US"/>
        </w:rPr>
        <w:t>.</w:t>
      </w:r>
      <w:r>
        <w:t>π</w:t>
      </w:r>
      <w:r w:rsidRPr="00151CEA">
        <w:rPr>
          <w:lang w:val="en-US"/>
        </w:rPr>
        <w:t xml:space="preserve">., </w:t>
      </w:r>
      <w:r>
        <w:t>σελ</w:t>
      </w:r>
      <w:r w:rsidRPr="002F098F">
        <w:rPr>
          <w:lang w:val="en-US"/>
        </w:rPr>
        <w:t>. 402</w:t>
      </w:r>
      <w:r w:rsidRPr="009E0F0D">
        <w:rPr>
          <w:lang w:val="en-US"/>
        </w:rPr>
        <w:t xml:space="preserve">, </w:t>
      </w:r>
      <w:r w:rsidRPr="009E0F0D">
        <w:rPr>
          <w:b/>
          <w:bCs/>
        </w:rPr>
        <w:t>Β</w:t>
      </w:r>
      <w:r w:rsidRPr="009E0F0D">
        <w:rPr>
          <w:b/>
          <w:bCs/>
          <w:lang w:val="en-US"/>
        </w:rPr>
        <w:t xml:space="preserve">. </w:t>
      </w:r>
      <w:r w:rsidRPr="009E0F0D">
        <w:rPr>
          <w:b/>
          <w:bCs/>
        </w:rPr>
        <w:t>Καψάλη</w:t>
      </w:r>
      <w:r w:rsidRPr="009E0F0D">
        <w:rPr>
          <w:lang w:val="en-US"/>
        </w:rPr>
        <w:t xml:space="preserve"> </w:t>
      </w:r>
      <w:r w:rsidRPr="009E0F0D">
        <w:t>σε</w:t>
      </w:r>
      <w:r w:rsidRPr="009E0F0D">
        <w:rPr>
          <w:lang w:val="en-US"/>
        </w:rPr>
        <w:t xml:space="preserve"> </w:t>
      </w:r>
      <w:r w:rsidRPr="009E0F0D">
        <w:rPr>
          <w:b/>
          <w:bCs/>
        </w:rPr>
        <w:t>Ι</w:t>
      </w:r>
      <w:r w:rsidRPr="009E0F0D">
        <w:rPr>
          <w:b/>
          <w:bCs/>
          <w:lang w:val="en-US"/>
        </w:rPr>
        <w:t xml:space="preserve">. </w:t>
      </w:r>
      <w:r w:rsidRPr="009E0F0D">
        <w:rPr>
          <w:b/>
          <w:bCs/>
        </w:rPr>
        <w:t>Σαρμά</w:t>
      </w:r>
      <w:r w:rsidRPr="009E0F0D">
        <w:rPr>
          <w:lang w:val="en-US"/>
        </w:rPr>
        <w:t xml:space="preserve">, </w:t>
      </w:r>
      <w:r w:rsidRPr="009E0F0D">
        <w:rPr>
          <w:b/>
          <w:bCs/>
        </w:rPr>
        <w:t>Ξ</w:t>
      </w:r>
      <w:r w:rsidRPr="009E0F0D">
        <w:rPr>
          <w:b/>
          <w:bCs/>
          <w:lang w:val="en-US"/>
        </w:rPr>
        <w:t xml:space="preserve">. </w:t>
      </w:r>
      <w:r w:rsidRPr="009E0F0D">
        <w:rPr>
          <w:b/>
          <w:bCs/>
        </w:rPr>
        <w:t>Κοντιάδη</w:t>
      </w:r>
      <w:r w:rsidRPr="009E0F0D">
        <w:rPr>
          <w:lang w:val="en-US"/>
        </w:rPr>
        <w:t xml:space="preserve">, </w:t>
      </w:r>
      <w:r w:rsidRPr="009E0F0D">
        <w:rPr>
          <w:b/>
          <w:bCs/>
        </w:rPr>
        <w:t>Χ</w:t>
      </w:r>
      <w:r w:rsidRPr="009E0F0D">
        <w:rPr>
          <w:b/>
          <w:bCs/>
          <w:lang w:val="en-US"/>
        </w:rPr>
        <w:t xml:space="preserve">. </w:t>
      </w:r>
      <w:r w:rsidRPr="009E0F0D">
        <w:rPr>
          <w:b/>
          <w:bCs/>
        </w:rPr>
        <w:t>Ανθόπουλου</w:t>
      </w:r>
      <w:r w:rsidRPr="009E0F0D">
        <w:rPr>
          <w:lang w:val="en-US"/>
        </w:rPr>
        <w:t xml:space="preserve">, </w:t>
      </w:r>
      <w:r w:rsidRPr="009E0F0D">
        <w:rPr>
          <w:i/>
          <w:iCs/>
        </w:rPr>
        <w:t>ό</w:t>
      </w:r>
      <w:r w:rsidRPr="009E0F0D">
        <w:rPr>
          <w:i/>
          <w:iCs/>
          <w:lang w:val="en-US"/>
        </w:rPr>
        <w:t>.</w:t>
      </w:r>
      <w:r w:rsidRPr="009E0F0D">
        <w:rPr>
          <w:i/>
          <w:iCs/>
        </w:rPr>
        <w:t>π</w:t>
      </w:r>
      <w:r w:rsidRPr="009E0F0D">
        <w:rPr>
          <w:i/>
          <w:iCs/>
          <w:lang w:val="en-US"/>
        </w:rPr>
        <w:t>.</w:t>
      </w:r>
      <w:r w:rsidRPr="009E0F0D">
        <w:rPr>
          <w:lang w:val="en-US"/>
        </w:rPr>
        <w:t xml:space="preserve">, </w:t>
      </w:r>
      <w:r w:rsidRPr="009E0F0D">
        <w:t>σελ</w:t>
      </w:r>
      <w:r w:rsidRPr="009E0F0D">
        <w:rPr>
          <w:lang w:val="en-US"/>
        </w:rPr>
        <w:t>. 70</w:t>
      </w:r>
      <w:r w:rsidRPr="00EC2361">
        <w:rPr>
          <w:lang w:val="en-US"/>
        </w:rPr>
        <w:t>3.</w:t>
      </w:r>
    </w:p>
  </w:footnote>
  <w:footnote w:id="66">
    <w:p w14:paraId="35A3CA24" w14:textId="77777777" w:rsidR="00F03602" w:rsidRPr="00BB742F" w:rsidRDefault="00F03602" w:rsidP="00C01604">
      <w:pPr>
        <w:pStyle w:val="a6"/>
        <w:rPr>
          <w:i/>
          <w:iCs/>
        </w:rPr>
      </w:pPr>
      <w:r>
        <w:rPr>
          <w:rStyle w:val="a7"/>
        </w:rPr>
        <w:footnoteRef/>
      </w:r>
      <w:r>
        <w:t xml:space="preserve"> ΕΔΔΑ </w:t>
      </w:r>
      <w:r>
        <w:rPr>
          <w:i/>
          <w:iCs/>
          <w:lang w:val="en-US"/>
        </w:rPr>
        <w:t>Burdov</w:t>
      </w:r>
      <w:r w:rsidRPr="00FC3C6C">
        <w:rPr>
          <w:i/>
          <w:iCs/>
        </w:rPr>
        <w:t xml:space="preserve"> </w:t>
      </w:r>
      <w:r>
        <w:rPr>
          <w:i/>
          <w:iCs/>
        </w:rPr>
        <w:t>κατά Ρωσίας</w:t>
      </w:r>
      <w:r w:rsidRPr="00FC3C6C">
        <w:t>, 15.01.2009, παρ. 96-97</w:t>
      </w:r>
      <w:r>
        <w:t xml:space="preserve">, </w:t>
      </w:r>
      <w:r>
        <w:rPr>
          <w:i/>
          <w:iCs/>
          <w:lang w:val="en-US"/>
        </w:rPr>
        <w:t>Kudla</w:t>
      </w:r>
      <w:r w:rsidRPr="00DF38FE">
        <w:rPr>
          <w:i/>
          <w:iCs/>
        </w:rPr>
        <w:t xml:space="preserve"> </w:t>
      </w:r>
      <w:r>
        <w:rPr>
          <w:i/>
          <w:iCs/>
        </w:rPr>
        <w:t>κατά Πολωνίας</w:t>
      </w:r>
      <w:r>
        <w:t>, 26.10.2000, παρ. 157</w:t>
      </w:r>
      <w:r w:rsidRPr="00FC3C6C">
        <w:t>.</w:t>
      </w:r>
    </w:p>
  </w:footnote>
  <w:footnote w:id="67">
    <w:p w14:paraId="2FAED829" w14:textId="6CBF80F8" w:rsidR="00F03602" w:rsidRPr="00FB12AE" w:rsidRDefault="00F03602">
      <w:pPr>
        <w:pStyle w:val="a6"/>
      </w:pPr>
      <w:r>
        <w:rPr>
          <w:rStyle w:val="a7"/>
        </w:rPr>
        <w:footnoteRef/>
      </w:r>
      <w:r w:rsidRPr="00FB12AE">
        <w:t xml:space="preserve"> </w:t>
      </w:r>
      <w:r>
        <w:t>ΕΔΔΑ</w:t>
      </w:r>
      <w:r w:rsidRPr="00FB12AE">
        <w:t xml:space="preserve"> </w:t>
      </w:r>
      <w:r w:rsidRPr="00CB0E8C">
        <w:rPr>
          <w:i/>
          <w:iCs/>
          <w:lang w:val="en-US"/>
        </w:rPr>
        <w:t>Kudla</w:t>
      </w:r>
      <w:r w:rsidRPr="00FB12AE">
        <w:rPr>
          <w:i/>
          <w:iCs/>
        </w:rPr>
        <w:t xml:space="preserve"> </w:t>
      </w:r>
      <w:r w:rsidRPr="00CB0E8C">
        <w:rPr>
          <w:i/>
          <w:iCs/>
        </w:rPr>
        <w:t>κατά</w:t>
      </w:r>
      <w:r w:rsidRPr="00FB12AE">
        <w:rPr>
          <w:i/>
          <w:iCs/>
        </w:rPr>
        <w:t xml:space="preserve"> </w:t>
      </w:r>
      <w:r w:rsidRPr="00CB0E8C">
        <w:rPr>
          <w:i/>
          <w:iCs/>
        </w:rPr>
        <w:t>Πολωνίας</w:t>
      </w:r>
      <w:r w:rsidRPr="00FB12AE">
        <w:t>, 26.10.2000.</w:t>
      </w:r>
    </w:p>
  </w:footnote>
  <w:footnote w:id="68">
    <w:p w14:paraId="2BBCC653" w14:textId="61B7508A" w:rsidR="00F03602" w:rsidRPr="00226D58" w:rsidRDefault="00F03602">
      <w:pPr>
        <w:pStyle w:val="a6"/>
        <w:rPr>
          <w:i/>
          <w:iCs/>
        </w:rPr>
      </w:pPr>
      <w:r>
        <w:rPr>
          <w:rStyle w:val="a7"/>
        </w:rPr>
        <w:footnoteRef/>
      </w:r>
      <w:r>
        <w:t xml:space="preserve"> ΕΔΔΑ </w:t>
      </w:r>
      <w:r w:rsidRPr="000A60AA">
        <w:rPr>
          <w:i/>
          <w:iCs/>
        </w:rPr>
        <w:t>Μιχελιουδάκης κατά Ελλάδας</w:t>
      </w:r>
      <w:r w:rsidRPr="000A60AA">
        <w:t>, 03.04.2012.</w:t>
      </w:r>
    </w:p>
  </w:footnote>
  <w:footnote w:id="69">
    <w:p w14:paraId="5EF58381" w14:textId="74EB441C" w:rsidR="00F03602" w:rsidRPr="00F42BED" w:rsidRDefault="00F03602">
      <w:pPr>
        <w:pStyle w:val="a6"/>
      </w:pPr>
      <w:r>
        <w:rPr>
          <w:rStyle w:val="a7"/>
        </w:rPr>
        <w:footnoteRef/>
      </w:r>
      <w:r>
        <w:t xml:space="preserve"> </w:t>
      </w:r>
      <w:r w:rsidRPr="00F42BED">
        <w:t xml:space="preserve">ΕΔΔΑ </w:t>
      </w:r>
      <w:r w:rsidRPr="00F42BED">
        <w:rPr>
          <w:i/>
          <w:iCs/>
        </w:rPr>
        <w:t>Γλύκαντζη κατά Ελλάδας</w:t>
      </w:r>
      <w:r>
        <w:rPr>
          <w:i/>
          <w:iCs/>
        </w:rPr>
        <w:t xml:space="preserve">, </w:t>
      </w:r>
      <w:r>
        <w:t>30.10.2012.</w:t>
      </w:r>
    </w:p>
  </w:footnote>
  <w:footnote w:id="70">
    <w:p w14:paraId="2F1E1078" w14:textId="68E68FF6" w:rsidR="00F03602" w:rsidRPr="00FB60D1" w:rsidRDefault="00F03602">
      <w:pPr>
        <w:pStyle w:val="a6"/>
      </w:pPr>
      <w:r w:rsidRPr="00F42BED">
        <w:rPr>
          <w:rStyle w:val="a7"/>
        </w:rPr>
        <w:footnoteRef/>
      </w:r>
      <w:r w:rsidRPr="00F42BED">
        <w:t xml:space="preserve"> ΕΔΔΑ </w:t>
      </w:r>
      <w:r w:rsidRPr="00F42BED">
        <w:rPr>
          <w:i/>
          <w:iCs/>
        </w:rPr>
        <w:t>Αθανασίου κατά Ελλάδας</w:t>
      </w:r>
      <w:r>
        <w:rPr>
          <w:i/>
          <w:iCs/>
        </w:rPr>
        <w:t>,</w:t>
      </w:r>
      <w:r>
        <w:t xml:space="preserve"> 01.06.2006. </w:t>
      </w:r>
    </w:p>
  </w:footnote>
  <w:footnote w:id="71">
    <w:p w14:paraId="731C5CDE" w14:textId="77156BFB" w:rsidR="00F03602" w:rsidRDefault="00F03602">
      <w:pPr>
        <w:pStyle w:val="a6"/>
      </w:pPr>
      <w:r>
        <w:rPr>
          <w:rStyle w:val="a7"/>
        </w:rPr>
        <w:footnoteRef/>
      </w:r>
      <w:r>
        <w:t xml:space="preserve"> ΕΔΔΑ </w:t>
      </w:r>
      <w:r w:rsidRPr="00FB60D1">
        <w:rPr>
          <w:i/>
          <w:iCs/>
          <w:lang w:val="en-US"/>
        </w:rPr>
        <w:t>M</w:t>
      </w:r>
      <w:r w:rsidRPr="00FB60D1">
        <w:rPr>
          <w:i/>
          <w:iCs/>
        </w:rPr>
        <w:t>.</w:t>
      </w:r>
      <w:r w:rsidRPr="00FB60D1">
        <w:rPr>
          <w:i/>
          <w:iCs/>
          <w:lang w:val="en-US"/>
        </w:rPr>
        <w:t>S</w:t>
      </w:r>
      <w:r w:rsidRPr="00FB60D1">
        <w:rPr>
          <w:i/>
          <w:iCs/>
        </w:rPr>
        <w:t>.</w:t>
      </w:r>
      <w:r w:rsidRPr="00FB60D1">
        <w:rPr>
          <w:i/>
          <w:iCs/>
          <w:lang w:val="en-US"/>
        </w:rPr>
        <w:t>S</w:t>
      </w:r>
      <w:r w:rsidRPr="00FB60D1">
        <w:rPr>
          <w:i/>
          <w:iCs/>
        </w:rPr>
        <w:t>. κατά Βελγίου και Ελλάδας</w:t>
      </w:r>
      <w:r w:rsidRPr="00EF42C5">
        <w:t>, 21.01.2010.</w:t>
      </w:r>
    </w:p>
  </w:footnote>
  <w:footnote w:id="72">
    <w:p w14:paraId="36E34C49" w14:textId="3A77A284" w:rsidR="00F03602" w:rsidRPr="00EF42C5" w:rsidRDefault="00F03602">
      <w:pPr>
        <w:pStyle w:val="a6"/>
      </w:pPr>
      <w:r>
        <w:rPr>
          <w:rStyle w:val="a7"/>
        </w:rPr>
        <w:footnoteRef/>
      </w:r>
      <w:r>
        <w:t xml:space="preserve"> ΕΔΔΑ </w:t>
      </w:r>
      <w:r w:rsidRPr="00EF42C5">
        <w:rPr>
          <w:i/>
          <w:iCs/>
        </w:rPr>
        <w:t>Λαυρεντιάδης κατά Ελλάδος</w:t>
      </w:r>
      <w:r>
        <w:rPr>
          <w:i/>
          <w:iCs/>
        </w:rPr>
        <w:t xml:space="preserve">, </w:t>
      </w:r>
      <w:r>
        <w:t>22.09.2015, παρ. 82.</w:t>
      </w:r>
    </w:p>
  </w:footnote>
  <w:footnote w:id="73">
    <w:p w14:paraId="0B0E3701" w14:textId="76BD3AF7" w:rsidR="00F03602" w:rsidRPr="006F4906" w:rsidRDefault="00F03602">
      <w:pPr>
        <w:pStyle w:val="a6"/>
        <w:rPr>
          <w:lang w:val="en-US"/>
        </w:rPr>
      </w:pPr>
      <w:r>
        <w:rPr>
          <w:rStyle w:val="a7"/>
        </w:rPr>
        <w:footnoteRef/>
      </w:r>
      <w:r w:rsidRPr="007D0E00">
        <w:rPr>
          <w:lang w:val="en-US"/>
        </w:rPr>
        <w:t xml:space="preserve"> </w:t>
      </w:r>
      <w:r w:rsidRPr="007D0E00">
        <w:rPr>
          <w:i/>
          <w:iCs/>
          <w:lang w:val="en-US"/>
        </w:rPr>
        <w:t>Guide on Article 13 of the European Convention of Human Rights, Right to an effective remedy</w:t>
      </w:r>
      <w:r w:rsidRPr="007D0E00">
        <w:rPr>
          <w:lang w:val="en-US"/>
        </w:rPr>
        <w:t xml:space="preserve">, European Court of Human Rights, 2022, </w:t>
      </w:r>
      <w:r w:rsidRPr="007D0E00">
        <w:t>παρ</w:t>
      </w:r>
      <w:r w:rsidRPr="007D0E00">
        <w:rPr>
          <w:lang w:val="en-US"/>
        </w:rPr>
        <w:t xml:space="preserve">. </w:t>
      </w:r>
      <w:r w:rsidRPr="006F4906">
        <w:rPr>
          <w:lang w:val="en-US"/>
        </w:rPr>
        <w:t>48.</w:t>
      </w:r>
    </w:p>
  </w:footnote>
  <w:footnote w:id="74">
    <w:p w14:paraId="05BF82B8" w14:textId="0CDE13CC" w:rsidR="00F03602" w:rsidRPr="0033420C" w:rsidRDefault="00F03602">
      <w:pPr>
        <w:pStyle w:val="a6"/>
      </w:pPr>
      <w:r>
        <w:rPr>
          <w:rStyle w:val="a7"/>
        </w:rPr>
        <w:footnoteRef/>
      </w:r>
      <w:r>
        <w:t xml:space="preserve"> ΕΔΔΑ </w:t>
      </w:r>
      <w:r>
        <w:rPr>
          <w:i/>
          <w:iCs/>
          <w:lang w:val="en-US"/>
        </w:rPr>
        <w:t>Burdov</w:t>
      </w:r>
      <w:r w:rsidRPr="008D05ED">
        <w:rPr>
          <w:i/>
          <w:iCs/>
        </w:rPr>
        <w:t xml:space="preserve"> </w:t>
      </w:r>
      <w:r>
        <w:rPr>
          <w:i/>
          <w:iCs/>
        </w:rPr>
        <w:t xml:space="preserve">κατά Ρωσίας, </w:t>
      </w:r>
      <w:r>
        <w:t>15.01.2009, παρ. 108-111.</w:t>
      </w:r>
    </w:p>
  </w:footnote>
  <w:footnote w:id="75">
    <w:p w14:paraId="768E974A" w14:textId="30D6DC8A" w:rsidR="00F03602" w:rsidRDefault="00F03602">
      <w:pPr>
        <w:pStyle w:val="a6"/>
      </w:pPr>
      <w:r>
        <w:rPr>
          <w:rStyle w:val="a7"/>
        </w:rPr>
        <w:footnoteRef/>
      </w:r>
      <w:r>
        <w:t xml:space="preserve"> </w:t>
      </w:r>
      <w:r w:rsidRPr="00260DB0">
        <w:rPr>
          <w:b/>
          <w:bCs/>
        </w:rPr>
        <w:t>Μ. Μαργαρίτης</w:t>
      </w:r>
      <w:r w:rsidRPr="00260DB0">
        <w:t xml:space="preserve">, </w:t>
      </w:r>
      <w:r w:rsidRPr="001E2711">
        <w:rPr>
          <w:i/>
        </w:rPr>
        <w:t>ό.π.</w:t>
      </w:r>
      <w:r w:rsidRPr="00260DB0">
        <w:t>, σελ. 40</w:t>
      </w:r>
      <w:r>
        <w:t>3.</w:t>
      </w:r>
    </w:p>
  </w:footnote>
  <w:footnote w:id="76">
    <w:p w14:paraId="7AF66AFA" w14:textId="074AC8D7" w:rsidR="00F03602" w:rsidRPr="007D3143" w:rsidRDefault="00F03602">
      <w:pPr>
        <w:pStyle w:val="a6"/>
      </w:pPr>
      <w:r>
        <w:rPr>
          <w:rStyle w:val="a7"/>
        </w:rPr>
        <w:footnoteRef/>
      </w:r>
      <w:r>
        <w:t xml:space="preserve"> ΕΔΔΑ </w:t>
      </w:r>
      <w:r w:rsidRPr="0003728E">
        <w:rPr>
          <w:i/>
          <w:iCs/>
          <w:lang w:val="en-US"/>
        </w:rPr>
        <w:t>M</w:t>
      </w:r>
      <w:r w:rsidRPr="0003728E">
        <w:rPr>
          <w:i/>
          <w:iCs/>
        </w:rPr>
        <w:t>.</w:t>
      </w:r>
      <w:r w:rsidRPr="0003728E">
        <w:rPr>
          <w:i/>
          <w:iCs/>
          <w:lang w:val="en-US"/>
        </w:rPr>
        <w:t>S</w:t>
      </w:r>
      <w:r w:rsidRPr="0003728E">
        <w:rPr>
          <w:i/>
          <w:iCs/>
        </w:rPr>
        <w:t>.</w:t>
      </w:r>
      <w:r w:rsidRPr="0003728E">
        <w:rPr>
          <w:i/>
          <w:iCs/>
          <w:lang w:val="en-US"/>
        </w:rPr>
        <w:t>S</w:t>
      </w:r>
      <w:r w:rsidRPr="0003728E">
        <w:rPr>
          <w:i/>
          <w:iCs/>
        </w:rPr>
        <w:t>. κατά Βελγίου και Ελλάδας</w:t>
      </w:r>
      <w:r>
        <w:t>, 21.01.2010, παρ. 386-390.</w:t>
      </w:r>
    </w:p>
  </w:footnote>
  <w:footnote w:id="77">
    <w:p w14:paraId="13DFB0CF" w14:textId="727FB162" w:rsidR="00F03602" w:rsidRDefault="00F03602">
      <w:pPr>
        <w:pStyle w:val="a6"/>
      </w:pPr>
      <w:r>
        <w:rPr>
          <w:rStyle w:val="a7"/>
        </w:rPr>
        <w:footnoteRef/>
      </w:r>
      <w:r>
        <w:t xml:space="preserve"> </w:t>
      </w:r>
      <w:r w:rsidRPr="00273137">
        <w:rPr>
          <w:b/>
          <w:bCs/>
        </w:rPr>
        <w:t>Β. Καψάλη</w:t>
      </w:r>
      <w:r w:rsidRPr="00273137">
        <w:t xml:space="preserve"> σε </w:t>
      </w:r>
      <w:r w:rsidRPr="00273137">
        <w:rPr>
          <w:b/>
          <w:bCs/>
        </w:rPr>
        <w:t>Ι. Σαρμά</w:t>
      </w:r>
      <w:r w:rsidRPr="00273137">
        <w:t xml:space="preserve">, </w:t>
      </w:r>
      <w:r w:rsidRPr="00273137">
        <w:rPr>
          <w:b/>
          <w:bCs/>
        </w:rPr>
        <w:t>Ξ. Κοντιάδη</w:t>
      </w:r>
      <w:r w:rsidRPr="00273137">
        <w:t xml:space="preserve">, </w:t>
      </w:r>
      <w:r w:rsidRPr="00273137">
        <w:rPr>
          <w:b/>
          <w:bCs/>
        </w:rPr>
        <w:t>Χ. Ανθόπουλου</w:t>
      </w:r>
      <w:r w:rsidRPr="00273137">
        <w:t xml:space="preserve">, </w:t>
      </w:r>
      <w:r w:rsidRPr="00273137">
        <w:rPr>
          <w:i/>
          <w:iCs/>
        </w:rPr>
        <w:t>ό.π.</w:t>
      </w:r>
      <w:r w:rsidRPr="00273137">
        <w:t>, σελ</w:t>
      </w:r>
      <w:r>
        <w:t>. 714.</w:t>
      </w:r>
    </w:p>
  </w:footnote>
  <w:footnote w:id="78">
    <w:p w14:paraId="1D6092AE" w14:textId="66FD96D9" w:rsidR="00F03602" w:rsidRDefault="00F03602">
      <w:pPr>
        <w:pStyle w:val="a6"/>
      </w:pPr>
      <w:r>
        <w:rPr>
          <w:rStyle w:val="a7"/>
        </w:rPr>
        <w:footnoteRef/>
      </w:r>
      <w:r>
        <w:t xml:space="preserve"> </w:t>
      </w:r>
      <w:r w:rsidRPr="001E2711">
        <w:rPr>
          <w:b/>
          <w:bCs/>
        </w:rPr>
        <w:t>Β. Καψάλη</w:t>
      </w:r>
      <w:r w:rsidRPr="001E2711">
        <w:t xml:space="preserve"> σε </w:t>
      </w:r>
      <w:r w:rsidRPr="001E2711">
        <w:rPr>
          <w:b/>
          <w:bCs/>
        </w:rPr>
        <w:t>Ι. Σαρμά</w:t>
      </w:r>
      <w:r w:rsidRPr="001E2711">
        <w:t xml:space="preserve">, </w:t>
      </w:r>
      <w:r w:rsidRPr="001E2711">
        <w:rPr>
          <w:b/>
          <w:bCs/>
        </w:rPr>
        <w:t>Ξ. Κοντιάδη</w:t>
      </w:r>
      <w:r w:rsidRPr="001E2711">
        <w:t xml:space="preserve">, </w:t>
      </w:r>
      <w:r w:rsidRPr="001E2711">
        <w:rPr>
          <w:b/>
          <w:bCs/>
        </w:rPr>
        <w:t>Χ. Ανθόπουλου</w:t>
      </w:r>
      <w:r w:rsidRPr="001E2711">
        <w:t xml:space="preserve">, </w:t>
      </w:r>
      <w:r w:rsidRPr="001E2711">
        <w:rPr>
          <w:i/>
          <w:iCs/>
        </w:rPr>
        <w:t>ό.π.</w:t>
      </w:r>
      <w:r w:rsidRPr="001E2711">
        <w:t>, σελ</w:t>
      </w:r>
      <w:r>
        <w:t>. 714.</w:t>
      </w:r>
    </w:p>
  </w:footnote>
  <w:footnote w:id="79">
    <w:p w14:paraId="1DF763AD" w14:textId="15AA6806" w:rsidR="00F03602" w:rsidRPr="0004482C" w:rsidRDefault="00F03602" w:rsidP="0004482C">
      <w:pPr>
        <w:pStyle w:val="a6"/>
      </w:pPr>
      <w:r>
        <w:rPr>
          <w:rStyle w:val="a7"/>
        </w:rPr>
        <w:footnoteRef/>
      </w:r>
      <w:r>
        <w:t xml:space="preserve"> </w:t>
      </w:r>
      <w:r w:rsidRPr="0004482C">
        <w:t xml:space="preserve">ΕΔΔΑ </w:t>
      </w:r>
      <w:r w:rsidRPr="0004482C">
        <w:rPr>
          <w:i/>
          <w:iCs/>
          <w:lang w:val="en-US"/>
        </w:rPr>
        <w:t>Silver</w:t>
      </w:r>
      <w:r w:rsidRPr="0004482C">
        <w:rPr>
          <w:i/>
          <w:iCs/>
        </w:rPr>
        <w:t xml:space="preserve"> και άλλοι κατά Ηνωμένου Βασιλείου</w:t>
      </w:r>
      <w:r w:rsidRPr="0004482C">
        <w:t>, 25.03.1983, παρ.</w:t>
      </w:r>
      <w:r>
        <w:t xml:space="preserve"> 110. </w:t>
      </w:r>
    </w:p>
  </w:footnote>
  <w:footnote w:id="80">
    <w:p w14:paraId="75E25D4B" w14:textId="4EB9BE01" w:rsidR="00F03602" w:rsidRPr="00884678" w:rsidRDefault="00F03602">
      <w:pPr>
        <w:pStyle w:val="a6"/>
      </w:pPr>
      <w:r>
        <w:rPr>
          <w:rStyle w:val="a7"/>
        </w:rPr>
        <w:footnoteRef/>
      </w:r>
      <w:r>
        <w:t xml:space="preserve"> ΕΔΔΑ </w:t>
      </w:r>
      <w:r w:rsidRPr="00884678">
        <w:rPr>
          <w:i/>
          <w:lang w:val="en-US"/>
        </w:rPr>
        <w:t>Kudla</w:t>
      </w:r>
      <w:r w:rsidRPr="00884678">
        <w:rPr>
          <w:i/>
        </w:rPr>
        <w:t xml:space="preserve"> κατά Πολωνίας</w:t>
      </w:r>
      <w:r>
        <w:t>, 26.10.2000, παρ. 147.</w:t>
      </w:r>
    </w:p>
  </w:footnote>
  <w:footnote w:id="81">
    <w:p w14:paraId="02676886" w14:textId="6556FD0A" w:rsidR="00F03602" w:rsidRDefault="00F03602">
      <w:pPr>
        <w:pStyle w:val="a6"/>
      </w:pPr>
      <w:r>
        <w:rPr>
          <w:rStyle w:val="a7"/>
        </w:rPr>
        <w:footnoteRef/>
      </w:r>
      <w:r>
        <w:t xml:space="preserve"> </w:t>
      </w:r>
      <w:r w:rsidRPr="00012B93">
        <w:t xml:space="preserve">ΕΔΔΑ </w:t>
      </w:r>
      <w:r w:rsidRPr="00012B93">
        <w:rPr>
          <w:i/>
        </w:rPr>
        <w:t>Kudla κατά Πολωνίας</w:t>
      </w:r>
      <w:r>
        <w:t xml:space="preserve">, 26.10.2000, παρ. 152, αναφορά στις παραδοχές της οποίας διαλαμβάνει και η ελληνικού ενδιαφέροντος υπόθεση </w:t>
      </w:r>
      <w:r w:rsidRPr="00F36677">
        <w:rPr>
          <w:i/>
        </w:rPr>
        <w:t>Ζαζάνης κατά Ελλάδας</w:t>
      </w:r>
      <w:r>
        <w:t>, 18.11.2004.</w:t>
      </w:r>
    </w:p>
  </w:footnote>
  <w:footnote w:id="82">
    <w:p w14:paraId="32B2EFC3" w14:textId="3B11A46E" w:rsidR="00F03602" w:rsidRPr="008E636A" w:rsidRDefault="00F03602" w:rsidP="008E636A">
      <w:pPr>
        <w:pStyle w:val="a6"/>
      </w:pPr>
      <w:r>
        <w:rPr>
          <w:rStyle w:val="a7"/>
        </w:rPr>
        <w:footnoteRef/>
      </w:r>
      <w:r>
        <w:t xml:space="preserve"> </w:t>
      </w:r>
      <w:r w:rsidRPr="008E636A">
        <w:rPr>
          <w:b/>
          <w:bCs/>
        </w:rPr>
        <w:t>Β. Καψάλη</w:t>
      </w:r>
      <w:r w:rsidRPr="008E636A">
        <w:t xml:space="preserve"> σε </w:t>
      </w:r>
      <w:r w:rsidRPr="008E636A">
        <w:rPr>
          <w:b/>
          <w:bCs/>
        </w:rPr>
        <w:t>Ι. Σαρμά</w:t>
      </w:r>
      <w:r w:rsidRPr="008E636A">
        <w:t xml:space="preserve">, </w:t>
      </w:r>
      <w:r w:rsidRPr="008E636A">
        <w:rPr>
          <w:b/>
          <w:bCs/>
        </w:rPr>
        <w:t>Ξ. Κοντιάδη</w:t>
      </w:r>
      <w:r w:rsidRPr="008E636A">
        <w:t xml:space="preserve">, </w:t>
      </w:r>
      <w:r w:rsidRPr="008E636A">
        <w:rPr>
          <w:b/>
          <w:bCs/>
        </w:rPr>
        <w:t>Χ. Ανθόπουλου</w:t>
      </w:r>
      <w:r w:rsidRPr="008E636A">
        <w:t xml:space="preserve">, </w:t>
      </w:r>
      <w:r w:rsidRPr="008E636A">
        <w:rPr>
          <w:i/>
          <w:iCs/>
        </w:rPr>
        <w:t>ό.π.</w:t>
      </w:r>
      <w:r w:rsidRPr="008E636A">
        <w:t>, σελ</w:t>
      </w:r>
      <w:r>
        <w:t>. 715</w:t>
      </w:r>
      <w:r w:rsidRPr="008E636A">
        <w:t>.</w:t>
      </w:r>
    </w:p>
    <w:p w14:paraId="422C94B9" w14:textId="477AE932" w:rsidR="00F03602" w:rsidRDefault="00F03602">
      <w:pPr>
        <w:pStyle w:val="a6"/>
      </w:pPr>
    </w:p>
  </w:footnote>
  <w:footnote w:id="83">
    <w:p w14:paraId="6BC30C64" w14:textId="7FF95D59" w:rsidR="00F03602" w:rsidRDefault="00F03602">
      <w:pPr>
        <w:pStyle w:val="a6"/>
      </w:pPr>
      <w:r>
        <w:rPr>
          <w:rStyle w:val="a7"/>
        </w:rPr>
        <w:footnoteRef/>
      </w:r>
      <w:r>
        <w:t xml:space="preserve"> </w:t>
      </w:r>
      <w:r w:rsidRPr="00A409F6">
        <w:rPr>
          <w:b/>
          <w:bCs/>
        </w:rPr>
        <w:t>Ε. Μίχα</w:t>
      </w:r>
      <w:r w:rsidRPr="00A409F6">
        <w:t xml:space="preserve"> σε </w:t>
      </w:r>
      <w:r w:rsidRPr="00A409F6">
        <w:rPr>
          <w:b/>
          <w:bCs/>
        </w:rPr>
        <w:t>Λ. Σισιλιάνου</w:t>
      </w:r>
      <w:r w:rsidRPr="00A409F6">
        <w:t xml:space="preserve">, </w:t>
      </w:r>
      <w:r w:rsidRPr="00A409F6">
        <w:rPr>
          <w:i/>
          <w:iCs/>
        </w:rPr>
        <w:t>ό.π.</w:t>
      </w:r>
      <w:r>
        <w:t>, σελ. 581 επ.</w:t>
      </w:r>
    </w:p>
  </w:footnote>
  <w:footnote w:id="84">
    <w:p w14:paraId="74853168" w14:textId="7B3E3EE0" w:rsidR="00F03602" w:rsidRDefault="00F03602">
      <w:pPr>
        <w:pStyle w:val="a6"/>
      </w:pPr>
      <w:r>
        <w:rPr>
          <w:rStyle w:val="a7"/>
        </w:rPr>
        <w:footnoteRef/>
      </w:r>
      <w:r>
        <w:t xml:space="preserve"> ΕΔΔΑ </w:t>
      </w:r>
      <w:r w:rsidRPr="00513537">
        <w:rPr>
          <w:i/>
        </w:rPr>
        <w:t>Αθανασίου κατά Ελλάδας</w:t>
      </w:r>
      <w:r>
        <w:t>, 01.06.2006, παρ. 19-21.</w:t>
      </w:r>
    </w:p>
  </w:footnote>
  <w:footnote w:id="85">
    <w:p w14:paraId="1C6A790C" w14:textId="144D6044" w:rsidR="00F03602" w:rsidRDefault="00F03602">
      <w:pPr>
        <w:pStyle w:val="a6"/>
      </w:pPr>
      <w:r>
        <w:rPr>
          <w:rStyle w:val="a7"/>
        </w:rPr>
        <w:footnoteRef/>
      </w:r>
      <w:r>
        <w:t xml:space="preserve"> </w:t>
      </w:r>
      <w:r w:rsidRPr="00513537">
        <w:t xml:space="preserve">ΕΔΔΑ </w:t>
      </w:r>
      <w:r w:rsidRPr="00513537">
        <w:rPr>
          <w:i/>
        </w:rPr>
        <w:t>Αθανασίου κατά Ελλάδας</w:t>
      </w:r>
      <w:r>
        <w:rPr>
          <w:i/>
        </w:rPr>
        <w:t xml:space="preserve">, </w:t>
      </w:r>
      <w:r w:rsidRPr="00513537">
        <w:t>21.12.2010.</w:t>
      </w:r>
    </w:p>
  </w:footnote>
  <w:footnote w:id="86">
    <w:p w14:paraId="3412C9B8" w14:textId="4A5CA738" w:rsidR="00F03602" w:rsidRPr="00E5396A" w:rsidRDefault="00F03602">
      <w:pPr>
        <w:pStyle w:val="a6"/>
      </w:pPr>
      <w:r>
        <w:rPr>
          <w:rStyle w:val="a7"/>
        </w:rPr>
        <w:footnoteRef/>
      </w:r>
      <w:r>
        <w:t xml:space="preserve"> ΕΔΔΑ </w:t>
      </w:r>
      <w:r>
        <w:rPr>
          <w:i/>
        </w:rPr>
        <w:t xml:space="preserve">Μιχελιουδάκης κατά Ελλάδας, </w:t>
      </w:r>
      <w:r>
        <w:t>03.04.2012.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DC"/>
    <w:rsid w:val="00001A6C"/>
    <w:rsid w:val="000020C3"/>
    <w:rsid w:val="00006594"/>
    <w:rsid w:val="0000716F"/>
    <w:rsid w:val="00011ABC"/>
    <w:rsid w:val="00012945"/>
    <w:rsid w:val="00012B93"/>
    <w:rsid w:val="0001426C"/>
    <w:rsid w:val="00014677"/>
    <w:rsid w:val="000210BA"/>
    <w:rsid w:val="000220F1"/>
    <w:rsid w:val="000238F3"/>
    <w:rsid w:val="000263FE"/>
    <w:rsid w:val="000302F7"/>
    <w:rsid w:val="00030506"/>
    <w:rsid w:val="000305A9"/>
    <w:rsid w:val="00033828"/>
    <w:rsid w:val="00033F4C"/>
    <w:rsid w:val="000368D8"/>
    <w:rsid w:val="0003728E"/>
    <w:rsid w:val="00040C2A"/>
    <w:rsid w:val="00043575"/>
    <w:rsid w:val="0004482C"/>
    <w:rsid w:val="00045BDD"/>
    <w:rsid w:val="00054672"/>
    <w:rsid w:val="00054ECC"/>
    <w:rsid w:val="00055CE1"/>
    <w:rsid w:val="000618DF"/>
    <w:rsid w:val="00062150"/>
    <w:rsid w:val="00063B70"/>
    <w:rsid w:val="000703A4"/>
    <w:rsid w:val="00073554"/>
    <w:rsid w:val="0007401B"/>
    <w:rsid w:val="00080F34"/>
    <w:rsid w:val="00081803"/>
    <w:rsid w:val="00083820"/>
    <w:rsid w:val="00086294"/>
    <w:rsid w:val="0009388B"/>
    <w:rsid w:val="00093F31"/>
    <w:rsid w:val="00094DC8"/>
    <w:rsid w:val="000966F9"/>
    <w:rsid w:val="000A60AA"/>
    <w:rsid w:val="000A68CF"/>
    <w:rsid w:val="000B1FF7"/>
    <w:rsid w:val="000C19CB"/>
    <w:rsid w:val="000C1B39"/>
    <w:rsid w:val="000C2B7F"/>
    <w:rsid w:val="000C2DA4"/>
    <w:rsid w:val="000C5DAF"/>
    <w:rsid w:val="000D181E"/>
    <w:rsid w:val="000D319C"/>
    <w:rsid w:val="000D5717"/>
    <w:rsid w:val="000D5EAD"/>
    <w:rsid w:val="000D6CFB"/>
    <w:rsid w:val="000D6D49"/>
    <w:rsid w:val="000D7B9D"/>
    <w:rsid w:val="000E1BC7"/>
    <w:rsid w:val="000E1C57"/>
    <w:rsid w:val="000E4D7C"/>
    <w:rsid w:val="000F1E38"/>
    <w:rsid w:val="000F31C8"/>
    <w:rsid w:val="000F7F82"/>
    <w:rsid w:val="00100061"/>
    <w:rsid w:val="0010035B"/>
    <w:rsid w:val="00100D4B"/>
    <w:rsid w:val="00102F16"/>
    <w:rsid w:val="00107677"/>
    <w:rsid w:val="001076E5"/>
    <w:rsid w:val="00110BD6"/>
    <w:rsid w:val="001161D4"/>
    <w:rsid w:val="001214C5"/>
    <w:rsid w:val="00121C90"/>
    <w:rsid w:val="00122030"/>
    <w:rsid w:val="00123C1D"/>
    <w:rsid w:val="0013275C"/>
    <w:rsid w:val="00137799"/>
    <w:rsid w:val="00140CB3"/>
    <w:rsid w:val="00142736"/>
    <w:rsid w:val="001432FD"/>
    <w:rsid w:val="00144885"/>
    <w:rsid w:val="00145B60"/>
    <w:rsid w:val="00150432"/>
    <w:rsid w:val="00151A86"/>
    <w:rsid w:val="00151CEA"/>
    <w:rsid w:val="001528FF"/>
    <w:rsid w:val="00152CB9"/>
    <w:rsid w:val="00153573"/>
    <w:rsid w:val="001568F1"/>
    <w:rsid w:val="00160CE5"/>
    <w:rsid w:val="00163F50"/>
    <w:rsid w:val="00166244"/>
    <w:rsid w:val="001670D0"/>
    <w:rsid w:val="00171806"/>
    <w:rsid w:val="00171EA5"/>
    <w:rsid w:val="00172083"/>
    <w:rsid w:val="00177C6A"/>
    <w:rsid w:val="0018085D"/>
    <w:rsid w:val="00180CA3"/>
    <w:rsid w:val="00185A20"/>
    <w:rsid w:val="00186708"/>
    <w:rsid w:val="00186DBC"/>
    <w:rsid w:val="00192030"/>
    <w:rsid w:val="00193303"/>
    <w:rsid w:val="001943F5"/>
    <w:rsid w:val="00195076"/>
    <w:rsid w:val="0019744D"/>
    <w:rsid w:val="00197E26"/>
    <w:rsid w:val="001A1227"/>
    <w:rsid w:val="001A6D92"/>
    <w:rsid w:val="001A7BA2"/>
    <w:rsid w:val="001B1873"/>
    <w:rsid w:val="001B2950"/>
    <w:rsid w:val="001B798F"/>
    <w:rsid w:val="001C08EF"/>
    <w:rsid w:val="001C3B35"/>
    <w:rsid w:val="001C3B76"/>
    <w:rsid w:val="001D17F0"/>
    <w:rsid w:val="001D6197"/>
    <w:rsid w:val="001D6C36"/>
    <w:rsid w:val="001D7DA1"/>
    <w:rsid w:val="001E2453"/>
    <w:rsid w:val="001E2711"/>
    <w:rsid w:val="001E2F9B"/>
    <w:rsid w:val="001E5C7E"/>
    <w:rsid w:val="001F09F6"/>
    <w:rsid w:val="001F1D5A"/>
    <w:rsid w:val="001F3B65"/>
    <w:rsid w:val="00200C59"/>
    <w:rsid w:val="002019A0"/>
    <w:rsid w:val="002067F3"/>
    <w:rsid w:val="002068A3"/>
    <w:rsid w:val="00210CE2"/>
    <w:rsid w:val="0021427D"/>
    <w:rsid w:val="00215008"/>
    <w:rsid w:val="002158C4"/>
    <w:rsid w:val="00222CAF"/>
    <w:rsid w:val="00223045"/>
    <w:rsid w:val="0022559B"/>
    <w:rsid w:val="00226D58"/>
    <w:rsid w:val="002437CE"/>
    <w:rsid w:val="00245952"/>
    <w:rsid w:val="002500AF"/>
    <w:rsid w:val="0025217F"/>
    <w:rsid w:val="00260DB0"/>
    <w:rsid w:val="0026113A"/>
    <w:rsid w:val="002644E7"/>
    <w:rsid w:val="00272833"/>
    <w:rsid w:val="00273137"/>
    <w:rsid w:val="002774D1"/>
    <w:rsid w:val="00282140"/>
    <w:rsid w:val="002834A1"/>
    <w:rsid w:val="002849E8"/>
    <w:rsid w:val="00287758"/>
    <w:rsid w:val="00294043"/>
    <w:rsid w:val="002A2ACB"/>
    <w:rsid w:val="002A6125"/>
    <w:rsid w:val="002A6951"/>
    <w:rsid w:val="002B6E30"/>
    <w:rsid w:val="002B7F11"/>
    <w:rsid w:val="002C0A2A"/>
    <w:rsid w:val="002C4F37"/>
    <w:rsid w:val="002D026E"/>
    <w:rsid w:val="002D1896"/>
    <w:rsid w:val="002D31A8"/>
    <w:rsid w:val="002D3CA8"/>
    <w:rsid w:val="002E170F"/>
    <w:rsid w:val="002E3C23"/>
    <w:rsid w:val="002E615D"/>
    <w:rsid w:val="002F098F"/>
    <w:rsid w:val="002F11E6"/>
    <w:rsid w:val="002F13FD"/>
    <w:rsid w:val="002F2569"/>
    <w:rsid w:val="002F31DC"/>
    <w:rsid w:val="002F611B"/>
    <w:rsid w:val="002F63C2"/>
    <w:rsid w:val="002F7CDD"/>
    <w:rsid w:val="00302D05"/>
    <w:rsid w:val="00305438"/>
    <w:rsid w:val="00305B25"/>
    <w:rsid w:val="00321CA9"/>
    <w:rsid w:val="00322159"/>
    <w:rsid w:val="00324C5B"/>
    <w:rsid w:val="003263A9"/>
    <w:rsid w:val="00331353"/>
    <w:rsid w:val="00331F4D"/>
    <w:rsid w:val="0033420C"/>
    <w:rsid w:val="00334AE4"/>
    <w:rsid w:val="00334F7B"/>
    <w:rsid w:val="00337BE5"/>
    <w:rsid w:val="00340FF1"/>
    <w:rsid w:val="00342CA2"/>
    <w:rsid w:val="003430DC"/>
    <w:rsid w:val="0034310E"/>
    <w:rsid w:val="00343970"/>
    <w:rsid w:val="00345B18"/>
    <w:rsid w:val="003465E9"/>
    <w:rsid w:val="00347173"/>
    <w:rsid w:val="003517B0"/>
    <w:rsid w:val="0035257F"/>
    <w:rsid w:val="00352683"/>
    <w:rsid w:val="00353948"/>
    <w:rsid w:val="00362D1D"/>
    <w:rsid w:val="003631D4"/>
    <w:rsid w:val="00363DE0"/>
    <w:rsid w:val="003647BA"/>
    <w:rsid w:val="00367D95"/>
    <w:rsid w:val="00370FED"/>
    <w:rsid w:val="0037183F"/>
    <w:rsid w:val="003722B7"/>
    <w:rsid w:val="0037660D"/>
    <w:rsid w:val="00377497"/>
    <w:rsid w:val="003854D6"/>
    <w:rsid w:val="00391E6A"/>
    <w:rsid w:val="003959A8"/>
    <w:rsid w:val="003A0ADA"/>
    <w:rsid w:val="003A212D"/>
    <w:rsid w:val="003A37AA"/>
    <w:rsid w:val="003A413D"/>
    <w:rsid w:val="003A5EB9"/>
    <w:rsid w:val="003B1453"/>
    <w:rsid w:val="003B2EF4"/>
    <w:rsid w:val="003C13E0"/>
    <w:rsid w:val="003C284B"/>
    <w:rsid w:val="003C3AF8"/>
    <w:rsid w:val="003C4353"/>
    <w:rsid w:val="003C5537"/>
    <w:rsid w:val="003C6DAF"/>
    <w:rsid w:val="003D0694"/>
    <w:rsid w:val="003D4B3F"/>
    <w:rsid w:val="003D771C"/>
    <w:rsid w:val="003E015C"/>
    <w:rsid w:val="003E08BF"/>
    <w:rsid w:val="003E0D8B"/>
    <w:rsid w:val="003E1637"/>
    <w:rsid w:val="003E5967"/>
    <w:rsid w:val="003F1465"/>
    <w:rsid w:val="003F2997"/>
    <w:rsid w:val="003F464C"/>
    <w:rsid w:val="003F5B9F"/>
    <w:rsid w:val="003F7A86"/>
    <w:rsid w:val="00401413"/>
    <w:rsid w:val="00403128"/>
    <w:rsid w:val="00410264"/>
    <w:rsid w:val="00412AA5"/>
    <w:rsid w:val="00414BF9"/>
    <w:rsid w:val="0041640D"/>
    <w:rsid w:val="0041732C"/>
    <w:rsid w:val="00417816"/>
    <w:rsid w:val="00420656"/>
    <w:rsid w:val="00422F1B"/>
    <w:rsid w:val="00430290"/>
    <w:rsid w:val="00430CF6"/>
    <w:rsid w:val="00433AE1"/>
    <w:rsid w:val="00436F87"/>
    <w:rsid w:val="00437C28"/>
    <w:rsid w:val="00440489"/>
    <w:rsid w:val="004419DC"/>
    <w:rsid w:val="00443EC9"/>
    <w:rsid w:val="0044493E"/>
    <w:rsid w:val="00445918"/>
    <w:rsid w:val="00447C2D"/>
    <w:rsid w:val="00447EDE"/>
    <w:rsid w:val="0045049B"/>
    <w:rsid w:val="00451518"/>
    <w:rsid w:val="00451AC7"/>
    <w:rsid w:val="00455520"/>
    <w:rsid w:val="00455552"/>
    <w:rsid w:val="004567C0"/>
    <w:rsid w:val="00463F00"/>
    <w:rsid w:val="004671E2"/>
    <w:rsid w:val="00471FBA"/>
    <w:rsid w:val="0047253E"/>
    <w:rsid w:val="00472E6C"/>
    <w:rsid w:val="00474DE4"/>
    <w:rsid w:val="004752CD"/>
    <w:rsid w:val="00481750"/>
    <w:rsid w:val="00482161"/>
    <w:rsid w:val="00482E17"/>
    <w:rsid w:val="00485841"/>
    <w:rsid w:val="0048653F"/>
    <w:rsid w:val="004875A8"/>
    <w:rsid w:val="004922B7"/>
    <w:rsid w:val="00493E82"/>
    <w:rsid w:val="00495D0E"/>
    <w:rsid w:val="004978D5"/>
    <w:rsid w:val="004A2D42"/>
    <w:rsid w:val="004A642F"/>
    <w:rsid w:val="004B2529"/>
    <w:rsid w:val="004B4130"/>
    <w:rsid w:val="004B79E4"/>
    <w:rsid w:val="004B7E7A"/>
    <w:rsid w:val="004C04CE"/>
    <w:rsid w:val="004C738C"/>
    <w:rsid w:val="004D4862"/>
    <w:rsid w:val="004D49EC"/>
    <w:rsid w:val="004D6E4F"/>
    <w:rsid w:val="004E3397"/>
    <w:rsid w:val="004E4040"/>
    <w:rsid w:val="004F573C"/>
    <w:rsid w:val="004F7154"/>
    <w:rsid w:val="00502503"/>
    <w:rsid w:val="00504440"/>
    <w:rsid w:val="00506B4E"/>
    <w:rsid w:val="00506C60"/>
    <w:rsid w:val="005075D1"/>
    <w:rsid w:val="00513537"/>
    <w:rsid w:val="00513D66"/>
    <w:rsid w:val="00517335"/>
    <w:rsid w:val="00520C9A"/>
    <w:rsid w:val="00522476"/>
    <w:rsid w:val="005227D4"/>
    <w:rsid w:val="005236C4"/>
    <w:rsid w:val="00523C3C"/>
    <w:rsid w:val="0052407A"/>
    <w:rsid w:val="005263BB"/>
    <w:rsid w:val="00527D7A"/>
    <w:rsid w:val="00530A24"/>
    <w:rsid w:val="00532B04"/>
    <w:rsid w:val="005444E3"/>
    <w:rsid w:val="00547718"/>
    <w:rsid w:val="005549B8"/>
    <w:rsid w:val="00555CCF"/>
    <w:rsid w:val="0056002D"/>
    <w:rsid w:val="00562012"/>
    <w:rsid w:val="005624BA"/>
    <w:rsid w:val="005635D9"/>
    <w:rsid w:val="00563DD3"/>
    <w:rsid w:val="00564179"/>
    <w:rsid w:val="005642CF"/>
    <w:rsid w:val="005728CB"/>
    <w:rsid w:val="00575717"/>
    <w:rsid w:val="0057634D"/>
    <w:rsid w:val="00580234"/>
    <w:rsid w:val="00580CFC"/>
    <w:rsid w:val="00581CD8"/>
    <w:rsid w:val="00585190"/>
    <w:rsid w:val="00593C60"/>
    <w:rsid w:val="00597C3B"/>
    <w:rsid w:val="00597C55"/>
    <w:rsid w:val="00597D66"/>
    <w:rsid w:val="005A4366"/>
    <w:rsid w:val="005A7311"/>
    <w:rsid w:val="005B073B"/>
    <w:rsid w:val="005C08EF"/>
    <w:rsid w:val="005C24EF"/>
    <w:rsid w:val="005C5A39"/>
    <w:rsid w:val="005D24A7"/>
    <w:rsid w:val="005D2538"/>
    <w:rsid w:val="005D26F3"/>
    <w:rsid w:val="005D2C26"/>
    <w:rsid w:val="005E076A"/>
    <w:rsid w:val="005E1A30"/>
    <w:rsid w:val="005E29BC"/>
    <w:rsid w:val="005E758E"/>
    <w:rsid w:val="005F38F8"/>
    <w:rsid w:val="005F5293"/>
    <w:rsid w:val="005F55C6"/>
    <w:rsid w:val="005F5A85"/>
    <w:rsid w:val="005F7457"/>
    <w:rsid w:val="00600747"/>
    <w:rsid w:val="00605AA6"/>
    <w:rsid w:val="00605F95"/>
    <w:rsid w:val="00611E77"/>
    <w:rsid w:val="00613257"/>
    <w:rsid w:val="00613F34"/>
    <w:rsid w:val="00615524"/>
    <w:rsid w:val="00615AC9"/>
    <w:rsid w:val="0061784A"/>
    <w:rsid w:val="00617C27"/>
    <w:rsid w:val="00620C0E"/>
    <w:rsid w:val="00622E4E"/>
    <w:rsid w:val="00624186"/>
    <w:rsid w:val="0062595E"/>
    <w:rsid w:val="00627358"/>
    <w:rsid w:val="00632163"/>
    <w:rsid w:val="006329A7"/>
    <w:rsid w:val="00635B34"/>
    <w:rsid w:val="006418F8"/>
    <w:rsid w:val="006419A6"/>
    <w:rsid w:val="006459A7"/>
    <w:rsid w:val="00652309"/>
    <w:rsid w:val="00652A5D"/>
    <w:rsid w:val="00653F10"/>
    <w:rsid w:val="006554C7"/>
    <w:rsid w:val="00655CEA"/>
    <w:rsid w:val="006565CA"/>
    <w:rsid w:val="006566FA"/>
    <w:rsid w:val="0065690F"/>
    <w:rsid w:val="00657CBA"/>
    <w:rsid w:val="00666E60"/>
    <w:rsid w:val="00672A0E"/>
    <w:rsid w:val="00674AC8"/>
    <w:rsid w:val="00675404"/>
    <w:rsid w:val="00675751"/>
    <w:rsid w:val="00675EA7"/>
    <w:rsid w:val="00677483"/>
    <w:rsid w:val="00677644"/>
    <w:rsid w:val="006864A0"/>
    <w:rsid w:val="006864B6"/>
    <w:rsid w:val="00690A83"/>
    <w:rsid w:val="00692A66"/>
    <w:rsid w:val="00692B3E"/>
    <w:rsid w:val="00695E6C"/>
    <w:rsid w:val="006A05DC"/>
    <w:rsid w:val="006A3EE6"/>
    <w:rsid w:val="006A498C"/>
    <w:rsid w:val="006B1212"/>
    <w:rsid w:val="006B18FA"/>
    <w:rsid w:val="006B486E"/>
    <w:rsid w:val="006B56A9"/>
    <w:rsid w:val="006B659A"/>
    <w:rsid w:val="006C0B4C"/>
    <w:rsid w:val="006C1206"/>
    <w:rsid w:val="006C22B0"/>
    <w:rsid w:val="006C2636"/>
    <w:rsid w:val="006C2EF5"/>
    <w:rsid w:val="006C6B8C"/>
    <w:rsid w:val="006D4E6D"/>
    <w:rsid w:val="006D62F4"/>
    <w:rsid w:val="006D7778"/>
    <w:rsid w:val="006E18A3"/>
    <w:rsid w:val="006E237D"/>
    <w:rsid w:val="006E29DB"/>
    <w:rsid w:val="006E3701"/>
    <w:rsid w:val="006F34F3"/>
    <w:rsid w:val="006F359F"/>
    <w:rsid w:val="006F486E"/>
    <w:rsid w:val="006F4906"/>
    <w:rsid w:val="006F616F"/>
    <w:rsid w:val="006F6494"/>
    <w:rsid w:val="006F6C85"/>
    <w:rsid w:val="006F7B0F"/>
    <w:rsid w:val="007039B1"/>
    <w:rsid w:val="00704BD8"/>
    <w:rsid w:val="00710AC3"/>
    <w:rsid w:val="00711223"/>
    <w:rsid w:val="00712913"/>
    <w:rsid w:val="007205F2"/>
    <w:rsid w:val="00720D61"/>
    <w:rsid w:val="007236EF"/>
    <w:rsid w:val="00723D94"/>
    <w:rsid w:val="00735E8B"/>
    <w:rsid w:val="00740377"/>
    <w:rsid w:val="00747101"/>
    <w:rsid w:val="00747354"/>
    <w:rsid w:val="007533BD"/>
    <w:rsid w:val="00754771"/>
    <w:rsid w:val="00754EFB"/>
    <w:rsid w:val="0075552A"/>
    <w:rsid w:val="007575EE"/>
    <w:rsid w:val="0076115D"/>
    <w:rsid w:val="00761C5D"/>
    <w:rsid w:val="0076473F"/>
    <w:rsid w:val="0076530F"/>
    <w:rsid w:val="0076675E"/>
    <w:rsid w:val="0076715E"/>
    <w:rsid w:val="007700BE"/>
    <w:rsid w:val="00772355"/>
    <w:rsid w:val="00782E17"/>
    <w:rsid w:val="0078309B"/>
    <w:rsid w:val="007839E3"/>
    <w:rsid w:val="00783A92"/>
    <w:rsid w:val="00791D6B"/>
    <w:rsid w:val="007A2991"/>
    <w:rsid w:val="007A7414"/>
    <w:rsid w:val="007B3160"/>
    <w:rsid w:val="007B439C"/>
    <w:rsid w:val="007B4F92"/>
    <w:rsid w:val="007B699B"/>
    <w:rsid w:val="007C57DE"/>
    <w:rsid w:val="007D0B64"/>
    <w:rsid w:val="007D0E00"/>
    <w:rsid w:val="007D156E"/>
    <w:rsid w:val="007D2C9A"/>
    <w:rsid w:val="007D3143"/>
    <w:rsid w:val="007D3456"/>
    <w:rsid w:val="007D3A56"/>
    <w:rsid w:val="007D624C"/>
    <w:rsid w:val="007E06D4"/>
    <w:rsid w:val="007E0844"/>
    <w:rsid w:val="007E46B7"/>
    <w:rsid w:val="007E4EF7"/>
    <w:rsid w:val="007E54F2"/>
    <w:rsid w:val="007E5630"/>
    <w:rsid w:val="007E7165"/>
    <w:rsid w:val="007F254E"/>
    <w:rsid w:val="007F26BF"/>
    <w:rsid w:val="00801964"/>
    <w:rsid w:val="00806DB4"/>
    <w:rsid w:val="00807A71"/>
    <w:rsid w:val="00813BFD"/>
    <w:rsid w:val="00813DE3"/>
    <w:rsid w:val="00814459"/>
    <w:rsid w:val="00815BC5"/>
    <w:rsid w:val="00817386"/>
    <w:rsid w:val="00823202"/>
    <w:rsid w:val="00824DCB"/>
    <w:rsid w:val="00830E8C"/>
    <w:rsid w:val="008333AC"/>
    <w:rsid w:val="00833621"/>
    <w:rsid w:val="00835371"/>
    <w:rsid w:val="0084179A"/>
    <w:rsid w:val="00841AA5"/>
    <w:rsid w:val="0084429A"/>
    <w:rsid w:val="00845732"/>
    <w:rsid w:val="00845A4B"/>
    <w:rsid w:val="008510D1"/>
    <w:rsid w:val="00851773"/>
    <w:rsid w:val="008528AB"/>
    <w:rsid w:val="00860E76"/>
    <w:rsid w:val="008612B7"/>
    <w:rsid w:val="008632EA"/>
    <w:rsid w:val="008673F0"/>
    <w:rsid w:val="008701F7"/>
    <w:rsid w:val="008754E0"/>
    <w:rsid w:val="00880853"/>
    <w:rsid w:val="00882D3A"/>
    <w:rsid w:val="00884678"/>
    <w:rsid w:val="00885ACF"/>
    <w:rsid w:val="00887286"/>
    <w:rsid w:val="00887FC6"/>
    <w:rsid w:val="00892715"/>
    <w:rsid w:val="00896740"/>
    <w:rsid w:val="00897632"/>
    <w:rsid w:val="008A2B80"/>
    <w:rsid w:val="008A35ED"/>
    <w:rsid w:val="008A3A1E"/>
    <w:rsid w:val="008A5DA9"/>
    <w:rsid w:val="008A660D"/>
    <w:rsid w:val="008A777B"/>
    <w:rsid w:val="008B15B8"/>
    <w:rsid w:val="008B1927"/>
    <w:rsid w:val="008B2FD5"/>
    <w:rsid w:val="008B3B65"/>
    <w:rsid w:val="008B4AC7"/>
    <w:rsid w:val="008B78EA"/>
    <w:rsid w:val="008B79B8"/>
    <w:rsid w:val="008C35FC"/>
    <w:rsid w:val="008C4DBD"/>
    <w:rsid w:val="008C7DBE"/>
    <w:rsid w:val="008D05ED"/>
    <w:rsid w:val="008D555C"/>
    <w:rsid w:val="008E006D"/>
    <w:rsid w:val="008E0B34"/>
    <w:rsid w:val="008E0BBA"/>
    <w:rsid w:val="008E251F"/>
    <w:rsid w:val="008E5AC2"/>
    <w:rsid w:val="008E636A"/>
    <w:rsid w:val="008F02AB"/>
    <w:rsid w:val="008F2C45"/>
    <w:rsid w:val="008F2D3C"/>
    <w:rsid w:val="0090152D"/>
    <w:rsid w:val="0090292F"/>
    <w:rsid w:val="00904D00"/>
    <w:rsid w:val="0090642D"/>
    <w:rsid w:val="0091150F"/>
    <w:rsid w:val="0091230D"/>
    <w:rsid w:val="0091245A"/>
    <w:rsid w:val="00916A3F"/>
    <w:rsid w:val="00920F0A"/>
    <w:rsid w:val="0092112C"/>
    <w:rsid w:val="009216BE"/>
    <w:rsid w:val="0092260C"/>
    <w:rsid w:val="00926DB8"/>
    <w:rsid w:val="0093130E"/>
    <w:rsid w:val="00931742"/>
    <w:rsid w:val="009329F4"/>
    <w:rsid w:val="00934CAA"/>
    <w:rsid w:val="0093636A"/>
    <w:rsid w:val="009365C5"/>
    <w:rsid w:val="009368DD"/>
    <w:rsid w:val="00940B6F"/>
    <w:rsid w:val="00940E9D"/>
    <w:rsid w:val="00941EE9"/>
    <w:rsid w:val="00943DFD"/>
    <w:rsid w:val="009448A1"/>
    <w:rsid w:val="00945375"/>
    <w:rsid w:val="0095263F"/>
    <w:rsid w:val="00954234"/>
    <w:rsid w:val="00954FE5"/>
    <w:rsid w:val="009565B6"/>
    <w:rsid w:val="009571B9"/>
    <w:rsid w:val="00960377"/>
    <w:rsid w:val="009615B2"/>
    <w:rsid w:val="00962AED"/>
    <w:rsid w:val="009650B6"/>
    <w:rsid w:val="00966F33"/>
    <w:rsid w:val="00971C3B"/>
    <w:rsid w:val="0097279C"/>
    <w:rsid w:val="00976099"/>
    <w:rsid w:val="00976D42"/>
    <w:rsid w:val="00982321"/>
    <w:rsid w:val="00982B5C"/>
    <w:rsid w:val="00984BB1"/>
    <w:rsid w:val="009904A4"/>
    <w:rsid w:val="009913F0"/>
    <w:rsid w:val="00994761"/>
    <w:rsid w:val="00994991"/>
    <w:rsid w:val="00997408"/>
    <w:rsid w:val="00997E7A"/>
    <w:rsid w:val="009A00B6"/>
    <w:rsid w:val="009A0D11"/>
    <w:rsid w:val="009A21A8"/>
    <w:rsid w:val="009A485E"/>
    <w:rsid w:val="009B060A"/>
    <w:rsid w:val="009B173E"/>
    <w:rsid w:val="009B3CB4"/>
    <w:rsid w:val="009B3DA6"/>
    <w:rsid w:val="009B4E86"/>
    <w:rsid w:val="009C0C10"/>
    <w:rsid w:val="009C1FC4"/>
    <w:rsid w:val="009C4D2E"/>
    <w:rsid w:val="009C4FBD"/>
    <w:rsid w:val="009C560B"/>
    <w:rsid w:val="009D11C8"/>
    <w:rsid w:val="009D36F2"/>
    <w:rsid w:val="009D4E38"/>
    <w:rsid w:val="009D79DC"/>
    <w:rsid w:val="009E0F0D"/>
    <w:rsid w:val="009E3BC4"/>
    <w:rsid w:val="009E4125"/>
    <w:rsid w:val="009E4393"/>
    <w:rsid w:val="009F2372"/>
    <w:rsid w:val="009F3177"/>
    <w:rsid w:val="009F353B"/>
    <w:rsid w:val="009F59E3"/>
    <w:rsid w:val="00A002F9"/>
    <w:rsid w:val="00A031F3"/>
    <w:rsid w:val="00A073CE"/>
    <w:rsid w:val="00A125D8"/>
    <w:rsid w:val="00A13ED4"/>
    <w:rsid w:val="00A14834"/>
    <w:rsid w:val="00A15502"/>
    <w:rsid w:val="00A16A20"/>
    <w:rsid w:val="00A17B3C"/>
    <w:rsid w:val="00A22A5D"/>
    <w:rsid w:val="00A23936"/>
    <w:rsid w:val="00A24873"/>
    <w:rsid w:val="00A27049"/>
    <w:rsid w:val="00A27953"/>
    <w:rsid w:val="00A27E20"/>
    <w:rsid w:val="00A31253"/>
    <w:rsid w:val="00A31584"/>
    <w:rsid w:val="00A3399E"/>
    <w:rsid w:val="00A347E7"/>
    <w:rsid w:val="00A34A23"/>
    <w:rsid w:val="00A351EE"/>
    <w:rsid w:val="00A37B85"/>
    <w:rsid w:val="00A409F6"/>
    <w:rsid w:val="00A426C4"/>
    <w:rsid w:val="00A51735"/>
    <w:rsid w:val="00A54239"/>
    <w:rsid w:val="00A55A39"/>
    <w:rsid w:val="00A55FA8"/>
    <w:rsid w:val="00A5706E"/>
    <w:rsid w:val="00A576F4"/>
    <w:rsid w:val="00A601AD"/>
    <w:rsid w:val="00A60741"/>
    <w:rsid w:val="00A60A05"/>
    <w:rsid w:val="00A60DD3"/>
    <w:rsid w:val="00A61B50"/>
    <w:rsid w:val="00A66537"/>
    <w:rsid w:val="00A7270F"/>
    <w:rsid w:val="00A72D34"/>
    <w:rsid w:val="00A72DDE"/>
    <w:rsid w:val="00A7444C"/>
    <w:rsid w:val="00A7551D"/>
    <w:rsid w:val="00A756E7"/>
    <w:rsid w:val="00A766AC"/>
    <w:rsid w:val="00A810C5"/>
    <w:rsid w:val="00A81999"/>
    <w:rsid w:val="00A8361D"/>
    <w:rsid w:val="00A859CF"/>
    <w:rsid w:val="00A86304"/>
    <w:rsid w:val="00A87523"/>
    <w:rsid w:val="00A915A6"/>
    <w:rsid w:val="00A91F50"/>
    <w:rsid w:val="00A92F4B"/>
    <w:rsid w:val="00A937B1"/>
    <w:rsid w:val="00A95205"/>
    <w:rsid w:val="00A97BD0"/>
    <w:rsid w:val="00AA0EEC"/>
    <w:rsid w:val="00AA385D"/>
    <w:rsid w:val="00AA5BA2"/>
    <w:rsid w:val="00AB08CA"/>
    <w:rsid w:val="00AB0F54"/>
    <w:rsid w:val="00AB4881"/>
    <w:rsid w:val="00AB542C"/>
    <w:rsid w:val="00AC0B56"/>
    <w:rsid w:val="00AC13A2"/>
    <w:rsid w:val="00AC67F5"/>
    <w:rsid w:val="00AC7B4E"/>
    <w:rsid w:val="00AD105E"/>
    <w:rsid w:val="00AD16B5"/>
    <w:rsid w:val="00AD3E69"/>
    <w:rsid w:val="00AD3E88"/>
    <w:rsid w:val="00AE08DF"/>
    <w:rsid w:val="00AE6731"/>
    <w:rsid w:val="00AF11BE"/>
    <w:rsid w:val="00AF124D"/>
    <w:rsid w:val="00AF1373"/>
    <w:rsid w:val="00AF5F94"/>
    <w:rsid w:val="00AF689C"/>
    <w:rsid w:val="00B01FF2"/>
    <w:rsid w:val="00B03650"/>
    <w:rsid w:val="00B037CF"/>
    <w:rsid w:val="00B045FD"/>
    <w:rsid w:val="00B04978"/>
    <w:rsid w:val="00B05D44"/>
    <w:rsid w:val="00B07A1D"/>
    <w:rsid w:val="00B12114"/>
    <w:rsid w:val="00B21FC3"/>
    <w:rsid w:val="00B277CA"/>
    <w:rsid w:val="00B341FC"/>
    <w:rsid w:val="00B34201"/>
    <w:rsid w:val="00B3710A"/>
    <w:rsid w:val="00B376D5"/>
    <w:rsid w:val="00B4118A"/>
    <w:rsid w:val="00B43046"/>
    <w:rsid w:val="00B4576E"/>
    <w:rsid w:val="00B4751B"/>
    <w:rsid w:val="00B47DF4"/>
    <w:rsid w:val="00B510D9"/>
    <w:rsid w:val="00B52E1B"/>
    <w:rsid w:val="00B53A06"/>
    <w:rsid w:val="00B55238"/>
    <w:rsid w:val="00B56290"/>
    <w:rsid w:val="00B5685C"/>
    <w:rsid w:val="00B56BC7"/>
    <w:rsid w:val="00B56FA6"/>
    <w:rsid w:val="00B611CA"/>
    <w:rsid w:val="00B62E4D"/>
    <w:rsid w:val="00B671D8"/>
    <w:rsid w:val="00B73A81"/>
    <w:rsid w:val="00B74AF5"/>
    <w:rsid w:val="00B7543E"/>
    <w:rsid w:val="00B76DB9"/>
    <w:rsid w:val="00B779FE"/>
    <w:rsid w:val="00B8220D"/>
    <w:rsid w:val="00B83C1E"/>
    <w:rsid w:val="00B84324"/>
    <w:rsid w:val="00B84C62"/>
    <w:rsid w:val="00B8723B"/>
    <w:rsid w:val="00B87566"/>
    <w:rsid w:val="00B904E6"/>
    <w:rsid w:val="00B9152F"/>
    <w:rsid w:val="00B939A0"/>
    <w:rsid w:val="00B96DEA"/>
    <w:rsid w:val="00BA35B3"/>
    <w:rsid w:val="00BA593F"/>
    <w:rsid w:val="00BA5AB5"/>
    <w:rsid w:val="00BB51CF"/>
    <w:rsid w:val="00BB6922"/>
    <w:rsid w:val="00BB742F"/>
    <w:rsid w:val="00BB7ABA"/>
    <w:rsid w:val="00BC1444"/>
    <w:rsid w:val="00BC4C82"/>
    <w:rsid w:val="00BC66D0"/>
    <w:rsid w:val="00BC78AF"/>
    <w:rsid w:val="00BD0DFE"/>
    <w:rsid w:val="00BE3921"/>
    <w:rsid w:val="00BE4ECF"/>
    <w:rsid w:val="00BE71F8"/>
    <w:rsid w:val="00BF2C23"/>
    <w:rsid w:val="00BF3236"/>
    <w:rsid w:val="00BF3539"/>
    <w:rsid w:val="00C01604"/>
    <w:rsid w:val="00C04C91"/>
    <w:rsid w:val="00C0503C"/>
    <w:rsid w:val="00C06270"/>
    <w:rsid w:val="00C074E8"/>
    <w:rsid w:val="00C11AD6"/>
    <w:rsid w:val="00C11DBE"/>
    <w:rsid w:val="00C15156"/>
    <w:rsid w:val="00C15B4B"/>
    <w:rsid w:val="00C17CDF"/>
    <w:rsid w:val="00C23C46"/>
    <w:rsid w:val="00C24D06"/>
    <w:rsid w:val="00C25C2D"/>
    <w:rsid w:val="00C31077"/>
    <w:rsid w:val="00C3196C"/>
    <w:rsid w:val="00C3434A"/>
    <w:rsid w:val="00C42C3F"/>
    <w:rsid w:val="00C42F7F"/>
    <w:rsid w:val="00C438DE"/>
    <w:rsid w:val="00C447FD"/>
    <w:rsid w:val="00C45487"/>
    <w:rsid w:val="00C514B2"/>
    <w:rsid w:val="00C539CA"/>
    <w:rsid w:val="00C54F3E"/>
    <w:rsid w:val="00C56EC4"/>
    <w:rsid w:val="00C62D09"/>
    <w:rsid w:val="00C65CC1"/>
    <w:rsid w:val="00C67B85"/>
    <w:rsid w:val="00C700DA"/>
    <w:rsid w:val="00C7192C"/>
    <w:rsid w:val="00C71C04"/>
    <w:rsid w:val="00C80A76"/>
    <w:rsid w:val="00C81016"/>
    <w:rsid w:val="00C828C7"/>
    <w:rsid w:val="00C84296"/>
    <w:rsid w:val="00C86C99"/>
    <w:rsid w:val="00C90DC0"/>
    <w:rsid w:val="00C9278D"/>
    <w:rsid w:val="00C94064"/>
    <w:rsid w:val="00CA210D"/>
    <w:rsid w:val="00CA22CD"/>
    <w:rsid w:val="00CA588A"/>
    <w:rsid w:val="00CA632B"/>
    <w:rsid w:val="00CB002B"/>
    <w:rsid w:val="00CB0E8C"/>
    <w:rsid w:val="00CC0ADB"/>
    <w:rsid w:val="00CC2518"/>
    <w:rsid w:val="00CC31F0"/>
    <w:rsid w:val="00CC5F6C"/>
    <w:rsid w:val="00CC6ADE"/>
    <w:rsid w:val="00CC7C32"/>
    <w:rsid w:val="00CD4172"/>
    <w:rsid w:val="00CD5F4D"/>
    <w:rsid w:val="00CE353F"/>
    <w:rsid w:val="00CE69C7"/>
    <w:rsid w:val="00CF1BC6"/>
    <w:rsid w:val="00CF49E3"/>
    <w:rsid w:val="00CF5398"/>
    <w:rsid w:val="00CF5862"/>
    <w:rsid w:val="00CF7C6C"/>
    <w:rsid w:val="00D02EFE"/>
    <w:rsid w:val="00D11F2E"/>
    <w:rsid w:val="00D14812"/>
    <w:rsid w:val="00D152DA"/>
    <w:rsid w:val="00D2295F"/>
    <w:rsid w:val="00D30EE2"/>
    <w:rsid w:val="00D31E23"/>
    <w:rsid w:val="00D34A67"/>
    <w:rsid w:val="00D374EB"/>
    <w:rsid w:val="00D47E8A"/>
    <w:rsid w:val="00D51CBE"/>
    <w:rsid w:val="00D51F06"/>
    <w:rsid w:val="00D52308"/>
    <w:rsid w:val="00D52BD3"/>
    <w:rsid w:val="00D56550"/>
    <w:rsid w:val="00D60614"/>
    <w:rsid w:val="00D63C95"/>
    <w:rsid w:val="00D64D73"/>
    <w:rsid w:val="00D65A19"/>
    <w:rsid w:val="00D66D7C"/>
    <w:rsid w:val="00D675F6"/>
    <w:rsid w:val="00D70D5A"/>
    <w:rsid w:val="00D71B8B"/>
    <w:rsid w:val="00D73206"/>
    <w:rsid w:val="00D733AC"/>
    <w:rsid w:val="00D74007"/>
    <w:rsid w:val="00D82A5D"/>
    <w:rsid w:val="00D8359E"/>
    <w:rsid w:val="00D841F7"/>
    <w:rsid w:val="00D85C10"/>
    <w:rsid w:val="00D87DB0"/>
    <w:rsid w:val="00D9025F"/>
    <w:rsid w:val="00D90D95"/>
    <w:rsid w:val="00D96564"/>
    <w:rsid w:val="00DA09C2"/>
    <w:rsid w:val="00DA189D"/>
    <w:rsid w:val="00DB12E9"/>
    <w:rsid w:val="00DC09D1"/>
    <w:rsid w:val="00DC38D3"/>
    <w:rsid w:val="00DC4C2F"/>
    <w:rsid w:val="00DC53D4"/>
    <w:rsid w:val="00DC6D36"/>
    <w:rsid w:val="00DC6DCF"/>
    <w:rsid w:val="00DD280E"/>
    <w:rsid w:val="00DD2ED6"/>
    <w:rsid w:val="00DD370F"/>
    <w:rsid w:val="00DD7D12"/>
    <w:rsid w:val="00DD7D64"/>
    <w:rsid w:val="00DE0061"/>
    <w:rsid w:val="00DE0FBB"/>
    <w:rsid w:val="00DE12DB"/>
    <w:rsid w:val="00DE2E26"/>
    <w:rsid w:val="00DE3010"/>
    <w:rsid w:val="00DE6DFF"/>
    <w:rsid w:val="00DF38FE"/>
    <w:rsid w:val="00DF730B"/>
    <w:rsid w:val="00E063EB"/>
    <w:rsid w:val="00E10D21"/>
    <w:rsid w:val="00E141E4"/>
    <w:rsid w:val="00E22B0A"/>
    <w:rsid w:val="00E22DC9"/>
    <w:rsid w:val="00E2429C"/>
    <w:rsid w:val="00E25468"/>
    <w:rsid w:val="00E26269"/>
    <w:rsid w:val="00E27461"/>
    <w:rsid w:val="00E30D54"/>
    <w:rsid w:val="00E4473B"/>
    <w:rsid w:val="00E44E7B"/>
    <w:rsid w:val="00E5154E"/>
    <w:rsid w:val="00E51D81"/>
    <w:rsid w:val="00E51DDD"/>
    <w:rsid w:val="00E52EA8"/>
    <w:rsid w:val="00E53874"/>
    <w:rsid w:val="00E5396A"/>
    <w:rsid w:val="00E619EF"/>
    <w:rsid w:val="00E64548"/>
    <w:rsid w:val="00E65BED"/>
    <w:rsid w:val="00E707E6"/>
    <w:rsid w:val="00E7153E"/>
    <w:rsid w:val="00E72361"/>
    <w:rsid w:val="00E725A4"/>
    <w:rsid w:val="00E72ECE"/>
    <w:rsid w:val="00E754FA"/>
    <w:rsid w:val="00E75DAF"/>
    <w:rsid w:val="00E7657C"/>
    <w:rsid w:val="00E77BB1"/>
    <w:rsid w:val="00E77D1F"/>
    <w:rsid w:val="00E77E31"/>
    <w:rsid w:val="00E81B00"/>
    <w:rsid w:val="00E914EA"/>
    <w:rsid w:val="00E93041"/>
    <w:rsid w:val="00EA5B93"/>
    <w:rsid w:val="00EB0E1A"/>
    <w:rsid w:val="00EB142E"/>
    <w:rsid w:val="00EB1744"/>
    <w:rsid w:val="00EB2682"/>
    <w:rsid w:val="00EB5433"/>
    <w:rsid w:val="00EC09F3"/>
    <w:rsid w:val="00EC2361"/>
    <w:rsid w:val="00EC488F"/>
    <w:rsid w:val="00EC58E4"/>
    <w:rsid w:val="00ED3257"/>
    <w:rsid w:val="00ED5DB3"/>
    <w:rsid w:val="00ED6A4B"/>
    <w:rsid w:val="00ED7753"/>
    <w:rsid w:val="00EE06E4"/>
    <w:rsid w:val="00EE332A"/>
    <w:rsid w:val="00EE3858"/>
    <w:rsid w:val="00EF228B"/>
    <w:rsid w:val="00EF39A0"/>
    <w:rsid w:val="00EF42C5"/>
    <w:rsid w:val="00EF5DC4"/>
    <w:rsid w:val="00EF7973"/>
    <w:rsid w:val="00F001AD"/>
    <w:rsid w:val="00F02BD1"/>
    <w:rsid w:val="00F03602"/>
    <w:rsid w:val="00F05BE7"/>
    <w:rsid w:val="00F0640E"/>
    <w:rsid w:val="00F11850"/>
    <w:rsid w:val="00F205CC"/>
    <w:rsid w:val="00F209EA"/>
    <w:rsid w:val="00F25670"/>
    <w:rsid w:val="00F27399"/>
    <w:rsid w:val="00F331A1"/>
    <w:rsid w:val="00F36677"/>
    <w:rsid w:val="00F36F06"/>
    <w:rsid w:val="00F418A7"/>
    <w:rsid w:val="00F41973"/>
    <w:rsid w:val="00F41D36"/>
    <w:rsid w:val="00F42BED"/>
    <w:rsid w:val="00F42FC6"/>
    <w:rsid w:val="00F44B98"/>
    <w:rsid w:val="00F45B31"/>
    <w:rsid w:val="00F53F5D"/>
    <w:rsid w:val="00F54099"/>
    <w:rsid w:val="00F56CC5"/>
    <w:rsid w:val="00F57442"/>
    <w:rsid w:val="00F61051"/>
    <w:rsid w:val="00F61CEE"/>
    <w:rsid w:val="00F634A8"/>
    <w:rsid w:val="00F634B5"/>
    <w:rsid w:val="00F67BDE"/>
    <w:rsid w:val="00F7262F"/>
    <w:rsid w:val="00F74647"/>
    <w:rsid w:val="00F75FA3"/>
    <w:rsid w:val="00F77265"/>
    <w:rsid w:val="00F81A60"/>
    <w:rsid w:val="00F84C7B"/>
    <w:rsid w:val="00F85165"/>
    <w:rsid w:val="00F90F84"/>
    <w:rsid w:val="00F91410"/>
    <w:rsid w:val="00F9300B"/>
    <w:rsid w:val="00F968D7"/>
    <w:rsid w:val="00F96EE3"/>
    <w:rsid w:val="00FA080A"/>
    <w:rsid w:val="00FA49CC"/>
    <w:rsid w:val="00FA5190"/>
    <w:rsid w:val="00FA76D0"/>
    <w:rsid w:val="00FA7AF3"/>
    <w:rsid w:val="00FB12AE"/>
    <w:rsid w:val="00FB4CF2"/>
    <w:rsid w:val="00FB60D1"/>
    <w:rsid w:val="00FC14FA"/>
    <w:rsid w:val="00FC2A58"/>
    <w:rsid w:val="00FC3C6C"/>
    <w:rsid w:val="00FD19EE"/>
    <w:rsid w:val="00FD45A1"/>
    <w:rsid w:val="00FD54B8"/>
    <w:rsid w:val="00FD6641"/>
    <w:rsid w:val="00FE0617"/>
    <w:rsid w:val="00FE0B51"/>
    <w:rsid w:val="00FE480F"/>
    <w:rsid w:val="00FE5183"/>
    <w:rsid w:val="00FF181F"/>
    <w:rsid w:val="00FF308E"/>
    <w:rsid w:val="00FF455C"/>
    <w:rsid w:val="00FF4D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BC89"/>
  <w15:chartTrackingRefBased/>
  <w15:docId w15:val="{86C8BC18-BE1B-0D48-AFCF-20D0419C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DC"/>
    <w:pPr>
      <w:spacing w:line="440" w:lineRule="atLeast"/>
      <w:jc w:val="both"/>
    </w:pPr>
    <w:rPr>
      <w:rFonts w:ascii="Times New Roman" w:hAnsi="Times New Roman" w:cs="Times New Roman"/>
      <w:kern w:val="2"/>
      <w14:ligatures w14:val="standardContextual"/>
    </w:rPr>
  </w:style>
  <w:style w:type="paragraph" w:styleId="1">
    <w:name w:val="heading 1"/>
    <w:basedOn w:val="a"/>
    <w:next w:val="a"/>
    <w:link w:val="1Char"/>
    <w:uiPriority w:val="9"/>
    <w:qFormat/>
    <w:rsid w:val="00845732"/>
    <w:pPr>
      <w:keepNext/>
      <w:keepLines/>
      <w:spacing w:before="240"/>
      <w:outlineLvl w:val="0"/>
    </w:pPr>
    <w:rPr>
      <w:rFonts w:eastAsiaTheme="majorEastAsia" w:cstheme="majorBidi"/>
      <w:b/>
      <w:szCs w:val="32"/>
      <w:u w:val="single"/>
    </w:rPr>
  </w:style>
  <w:style w:type="paragraph" w:styleId="2">
    <w:name w:val="heading 2"/>
    <w:basedOn w:val="a"/>
    <w:next w:val="a"/>
    <w:link w:val="2Char"/>
    <w:uiPriority w:val="9"/>
    <w:unhideWhenUsed/>
    <w:qFormat/>
    <w:rsid w:val="00160CE5"/>
    <w:pPr>
      <w:keepNext/>
      <w:keepLines/>
      <w:spacing w:before="40"/>
      <w:outlineLvl w:val="1"/>
    </w:pPr>
    <w:rPr>
      <w:rFonts w:eastAsiaTheme="majorEastAsia" w:cstheme="majorBidi"/>
      <w:b/>
      <w:color w:val="000000" w:themeColor="text1"/>
      <w:szCs w:val="26"/>
      <w:u w:val="single"/>
    </w:rPr>
  </w:style>
  <w:style w:type="paragraph" w:styleId="3">
    <w:name w:val="heading 3"/>
    <w:basedOn w:val="a"/>
    <w:next w:val="a"/>
    <w:link w:val="3Char"/>
    <w:uiPriority w:val="9"/>
    <w:unhideWhenUsed/>
    <w:qFormat/>
    <w:rsid w:val="00160CE5"/>
    <w:pPr>
      <w:keepNext/>
      <w:keepLines/>
      <w:spacing w:before="40"/>
      <w:outlineLvl w:val="2"/>
    </w:pPr>
    <w:rPr>
      <w:rFonts w:eastAsiaTheme="majorEastAsia" w:cstheme="majorBidi"/>
      <w:b/>
      <w: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09D1"/>
    <w:pPr>
      <w:tabs>
        <w:tab w:val="center" w:pos="4153"/>
        <w:tab w:val="right" w:pos="8306"/>
      </w:tabs>
      <w:spacing w:line="240" w:lineRule="auto"/>
    </w:pPr>
  </w:style>
  <w:style w:type="character" w:customStyle="1" w:styleId="Char">
    <w:name w:val="Υποσέλιδο Char"/>
    <w:basedOn w:val="a0"/>
    <w:link w:val="a3"/>
    <w:uiPriority w:val="99"/>
    <w:rsid w:val="00DC09D1"/>
    <w:rPr>
      <w:rFonts w:ascii="Times New Roman" w:hAnsi="Times New Roman" w:cs="Times New Roman"/>
      <w:kern w:val="2"/>
      <w14:ligatures w14:val="standardContextual"/>
    </w:rPr>
  </w:style>
  <w:style w:type="character" w:styleId="a4">
    <w:name w:val="page number"/>
    <w:basedOn w:val="a0"/>
    <w:uiPriority w:val="99"/>
    <w:semiHidden/>
    <w:unhideWhenUsed/>
    <w:rsid w:val="00DC09D1"/>
  </w:style>
  <w:style w:type="paragraph" w:styleId="a5">
    <w:name w:val="header"/>
    <w:basedOn w:val="a"/>
    <w:link w:val="Char0"/>
    <w:uiPriority w:val="99"/>
    <w:unhideWhenUsed/>
    <w:rsid w:val="00DC09D1"/>
    <w:pPr>
      <w:tabs>
        <w:tab w:val="center" w:pos="4153"/>
        <w:tab w:val="right" w:pos="8306"/>
      </w:tabs>
      <w:spacing w:line="240" w:lineRule="auto"/>
    </w:pPr>
  </w:style>
  <w:style w:type="character" w:customStyle="1" w:styleId="Char0">
    <w:name w:val="Κεφαλίδα Char"/>
    <w:basedOn w:val="a0"/>
    <w:link w:val="a5"/>
    <w:uiPriority w:val="99"/>
    <w:rsid w:val="00DC09D1"/>
    <w:rPr>
      <w:rFonts w:ascii="Times New Roman" w:hAnsi="Times New Roman" w:cs="Times New Roman"/>
      <w:kern w:val="2"/>
      <w14:ligatures w14:val="standardContextual"/>
    </w:rPr>
  </w:style>
  <w:style w:type="paragraph" w:styleId="a6">
    <w:name w:val="footnote text"/>
    <w:basedOn w:val="a"/>
    <w:link w:val="Char1"/>
    <w:uiPriority w:val="99"/>
    <w:semiHidden/>
    <w:unhideWhenUsed/>
    <w:rsid w:val="0076715E"/>
    <w:pPr>
      <w:spacing w:line="240" w:lineRule="auto"/>
    </w:pPr>
    <w:rPr>
      <w:sz w:val="20"/>
      <w:szCs w:val="20"/>
    </w:rPr>
  </w:style>
  <w:style w:type="character" w:customStyle="1" w:styleId="Char1">
    <w:name w:val="Κείμενο υποσημείωσης Char"/>
    <w:basedOn w:val="a0"/>
    <w:link w:val="a6"/>
    <w:uiPriority w:val="99"/>
    <w:semiHidden/>
    <w:rsid w:val="0076715E"/>
    <w:rPr>
      <w:rFonts w:ascii="Times New Roman" w:hAnsi="Times New Roman" w:cs="Times New Roman"/>
      <w:kern w:val="2"/>
      <w:sz w:val="20"/>
      <w:szCs w:val="20"/>
      <w14:ligatures w14:val="standardContextual"/>
    </w:rPr>
  </w:style>
  <w:style w:type="character" w:styleId="a7">
    <w:name w:val="footnote reference"/>
    <w:basedOn w:val="a0"/>
    <w:uiPriority w:val="99"/>
    <w:semiHidden/>
    <w:unhideWhenUsed/>
    <w:rsid w:val="0076715E"/>
    <w:rPr>
      <w:vertAlign w:val="superscript"/>
    </w:rPr>
  </w:style>
  <w:style w:type="character" w:customStyle="1" w:styleId="1Char">
    <w:name w:val="Επικεφαλίδα 1 Char"/>
    <w:basedOn w:val="a0"/>
    <w:link w:val="1"/>
    <w:uiPriority w:val="9"/>
    <w:rsid w:val="00845732"/>
    <w:rPr>
      <w:rFonts w:ascii="Times New Roman" w:eastAsiaTheme="majorEastAsia" w:hAnsi="Times New Roman" w:cstheme="majorBidi"/>
      <w:b/>
      <w:kern w:val="2"/>
      <w:szCs w:val="32"/>
      <w:u w:val="single"/>
      <w14:ligatures w14:val="standardContextual"/>
    </w:rPr>
  </w:style>
  <w:style w:type="character" w:customStyle="1" w:styleId="2Char">
    <w:name w:val="Επικεφαλίδα 2 Char"/>
    <w:basedOn w:val="a0"/>
    <w:link w:val="2"/>
    <w:uiPriority w:val="9"/>
    <w:rsid w:val="00160CE5"/>
    <w:rPr>
      <w:rFonts w:ascii="Times New Roman" w:eastAsiaTheme="majorEastAsia" w:hAnsi="Times New Roman" w:cstheme="majorBidi"/>
      <w:b/>
      <w:color w:val="000000" w:themeColor="text1"/>
      <w:kern w:val="2"/>
      <w:szCs w:val="26"/>
      <w:u w:val="single"/>
      <w14:ligatures w14:val="standardContextual"/>
    </w:rPr>
  </w:style>
  <w:style w:type="character" w:customStyle="1" w:styleId="3Char">
    <w:name w:val="Επικεφαλίδα 3 Char"/>
    <w:basedOn w:val="a0"/>
    <w:link w:val="3"/>
    <w:uiPriority w:val="9"/>
    <w:rsid w:val="00160CE5"/>
    <w:rPr>
      <w:rFonts w:ascii="Times New Roman" w:eastAsiaTheme="majorEastAsia" w:hAnsi="Times New Roman" w:cstheme="majorBidi"/>
      <w:b/>
      <w:i/>
      <w:color w:val="000000" w:themeColor="text1"/>
      <w:kern w:val="2"/>
      <w14:ligatures w14:val="standardContextual"/>
    </w:rPr>
  </w:style>
  <w:style w:type="paragraph" w:styleId="a8">
    <w:name w:val="TOC Heading"/>
    <w:basedOn w:val="1"/>
    <w:next w:val="a"/>
    <w:uiPriority w:val="39"/>
    <w:unhideWhenUsed/>
    <w:qFormat/>
    <w:rsid w:val="00C15156"/>
    <w:pPr>
      <w:spacing w:line="259" w:lineRule="auto"/>
      <w:jc w:val="left"/>
      <w:outlineLvl w:val="9"/>
    </w:pPr>
    <w:rPr>
      <w:rFonts w:asciiTheme="majorHAnsi" w:hAnsiTheme="majorHAnsi"/>
      <w:b w:val="0"/>
      <w:color w:val="2F5496" w:themeColor="accent1" w:themeShade="BF"/>
      <w:kern w:val="0"/>
      <w:sz w:val="32"/>
      <w:u w:val="none"/>
      <w:lang w:eastAsia="el-GR"/>
      <w14:ligatures w14:val="none"/>
    </w:rPr>
  </w:style>
  <w:style w:type="paragraph" w:styleId="10">
    <w:name w:val="toc 1"/>
    <w:basedOn w:val="a"/>
    <w:next w:val="a"/>
    <w:autoRedefine/>
    <w:uiPriority w:val="39"/>
    <w:unhideWhenUsed/>
    <w:rsid w:val="00C15156"/>
    <w:pPr>
      <w:tabs>
        <w:tab w:val="right" w:leader="dot" w:pos="8541"/>
      </w:tabs>
      <w:spacing w:after="100" w:line="276" w:lineRule="auto"/>
    </w:pPr>
  </w:style>
  <w:style w:type="paragraph" w:styleId="20">
    <w:name w:val="toc 2"/>
    <w:basedOn w:val="a"/>
    <w:next w:val="a"/>
    <w:autoRedefine/>
    <w:uiPriority w:val="39"/>
    <w:unhideWhenUsed/>
    <w:rsid w:val="00C15156"/>
    <w:pPr>
      <w:spacing w:after="100"/>
      <w:ind w:left="240"/>
    </w:pPr>
  </w:style>
  <w:style w:type="paragraph" w:styleId="30">
    <w:name w:val="toc 3"/>
    <w:basedOn w:val="a"/>
    <w:next w:val="a"/>
    <w:autoRedefine/>
    <w:uiPriority w:val="39"/>
    <w:unhideWhenUsed/>
    <w:rsid w:val="00C15156"/>
    <w:pPr>
      <w:spacing w:after="100"/>
      <w:ind w:left="480"/>
    </w:pPr>
  </w:style>
  <w:style w:type="character" w:styleId="-">
    <w:name w:val="Hyperlink"/>
    <w:basedOn w:val="a0"/>
    <w:uiPriority w:val="99"/>
    <w:unhideWhenUsed/>
    <w:rsid w:val="00C15156"/>
    <w:rPr>
      <w:color w:val="0563C1" w:themeColor="hyperlink"/>
      <w:u w:val="single"/>
    </w:rPr>
  </w:style>
  <w:style w:type="paragraph" w:styleId="a9">
    <w:name w:val="Balloon Text"/>
    <w:basedOn w:val="a"/>
    <w:link w:val="Char2"/>
    <w:uiPriority w:val="99"/>
    <w:semiHidden/>
    <w:unhideWhenUsed/>
    <w:rsid w:val="001B1873"/>
    <w:pPr>
      <w:spacing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1B1873"/>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1831-683E-4B54-B910-99EAAD6F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27</Pages>
  <Words>7546</Words>
  <Characters>40749</Characters>
  <Application>Microsoft Office Word</Application>
  <DocSecurity>0</DocSecurity>
  <Lines>339</Lines>
  <Paragraphs>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2024-05-08T08:41:00Z</cp:lastPrinted>
  <dcterms:created xsi:type="dcterms:W3CDTF">2024-04-29T15:29:00Z</dcterms:created>
  <dcterms:modified xsi:type="dcterms:W3CDTF">2024-05-09T11:08:00Z</dcterms:modified>
</cp:coreProperties>
</file>