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878" w:rsidRPr="007D21F8" w:rsidRDefault="007D21F8" w:rsidP="007D21F8">
      <w:pPr>
        <w:spacing w:line="480" w:lineRule="auto"/>
        <w:jc w:val="center"/>
        <w:rPr>
          <w:rFonts w:ascii="Bookman Old Style" w:hAnsi="Bookman Old Style"/>
          <w:b/>
          <w:bCs/>
          <w:lang w:val="en-US"/>
        </w:rPr>
      </w:pPr>
      <w:r w:rsidRPr="007D21F8">
        <w:rPr>
          <w:rFonts w:ascii="Bookman Old Style" w:hAnsi="Bookman Old Style"/>
          <w:b/>
          <w:bCs/>
          <w:lang w:val="en-US"/>
        </w:rPr>
        <w:t>PAPER TOPICS</w:t>
      </w:r>
    </w:p>
    <w:p w:rsidR="007D21F8" w:rsidRPr="007D21F8" w:rsidRDefault="007D21F8" w:rsidP="007D21F8">
      <w:pPr>
        <w:spacing w:line="480" w:lineRule="auto"/>
        <w:jc w:val="center"/>
        <w:rPr>
          <w:rFonts w:ascii="Bookman Old Style" w:hAnsi="Bookman Old Style"/>
          <w:lang w:val="en-US"/>
        </w:rPr>
      </w:pPr>
    </w:p>
    <w:p w:rsidR="007D21F8" w:rsidRPr="007D21F8" w:rsidRDefault="007D21F8" w:rsidP="007D21F8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lang w:val="en-US"/>
        </w:rPr>
      </w:pPr>
      <w:r w:rsidRPr="007D21F8">
        <w:rPr>
          <w:rFonts w:ascii="Bookman Old Style" w:hAnsi="Bookman Old Style"/>
          <w:lang w:val="en-US"/>
        </w:rPr>
        <w:t>The principle of Free Disposition of the Parties.</w:t>
      </w:r>
    </w:p>
    <w:p w:rsidR="007D21F8" w:rsidRPr="007D21F8" w:rsidRDefault="007D21F8" w:rsidP="007D21F8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lang w:val="en-US"/>
        </w:rPr>
      </w:pPr>
      <w:r w:rsidRPr="007D21F8">
        <w:rPr>
          <w:rFonts w:ascii="Bookman Old Style" w:hAnsi="Bookman Old Style"/>
          <w:lang w:val="en-US"/>
        </w:rPr>
        <w:t>Oral and written Procedure.</w:t>
      </w:r>
    </w:p>
    <w:p w:rsidR="007D21F8" w:rsidRPr="007D21F8" w:rsidRDefault="007D21F8" w:rsidP="007D21F8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lang w:val="en-US"/>
        </w:rPr>
      </w:pPr>
      <w:r w:rsidRPr="007D21F8">
        <w:rPr>
          <w:rFonts w:ascii="Bookman Old Style" w:hAnsi="Bookman Old Style"/>
          <w:lang w:val="en-US"/>
        </w:rPr>
        <w:t>Independence and Impartiality of the Judiciary.</w:t>
      </w:r>
    </w:p>
    <w:p w:rsidR="007D21F8" w:rsidRPr="007D21F8" w:rsidRDefault="007D21F8" w:rsidP="007D21F8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lang w:val="en-US"/>
        </w:rPr>
      </w:pPr>
      <w:r w:rsidRPr="007D21F8">
        <w:rPr>
          <w:rFonts w:ascii="Bookman Old Style" w:hAnsi="Bookman Old Style"/>
          <w:lang w:val="en-US"/>
        </w:rPr>
        <w:t>Access to Justice.</w:t>
      </w:r>
    </w:p>
    <w:p w:rsidR="007D21F8" w:rsidRPr="007D21F8" w:rsidRDefault="007D21F8" w:rsidP="007D21F8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lang w:val="en-US"/>
        </w:rPr>
      </w:pPr>
      <w:r w:rsidRPr="007D21F8">
        <w:rPr>
          <w:rFonts w:ascii="Bookman Old Style" w:hAnsi="Bookman Old Style"/>
          <w:lang w:val="en-US"/>
        </w:rPr>
        <w:t>Equality of the Parties.</w:t>
      </w:r>
    </w:p>
    <w:p w:rsidR="007D21F8" w:rsidRPr="007D21F8" w:rsidRDefault="007D21F8" w:rsidP="007D21F8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lang w:val="en-US"/>
        </w:rPr>
      </w:pPr>
      <w:r w:rsidRPr="007D21F8">
        <w:rPr>
          <w:rFonts w:ascii="Bookman Old Style" w:hAnsi="Bookman Old Style"/>
          <w:lang w:val="en-US"/>
        </w:rPr>
        <w:t>Publicity.</w:t>
      </w:r>
    </w:p>
    <w:p w:rsidR="007D21F8" w:rsidRDefault="007D21F8" w:rsidP="007D21F8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lang w:val="en-US"/>
        </w:rPr>
      </w:pPr>
      <w:r w:rsidRPr="007D21F8">
        <w:rPr>
          <w:rFonts w:ascii="Bookman Old Style" w:hAnsi="Bookman Old Style"/>
          <w:lang w:val="en-US"/>
        </w:rPr>
        <w:t>Reasoning of Judicial Decisions.</w:t>
      </w:r>
    </w:p>
    <w:p w:rsidR="00E616BD" w:rsidRDefault="00E616BD" w:rsidP="007D21F8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Prorogation of territorial competence. </w:t>
      </w:r>
    </w:p>
    <w:p w:rsidR="00E616BD" w:rsidRDefault="00E616BD" w:rsidP="00E616BD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Mediation</w:t>
      </w:r>
    </w:p>
    <w:p w:rsidR="00E616BD" w:rsidRDefault="00E616BD" w:rsidP="00E616BD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Burden of proof</w:t>
      </w:r>
    </w:p>
    <w:p w:rsidR="00E616BD" w:rsidRDefault="00E616BD" w:rsidP="00E616BD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Examination pf the parties.</w:t>
      </w:r>
    </w:p>
    <w:p w:rsidR="00E616BD" w:rsidRPr="00E616BD" w:rsidRDefault="00E616BD" w:rsidP="00E616BD">
      <w:pPr>
        <w:pStyle w:val="a3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Sworn attestations</w:t>
      </w:r>
    </w:p>
    <w:p w:rsidR="007D21F8" w:rsidRPr="007D21F8" w:rsidRDefault="007D21F8" w:rsidP="007D21F8">
      <w:pPr>
        <w:pStyle w:val="a3"/>
        <w:spacing w:line="480" w:lineRule="auto"/>
        <w:jc w:val="both"/>
        <w:rPr>
          <w:rFonts w:ascii="Bookman Old Style" w:hAnsi="Bookman Old Style"/>
          <w:lang w:val="en-US"/>
        </w:rPr>
      </w:pPr>
    </w:p>
    <w:sectPr w:rsidR="007D21F8" w:rsidRPr="007D21F8" w:rsidSect="002116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61C88"/>
    <w:multiLevelType w:val="hybridMultilevel"/>
    <w:tmpl w:val="1DE648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F8"/>
    <w:rsid w:val="00056878"/>
    <w:rsid w:val="002116B4"/>
    <w:rsid w:val="007D21F8"/>
    <w:rsid w:val="00E6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B2FD3"/>
  <w15:chartTrackingRefBased/>
  <w15:docId w15:val="{4F0D5F6D-32D7-CD44-86B6-143401B9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2692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Katiforis</dc:creator>
  <cp:keywords/>
  <dc:description/>
  <cp:lastModifiedBy>Konstantinos Katiforis</cp:lastModifiedBy>
  <cp:revision>1</cp:revision>
  <dcterms:created xsi:type="dcterms:W3CDTF">2020-10-29T11:24:00Z</dcterms:created>
  <dcterms:modified xsi:type="dcterms:W3CDTF">2020-11-01T16:14:00Z</dcterms:modified>
</cp:coreProperties>
</file>