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F2F2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7.10.2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Διάγρα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µµα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εννόµων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για αθέτηση υποχρέωσης παράδοσης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πραγµάτων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, παράδοσης εγγράφων, µ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εταβίβασης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κυριότητας και εκπλήρωσης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br/>
        <w:t>λοιπών υποχρεώσεων</w:t>
      </w:r>
    </w:p>
    <w:p w14:paraId="471126B3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7"/>
          <w:kern w:val="0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>Διάγρα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 xml:space="preserve">µµα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>έννοµων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>βοηθηµάτων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 xml:space="preserve">. </w:t>
      </w:r>
      <w:r w:rsidRPr="00D45081">
        <w:rPr>
          <w:rFonts w:ascii="Times New Roman" w:hAnsi="Times New Roman"/>
          <w:color w:val="000000"/>
          <w:spacing w:val="-7"/>
          <w:kern w:val="0"/>
        </w:rPr>
        <w:t xml:space="preserve">Αν ο πωλητής δεν εκπληρώσει, κατά τα παραπάνω, την υποχρέωση παράδοσης των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  <w:vertAlign w:val="superscript"/>
        </w:rPr>
        <w:footnoteReference w:id="1"/>
      </w:r>
      <w:r w:rsidRPr="00D45081">
        <w:rPr>
          <w:rFonts w:ascii="Times New Roman" w:hAnsi="Times New Roman"/>
          <w:color w:val="000000"/>
          <w:spacing w:val="-7"/>
          <w:kern w:val="0"/>
        </w:rPr>
        <w:t xml:space="preserve">, την υποχρέωση παράδοσης εγγράφων σχετικών µε τα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  <w:vertAlign w:val="superscript"/>
        </w:rPr>
        <w:footnoteReference w:id="2"/>
      </w:r>
      <w:r w:rsidRPr="00D45081">
        <w:rPr>
          <w:rFonts w:ascii="Times New Roman" w:hAnsi="Times New Roman"/>
          <w:color w:val="000000"/>
          <w:spacing w:val="-7"/>
          <w:kern w:val="0"/>
        </w:rPr>
        <w:t>, την υποχρέωση µ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εταβίβασης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κυριότητας των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  <w:vertAlign w:val="superscript"/>
        </w:rPr>
        <w:footnoteReference w:id="3"/>
      </w:r>
      <w:r w:rsidRPr="00D45081">
        <w:rPr>
          <w:rFonts w:ascii="Times New Roman" w:hAnsi="Times New Roman"/>
          <w:color w:val="000000"/>
          <w:spacing w:val="-7"/>
          <w:kern w:val="0"/>
        </w:rPr>
        <w:t xml:space="preserve">, κάποια από τις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παρεπόµενες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υποχρέωσεις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του</w:t>
      </w:r>
      <w:r w:rsidRPr="00D45081">
        <w:rPr>
          <w:rFonts w:ascii="Times New Roman" w:hAnsi="Times New Roman"/>
          <w:color w:val="000000"/>
          <w:spacing w:val="-7"/>
          <w:kern w:val="0"/>
          <w:vertAlign w:val="superscript"/>
        </w:rPr>
        <w:footnoteReference w:id="4"/>
      </w:r>
      <w:r w:rsidRPr="00D45081">
        <w:rPr>
          <w:rFonts w:ascii="Times New Roman" w:hAnsi="Times New Roman"/>
          <w:color w:val="000000"/>
          <w:spacing w:val="-7"/>
          <w:kern w:val="0"/>
        </w:rPr>
        <w:t xml:space="preserve"> ή κάποια από τις λοιπές υποχρεώσεις του</w:t>
      </w:r>
      <w:r w:rsidRPr="00D45081">
        <w:rPr>
          <w:rFonts w:ascii="Times New Roman" w:hAnsi="Times New Roman"/>
          <w:color w:val="000000"/>
          <w:spacing w:val="-7"/>
          <w:kern w:val="0"/>
          <w:vertAlign w:val="superscript"/>
        </w:rPr>
        <w:footnoteReference w:id="5"/>
      </w:r>
      <w:r w:rsidRPr="00D45081">
        <w:rPr>
          <w:rFonts w:ascii="Times New Roman" w:hAnsi="Times New Roman"/>
          <w:color w:val="000000"/>
          <w:spacing w:val="-7"/>
          <w:kern w:val="0"/>
        </w:rPr>
        <w:t xml:space="preserve">, τότε ο αγοραστής έχει τα ακόλουθα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βοηθήµατα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(βλ. CISG 45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.): </w:t>
      </w:r>
    </w:p>
    <w:p w14:paraId="7806735F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(α) να απαιτήσει από τον πωλητή να εκπληρώσει την υποχρέωσή του (εκτός αν έχει ασκήσει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βοήθηµα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που δεν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συµβιβάζεται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µε αυτή του την απαίτηση) [βλ. CISG 45 παρ. 1(α), 46 παρ. 1] (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αυτούσια εκπλήρωση</w:t>
      </w:r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6"/>
      </w:r>
      <w:r w:rsidRPr="00D45081">
        <w:rPr>
          <w:rFonts w:ascii="Times New Roman" w:hAnsi="Times New Roman"/>
          <w:color w:val="000000"/>
          <w:spacing w:val="-5"/>
          <w:kern w:val="0"/>
        </w:rPr>
        <w:t>· ή</w:t>
      </w:r>
    </w:p>
    <w:p w14:paraId="2A84F541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>(β) αν η µη εκπλήρωση εκ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έρους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του πωλητή συνιστά ουσιώδη αθέτηση (βλ. CISG 25)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7"/>
      </w:r>
      <w:r w:rsidRPr="00D45081">
        <w:rPr>
          <w:rFonts w:ascii="Times New Roman" w:hAnsi="Times New Roman"/>
          <w:color w:val="000000"/>
          <w:spacing w:val="-5"/>
          <w:kern w:val="0"/>
        </w:rPr>
        <w:t>, [ο αγοραστής]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υπαναχωρήσει από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8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CISG 45 παρ. 1(α), 49 παρ. 1(α)]· περαιτέρω, ειδικά σε περίπτωση µη παράδοσης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9"/>
      </w:r>
      <w:r w:rsidRPr="00D45081">
        <w:rPr>
          <w:rFonts w:ascii="Times New Roman" w:hAnsi="Times New Roman"/>
          <w:color w:val="000000"/>
          <w:spacing w:val="-5"/>
          <w:kern w:val="0"/>
        </w:rPr>
        <w:t>, [ο αγοραστής]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υπαναχωρήσει, αν ο πωλητής δεν παραδώσει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έσα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στην πρόσθετη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προθεσµία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εύλογης διάρκειας που του έταξε ο αγοραστής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10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CISG 45 παρ. 1(α), 47 παρ. 1(α), 49 παρ. 1(β)] (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υπαναχώρηση</w:t>
      </w:r>
      <w:r w:rsidRPr="00D45081">
        <w:rPr>
          <w:rFonts w:ascii="Times New Roman" w:hAnsi="Times New Roman"/>
          <w:color w:val="000000"/>
          <w:spacing w:val="-5"/>
          <w:kern w:val="0"/>
        </w:rPr>
        <w:t>) · και/ή</w:t>
      </w:r>
    </w:p>
    <w:p w14:paraId="49C18E43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(γ) να απαιτήσει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· ο αγοραστής δεν χάνει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απαιτήσει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, επειδή τυχόν έκανε χρήση άλλων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CISG 45 παρ. 1(β), 45 παρ. 2, 74-77] (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11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217B7D67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ετεκπλήρωσης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Πάντως,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και αν ο πωλητής αθετήσει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>, ο αγοραστής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εντέλει να µην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πορέσει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ν’ ασκήσει κάποια από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βοηθήµατά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του, καθώς ο πωλητής,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και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ετά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την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ηµεροµηνία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παράδοσης,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άρει οποιοδήποτε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ελάττωµα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στην εκπλήρωση των υποχρεώσεών του υπό τις προϋποθέσεις της CISG 48 παρ. 1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ετεκπλήρωσης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12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1986A2D3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lastRenderedPageBreak/>
        <w:t xml:space="preserve">7.10.3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Διάγρα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µµα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εννόµων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για έλλειψη ανταπόκρισης των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πραγµάτων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στις απαιτήσεις της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σύµβασης</w:t>
      </w:r>
      <w:proofErr w:type="spellEnd"/>
    </w:p>
    <w:p w14:paraId="5D213A4A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val="en-US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Διάγρα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µµα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.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Αν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δεν ανταποκρίνονται στις απαιτήσεις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της πώλησης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</w:rPr>
        <w:footnoteReference w:id="13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, ο αγοραστής έχει τα ακόλουθα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βοηθήµατα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: </w:t>
      </w:r>
    </w:p>
    <w:p w14:paraId="330F5EAE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(α) αν η µη ανταπόκριση συνιστά ουσιώδη αθέτηση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25)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14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, να απαιτήσει την αντικατάσταση των µη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ανταποκρινόµενων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µε άλλα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1(α), 46 παρ. 2] (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αυτούσια εκπλήρωση - αντικατάσταση</w:t>
      </w:r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15"/>
      </w:r>
      <w:r w:rsidRPr="00D45081">
        <w:rPr>
          <w:rFonts w:ascii="Times New Roman" w:hAnsi="Times New Roman"/>
          <w:color w:val="000000"/>
          <w:spacing w:val="-5"/>
          <w:kern w:val="0"/>
        </w:rPr>
        <w:t>· ή</w:t>
      </w:r>
    </w:p>
    <w:p w14:paraId="6FB01166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(β) αν η µη ανταπόκριση δεν συνιστά ουσιώδη αθέτηση, να ζητήσει από τον πωλητή να άρει τη µη ανταπόκριση µε διόρθωση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1(α), 46 παρ. 3] (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αυτούσια εκπλήρωση - διόρθωση</w:t>
      </w:r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16"/>
      </w:r>
      <w:r w:rsidRPr="00D45081">
        <w:rPr>
          <w:rFonts w:ascii="Times New Roman" w:hAnsi="Times New Roman"/>
          <w:color w:val="000000"/>
          <w:spacing w:val="-5"/>
          <w:kern w:val="0"/>
        </w:rPr>
        <w:t>· ή</w:t>
      </w:r>
    </w:p>
    <w:p w14:paraId="50986E3D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>(γ) αν η µη ανταπόκριση δεν συνιστά ουσιώδη αθέτηση, να ζητήσει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1(α), 50] (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µ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είωση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του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17"/>
      </w:r>
      <w:r w:rsidRPr="00D45081">
        <w:rPr>
          <w:rFonts w:ascii="Times New Roman" w:hAnsi="Times New Roman"/>
          <w:color w:val="000000"/>
          <w:spacing w:val="-5"/>
          <w:kern w:val="0"/>
        </w:rPr>
        <w:t>· ή</w:t>
      </w:r>
    </w:p>
    <w:p w14:paraId="02CA017E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(δ) αν η µη ανταπόκριση συνιστά ουσιώδη αθέτηση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25), [ο αγοραστής]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υπαναχωρήσει από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1(α), 49 παρ. 1(α)]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18"/>
      </w:r>
      <w:r w:rsidRPr="00D45081">
        <w:rPr>
          <w:rFonts w:ascii="Times New Roman" w:hAnsi="Times New Roman"/>
          <w:color w:val="000000"/>
          <w:spacing w:val="-5"/>
          <w:kern w:val="0"/>
        </w:rPr>
        <w:t>· και/ή</w:t>
      </w:r>
    </w:p>
    <w:p w14:paraId="1AA7DE65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(ε) να απαιτήσει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· ο αγοραστής δεν χάνει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απαιτήσει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, επειδή τυχόν έκανε χρήση άλλων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 (β), 45 παρ. 2, 74-77] (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19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350B9532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Βάρη του αγοραστή για άσκηση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για έλλειψη ανταπόκρισης. 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βοηθήµατα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του αγοραστή για τη µη ανταπόκριση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στις απαιτήσεις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35)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πορούν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ασκηθούν,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όνον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αν ο αγοραστής έχει τηρήσει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προβλεπόµενα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από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βάρη δηλαδή: (α) εξέταση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έσα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συντοµότερη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δυνατή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προθεσµία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που επιτρέπουν οι περιστάσεις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38 παρ. 1)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0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και (β) γνωστοποίηση της έλλειψης ανταπόκρισης στον πωλητή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έσα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σε «εύλογη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προθεσµία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» από το χρονικό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σηµείο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κατά το οποίο ο αγοραστής διαπίστωσε ή όφειλε να είχε διαπιστώσει την έλλειψη ανταπόκρισης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39 παρ. 1)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1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και σε κάθε περίπτωση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έσα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σε δύο έτη από το χρόνο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πραγµατικής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σε αυτόν παράδοσης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39 παρ. 2)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2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. </w:t>
      </w:r>
    </w:p>
    <w:p w14:paraId="18677B1B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7"/>
          <w:kern w:val="0"/>
        </w:rPr>
      </w:pPr>
      <w:r w:rsidRPr="00D45081">
        <w:rPr>
          <w:rFonts w:ascii="Times New Roman" w:hAnsi="Times New Roman"/>
          <w:b/>
          <w:bCs/>
          <w:color w:val="000000"/>
          <w:spacing w:val="-7"/>
          <w:kern w:val="0"/>
        </w:rPr>
        <w:t xml:space="preserve">Απαλλαγή πωλητή από την ευθύνη του για έλλειψη ανταπόκρισης.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Υπενθυµίζεται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ότι ο πωλητής απαλλάσσεται από την ευθύνη του έναντι του αγοραστή για έλλειψη ανταπόκρισης των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, αν, κατά τη σύναψη της 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>, ο αγοραστής γνώριζε ή δεν µ</w:t>
      </w:r>
      <w:proofErr w:type="spellStart"/>
      <w:r w:rsidRPr="00D45081">
        <w:rPr>
          <w:rFonts w:ascii="Times New Roman" w:hAnsi="Times New Roman"/>
          <w:color w:val="000000"/>
          <w:spacing w:val="-7"/>
          <w:kern w:val="0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7"/>
          <w:kern w:val="0"/>
        </w:rPr>
        <w:t xml:space="preserve"> να αγνοεί την έλλειψη ανταπόκρισης (βλ. </w:t>
      </w:r>
      <w:r w:rsidRPr="00D45081">
        <w:rPr>
          <w:rFonts w:ascii="Times New Roman" w:hAnsi="Times New Roman"/>
          <w:color w:val="000000"/>
          <w:spacing w:val="-7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7"/>
          <w:kern w:val="0"/>
        </w:rPr>
        <w:t xml:space="preserve"> 35 παρ. 3)</w:t>
      </w:r>
      <w:r w:rsidRPr="00D45081">
        <w:rPr>
          <w:rFonts w:ascii="Times New Roman" w:hAnsi="Times New Roman"/>
          <w:color w:val="000000"/>
          <w:spacing w:val="-7"/>
          <w:kern w:val="0"/>
          <w:vertAlign w:val="superscript"/>
          <w:lang w:val="en-US"/>
        </w:rPr>
        <w:footnoteReference w:id="23"/>
      </w:r>
      <w:r w:rsidRPr="00D45081">
        <w:rPr>
          <w:rFonts w:ascii="Times New Roman" w:hAnsi="Times New Roman"/>
          <w:color w:val="000000"/>
          <w:spacing w:val="-7"/>
          <w:kern w:val="0"/>
        </w:rPr>
        <w:t>.</w:t>
      </w:r>
    </w:p>
    <w:p w14:paraId="54EA696A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θεραπείας. 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Τέλος πρέπει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σηµειωθεί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ότι ο πωλητής δικαιούται,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έχρι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συµφωνηµένο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χρόνο παράδοσης και υπό τις προϋποθέσεις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37, να διορθώσει ή να αντικαταστήσει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που δεν ανταποκρίνονται στις απαιτήσεις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θεραπείας)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4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3FDAE099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7.10.4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Διάγρα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µµα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εννόµων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για παράδοση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πράγµατος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βεβαρυµένου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br/>
        <w:t xml:space="preserve">µε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 xml:space="preserve"> ή αξίωση τρίτου</w:t>
      </w:r>
    </w:p>
    <w:p w14:paraId="4AE7264C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val="en-US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Διάγρα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µµα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Αν ο πωλητής δεν εκπληρώσει την υποχρέωσή του για παράδοση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ελεύθερου από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ή αξίωση τρίτου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5"/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, ο αγοραστής έχει τα ακόλουθα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βοηθήµατα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: </w:t>
      </w:r>
    </w:p>
    <w:p w14:paraId="0D1929EC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(α) να απαιτήσει από τον πωλητή να εκπληρώσει την υποχρέωσή του, δηλαδή να παραδώσει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ελεύθερο από αξίωση 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τρίτου (εκτός αν έχει ασκήσει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βοήθηµα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που δεν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συµβιβάζεται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µε αυτή του την απαίτηση)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1(α), 46 παρ. 1] (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αυτούσια εκπλήρωση</w:t>
      </w:r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6"/>
      </w:r>
      <w:r w:rsidRPr="00D45081">
        <w:rPr>
          <w:rFonts w:ascii="Times New Roman" w:hAnsi="Times New Roman"/>
          <w:color w:val="000000"/>
          <w:spacing w:val="-5"/>
          <w:kern w:val="0"/>
        </w:rPr>
        <w:t>· ή</w:t>
      </w:r>
    </w:p>
    <w:p w14:paraId="1969EB59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>(β) αν η µη εκπλήρωση εκ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έρους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του πωλητή συνιστά ουσιώδη αθέτηση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25)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7"/>
      </w:r>
      <w:r w:rsidRPr="00D45081">
        <w:rPr>
          <w:rFonts w:ascii="Times New Roman" w:hAnsi="Times New Roman"/>
          <w:color w:val="000000"/>
          <w:spacing w:val="-5"/>
          <w:kern w:val="0"/>
        </w:rPr>
        <w:t>, [ο αγοραστής]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υπαναχωρήσει από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1(α), 49 παρ. 1(α)]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8"/>
      </w:r>
      <w:r w:rsidRPr="00D45081">
        <w:rPr>
          <w:rFonts w:ascii="Times New Roman" w:hAnsi="Times New Roman"/>
          <w:color w:val="000000"/>
          <w:spacing w:val="-5"/>
          <w:kern w:val="0"/>
        </w:rPr>
        <w:t>· και/ή</w:t>
      </w:r>
    </w:p>
    <w:p w14:paraId="0F767A0B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color w:val="000000"/>
          <w:spacing w:val="-5"/>
          <w:kern w:val="0"/>
        </w:rPr>
        <w:t xml:space="preserve">(γ) να απαιτήσει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· ο αγοραστής δεν χάνει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απαιτήσει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, επειδή τυχόν έκανε χρήση άλλων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[βλ.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45 παρ. 1 (β), 45 παρ. 2, 74-77] (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29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4F34C120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Βάρη του αγοραστή για άσκηση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έννοµων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βοηθηµάτων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για παράδοση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πράγµατος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βεβαρηµένου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µε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δικαίωµα-αξίωση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τρίτου.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βοηθήµατα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του αγοραστή κατά του πωλητή για παράδοση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βεβαρηµένου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ή αξίωση τρίτου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41, 42)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πορούν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να ασκηθούν,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όνον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αν ο αγοραστής έχει τηρήσει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προβλεπόµενο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από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βάρος, δηλαδή αν έχει γνωστοποιήσει στον πωλητή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ή την αξίωση του τρίτου προσδιορίζοντας τη φύση τους,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έσα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σε εύλογη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προθεσµία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από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στιγµή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που έλαβε ή έπρεπε να είχε λάβει γνώση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δικαιώµατος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ή της αξίωσης του τρίτου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43 παρ. 1)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30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35E1CD41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Απαλλαγή πωλητή από την ευθύνη του για παράδοση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πράγµατος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βεβαρηµένου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µε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>δικαίωµα-αξίωση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</w:rPr>
        <w:t xml:space="preserve"> τρίτου.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ο πωλητής απαλλάσσεται από την ευθύνη του έναντι του αγοραστή για παράδοση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πράγµατος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βεβαρηµένου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µε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ή αξίωση τρίτου, αν ο αγοραστής γνώριζε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</w:rPr>
        <w:t xml:space="preserve"> ή την αξίωση του τρίτου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</w:rPr>
        <w:t xml:space="preserve"> 43 παρ. 2)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/>
        </w:rPr>
        <w:footnoteReference w:id="31"/>
      </w:r>
      <w:r w:rsidRPr="00D45081">
        <w:rPr>
          <w:rFonts w:ascii="Times New Roman" w:hAnsi="Times New Roman"/>
          <w:color w:val="000000"/>
          <w:spacing w:val="-5"/>
          <w:kern w:val="0"/>
        </w:rPr>
        <w:t>.</w:t>
      </w:r>
    </w:p>
    <w:p w14:paraId="626FCEAA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val="en-US"/>
        </w:rPr>
      </w:pPr>
    </w:p>
    <w:p w14:paraId="6E5EE7E4" w14:textId="77777777" w:rsidR="00C93B09" w:rsidRPr="00D45081" w:rsidRDefault="00C93B09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</w:rPr>
      </w:pPr>
    </w:p>
    <w:p w14:paraId="7AD3EF10" w14:textId="5DA222B5" w:rsidR="00D45081" w:rsidRPr="00D45081" w:rsidRDefault="00D45081" w:rsidP="00D45081">
      <w:pPr>
        <w:spacing w:after="120" w:line="276" w:lineRule="auto"/>
        <w:rPr>
          <w:rFonts w:ascii="Times New Roman" w:hAnsi="Times New Roman"/>
        </w:rPr>
      </w:pPr>
      <w:r w:rsidRPr="00D45081">
        <w:rPr>
          <w:rFonts w:ascii="Times New Roman" w:hAnsi="Times New Roman"/>
        </w:rPr>
        <w:br w:type="page"/>
      </w:r>
    </w:p>
    <w:p w14:paraId="000AFD1B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9.5.7.1 Εισαγωγή</w:t>
      </w:r>
    </w:p>
    <w:p w14:paraId="409CABCE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10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10"/>
          <w:kern w:val="0"/>
          <w:lang w:eastAsia="el-GR"/>
        </w:rPr>
        <w:t xml:space="preserve">440. Γενικά - </w:t>
      </w:r>
      <w:r w:rsidRPr="00D45081">
        <w:rPr>
          <w:rFonts w:ascii="Times New Roman" w:hAnsi="Times New Roman"/>
          <w:b/>
          <w:bCs/>
          <w:color w:val="000000"/>
          <w:spacing w:val="-10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10"/>
          <w:kern w:val="0"/>
          <w:lang w:eastAsia="el-GR"/>
        </w:rPr>
        <w:t xml:space="preserve"> 79.</w:t>
      </w:r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Η </w:t>
      </w:r>
      <w:r w:rsidRPr="00D45081">
        <w:rPr>
          <w:rFonts w:ascii="Times New Roman" w:hAnsi="Times New Roman"/>
          <w:color w:val="000000"/>
          <w:spacing w:val="-10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79 ορίζει ότι: «Ένας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συµβαλλόµενος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δεν έχει ευθύνη για τη µη εκπλήρωση µ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ιας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από τις υποχρεώσεις του, αν αποδεικνύει ότι η µη εκπλήρωση οφειλόταν σε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κείµενο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πέρα από το πεδίο επιρροής του και ότι δεν µ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ευλόγως να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από αυτόν να έχει λάβει υπόψη του το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κατά το χρόνο της σύναψης της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ή να έχει αποφύγει ή υπερβεί αυτό ή τις συνέπειές του».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, η διάταξη αυτή προβλέπει για τις προϋποθέσεις υπό τις οποίες ο αθετών οφειλέτης µ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να απαλλαγεί από την ευθύνη του.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Σηµειωτέον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ότι,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10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79 παρ. 5, η </w:t>
      </w:r>
      <w:r w:rsidRPr="00D45081">
        <w:rPr>
          <w:rFonts w:ascii="Times New Roman" w:hAnsi="Times New Roman"/>
          <w:color w:val="000000"/>
          <w:spacing w:val="-10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79 παρ. 1 απαλλάσσει τον οφειλέτη της παροχής µόνο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 xml:space="preserve"> (</w:t>
      </w:r>
      <w:proofErr w:type="spellStart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βλ.π.κ</w:t>
      </w:r>
      <w:proofErr w:type="spellEnd"/>
      <w:r w:rsidRPr="00D45081">
        <w:rPr>
          <w:rFonts w:ascii="Times New Roman" w:hAnsi="Times New Roman"/>
          <w:color w:val="000000"/>
          <w:spacing w:val="-10"/>
          <w:kern w:val="0"/>
          <w:lang w:eastAsia="el-GR"/>
        </w:rPr>
        <w:t>. παρ. 1176-1177).</w:t>
      </w:r>
    </w:p>
    <w:p w14:paraId="5577E41D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9.5.7.2 Προϋποθέσεις απαλλαγής</w:t>
      </w:r>
    </w:p>
    <w:p w14:paraId="737711AF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8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8"/>
          <w:kern w:val="0"/>
          <w:lang w:eastAsia="el-GR"/>
        </w:rPr>
        <w:t>Διάγρα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8"/>
          <w:kern w:val="0"/>
          <w:lang w:eastAsia="el-GR"/>
        </w:rPr>
        <w:t xml:space="preserve">µµα προϋποθέσεων απαλλαγής οφειλέτη παροχής από την ευθύνη του. 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Οι προϋποθέσεις για την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8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79 παρ. 1 είναι οι ακόλουθες: (α)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πέραν του πεδίου επιρροής του οφειλέτη της παροχής (βλ.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π.κ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παρ. 1146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.)· (β) µη δυνατότητα πρόβλεψης και αποφυγής του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(βλ.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π.κ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παρ. 1152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.)· και (γ) αιτιώδης συνάφεια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και της µη εκπλήρωσης της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συµβατικής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παροχής (βλ.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π.κ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παρ. 1167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.).</w:t>
      </w:r>
    </w:p>
    <w:p w14:paraId="39EE6F05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(α)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πέραν του πεδίου επιρροής του οφειλέτη της παροχής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32"/>
      </w:r>
    </w:p>
    <w:p w14:paraId="0B25E3D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Έννοια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πέραν της επιρροής του οφειλέτη της παροχής.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Η έννοια του «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» πρέπει,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 παρ. 1,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ερµηνεύεται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αυτόνοµα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33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περιλαµβάνει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περιστατικά που βρίσκονται εκτός της σφαίρας επιρροής του οφειλέτη και τα οποία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παρεµποδίζουν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την εκπλήρωση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υποχρέωσης. </w:t>
      </w:r>
    </w:p>
    <w:p w14:paraId="47A189F7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Περιστατικά που συνιστούν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πέραν της επιρροής του οφειλέτη της παροχής.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Έτσι γίνεται δεκτό ότι στην έννοια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τους σκοπούς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άλλων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περιλαµβάνονται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: (α) φυσικά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φαινόµενα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∙ (β) γεγονότα που σχετίζονται µε την πολιτική και κοινωνική ζωή ενός τόπου (λ.χ. επαναστάσεις, γενικές απεργίες, εχθροπραξίες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κ.ά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)∙ (γ)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νοµικά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κωλύµατα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(λ.χ.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απαγόρευση-περιορισµοί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σε εισαγωγές ή εξαγωγές [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embargo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export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-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import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bans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)]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34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συναλλαγµατικοί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περιορισµοί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∙ και (δ) άλλα τυχαία περιστατικά που επιδρούν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δυσµενώς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στην εκπλήρωση των παροχών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λ.χ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βύθιση πλοίου εντός του οποίου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εταφέρονται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κλοπή 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βανδαλισµοί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κατά τη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εταφορά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ή τη φύλαξή τους σε αποθήκες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κ.ά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). Δηλαδή στις περιπτώσεις αυτές ο αθετών οφειλέτης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επικαλούµενος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και υπό την επιφύλαξη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συνδροµής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λοιπών προϋποθέσεων της διάταξης αυτής,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1B3695AF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Γεγονότα που συνδέονται µε την προσωπική σφαίρα του οφειλέτη της παροχής.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Εν τούτοις, γίνεται δεκτό ότι γεγονότα που συνδέονται µε την προσωπική σφαίρα του οφειλέτη της παροχής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35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δεν εντάσσονται στην έννοια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τους σκοπούς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1. Έτσι,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παράδειγµα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, δεν αποτελούν «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»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άλλων τα ακόλουθα περιστατικά: αν ο οφειλέτης δεν εκπληρώσει την παροχή του λόγω γεγονότων όπως προσωπική ανικανότητα, ασθένεια, θάνατος,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επιχειρηµατικές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αποτυχίες, βλάβη του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ηχανογραφικού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συστήµατος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επιχείρησής του, πτώχευση, άγνοια του ισχύοντος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νοµοθετικού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καθεστώτος, ασθένειες, απεργία 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σφάλµα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ανυπαίτιο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του προσωπικού που εργάζεται στις εγκαταστάσεις του,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υπέρµετρη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άνοδος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τιµών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στη διεθνή αγορά (µε αποτέλεσµα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αδυναµία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αγοραστή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προµηθευτεί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τα προς πώληση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ή τις πρώτες ύλες για την κατασκευή τους). </w:t>
      </w:r>
    </w:p>
    <w:p w14:paraId="181922F5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Γεγονότα που δεν συνιστούν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πέραν της επιρροής του οφειλέτη της παροχής.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Περαιτέρω, και στις ακόλουθες περιπτώσεις γίνεται δεκτό ότι δεν υφίσταται «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» για τους σκοπούς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1: (α) αν, σε πώληση γένους, 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προµηθευτής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πωλητή δεν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προµήθευσε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(ή δεν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προµήθευσε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εγκαίρως)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procurement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risk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)· (β) αν, σε πώληση γένους, 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προµηθευτής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πωλητή απέστειλε απευθείας στον αγοραστή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δεν ανταποκρίνονταν στη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(οπότε ο πωλητής δεν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τα είχε ελέγξει)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αµφισβ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36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· και (γ) αν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δεν ανταποκρίνονταν στη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35) και η µη ανταπόκριση προκλήθηκε λόγω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προβληµάτων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ανέκυψαν στο εργοστάσιο του πωλητή κατά τη διαδικασία παραγωγής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175ED65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Σηµειωτέον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ότι στις περιπτώσεις όπου δεν υφίσταται «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» (βλ.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 παρ. 1148-1149), ο οφειλέτης της παροχής δεν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επικαλούµενος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1,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2C509594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Σύγκριση 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- 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  <w:t>AK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Με βάση τα παραπάνω γίνεται δεκτό ότι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διαφέρει από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ρύθµιση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ΑΚ κατά το ότι,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ο οφειλέτης ευθύνεται και για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τυχηρά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στενή έννοια (άρα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αντικειµενική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ευθύνη), για τα οποία δεν ευθύνεται βάσει του ΑΚ, και απαλλάσσεται µόνο σε περιπτώσεις ανώτερης βίας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1), η οποία µάλλον νοείται βάσει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αντικειµενικής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θεωρίας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37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6B585B91" w14:textId="77777777" w:rsid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</w:pPr>
    </w:p>
    <w:p w14:paraId="2A87126D" w14:textId="41801FFF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(β) Μη δυνατότητα πρόβλεψης και αποφυγής του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</w:t>
      </w:r>
    </w:p>
    <w:p w14:paraId="1ADABA43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Κανόνας.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αν ένα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βρίσκεται εκτός του πεδίου επιρροής του οφειλέτη της παροχής (βλ.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παρ. 1147), ο τελευταίος δεν απαλλάσσεται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, αν «µ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ευλόγως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αυτόν να έχει λάβει υπόψη του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κατά το χρόνο της σύναψης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ή να είχε αποφύγει ή υπερβεί αυτό ή τις συνέπειές του». </w:t>
      </w:r>
    </w:p>
    <w:p w14:paraId="54286DF0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>Ερµηνεία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 να διαπιστωθεί αν ο οφειλέτης της παροχής όφειλε να είχε λάβει υπόψη του το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διαπιστωθεί πότε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από τον οφειλέτη να έχει λάβει υπόψη του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θα πρέπει καταρχήν να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ερµηνευτεί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βάση τα κριτήρια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8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38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και να διερευνηθεί αν υπήρχε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καθιερωµένη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πρακτική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των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ερών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συµφωνηθείσα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συνήθεια (βλ.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9 παρ. 1)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39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ή αν τα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είχαν σιωπηρά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εφαρµόσει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συναλλακτική συνήθεια του διεθνούς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εµπορίου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την οποία γνώριζαν ή όφειλαν να γνωρίζουν (βλ.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9 παρ. 2)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40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</w:t>
      </w:r>
    </w:p>
    <w:p w14:paraId="2E0E629C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Δυνατότητα πρόβλεψης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µε αναφορά στο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έσο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συνετό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συναλλασόµενο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Περαιτέρω, η δυνατότητα πρόβλεψης του οφειλέτη εξετάζεται µε αναφορά στο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έσο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συνετό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συναλλασσόµενο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ειδικότερα εξετάζεται αν ο τελευταίος, µε βάση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δεδοµένα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χρόνου σύναψης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θα έπρεπε να είχε λάβει υπόψη του την πιθανότητα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εµφάνισης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Αν κατά το χρόνο σύναψης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ήταν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αντικειµενικά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(δηλαδή από έναν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έσο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συνετό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συναλλασσόµενο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προβλέψιµο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ο οφειλέτης της παροχής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συµβλήθηκε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χωρίς να προβεί σε επιφύλαξη, τότε θεωρείται ότι έχει αναλάβει τον κίνδυνο ότι η εκπλήρωση της παροχής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καθυστερήσει ή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παρεµποδιστεί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συγκεκριµένο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(ο οφειλέτης) δεν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επικαλούµενος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1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78E9CD04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Συµβατικοί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όροι που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ρυθµίζουν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τον κίνδυνο επέλευσης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πέραν της επιρροής του οφειλέτη της παροχής.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Σηµειωτέον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ότι ο κίνδυνος επέλευσης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εκτός της επιρροής του οφειλέτη της παροχής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αντιµετωπιστεί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ανάλογη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διαµόρφωση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υποχρεώσεων, δηλαδή µε την εισαγωγή στη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πώλησης: (α) όρου που τον απαλλάσσει από την ευθύνη του γενικά (ή µόνο από την ευθύνη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αν επέλθει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αυτό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disclaimer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2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∙ (β) ρήτρας ανώτερης βίας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force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majeure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3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∙ ή (γ) όρου που προβλέπει για τη δυνατότητα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αναπροσδιορισµού-επαναδιαπραγµάτευσης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ύψους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να καλύψει την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ζηµία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εφόσον επέλθει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readjustment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renegotiation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4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Επίσης ο κίνδυνος επέλευσης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αντιµετωπιστεί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 σύναψη ασφαλιστικής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καλύπτει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ζηµία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οφειλέτη της παροχής από την πιθανή επέλευση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5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κ.ά.</w:t>
      </w:r>
    </w:p>
    <w:p w14:paraId="3C6B043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Βάρος οφειλέτη παροχής να αποδείξει ότι δεν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να προβλέψει το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ή να είχε αποφύγει ή υπερβεί το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ή τις συνέπειές του.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Περαιτέρω, αυτός που επικαλείται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, δεν αρκεί να αποδείξει ότι δεν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αντικειµενικά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προβλέψει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 Επιπρόσθετα θα πρέπει να αποδείξει ότι δεν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ευλόγως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αυτόν να είχε αποφύγει ή υπερβεί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ή τις συνέπειές του. Ειδικότερα, για τους σκοπούς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πρέπει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σηµειωθούν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τα εξής: (α) η λέξη «αποφύγει» αναφέρεται στο «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»· (β) η λέξη «υπερβεί» αναφέρεται στις συνέπειες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· και (γ) η λέξη «ευλόγως» έχει την έννοια ότι από τον οφειλέτη της παροχής θα πρέπει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η λήψη λογικών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έτρων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την αποφυγή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δηλαδή να κάνει ό,τι είναι εντός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δυνάµεών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αποφύγει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6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708CC1CF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Μη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διαθεσιµότητα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συγκεκριµένης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οδού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εταφοράς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.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Έτσι,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παράδειγµα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αν λόγω εχθροπραξιών ή άλλων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κλείσει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ια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συγκεκριµένη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οδική αρτηρία-θαλάσσια οδός, ο οφειλέτης της παροχής (πωλητής)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από την ευθύνη του προς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µη παράδοση, θα πρέπει να αποδείξει ότι του ήταν αδύνατο ή υπερβολικά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ασύµφορο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απόψεως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χρησιµοποιήσει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εναλλακτική οδό για τη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εταφορά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παραδοθούν στον αγοραστή.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µόνο αν δεν είναι εύλογο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αυτόν η χρήση εναλλακτικής οδού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εταφοράς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υπερβεί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απαλλάσσεται από την ευθύνη του προς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µη παράδοση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47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62F4259F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Παράδειγµα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ορφή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σχολιασµού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ΕφΛα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µ 63/2006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48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: Με βάση τα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πραγµατικά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περιστατικά της υπόθεσης,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ελληνικής εταιρίας (αγοράστρια) και βουλγαρικής εταιρίας (πωλήτρια) καταρτίστηκε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την πώληση 3.000 τόνων ηλιόσπορου που θα παραγόταν στη Βουλγαρία.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Συµφωνήθηκε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ότι η παράδοση θα γινόταν τέλη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Σεπτεµβρίου-αρχές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Οκτωβρίου 2001. Η πωλήτρια µε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τηλεοµοιοτυπικό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ήνυµα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(19.9.2001) αρνήθηκε να εκπληρώσει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παράδοση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συµφωνηθείσας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ποσότητας,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επικαλούµενη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εταβολές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στην αγορά και διάφορα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εµπόδια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Η αγοράστρια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όχλησε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επανειλη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µµ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ένως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την πωλήτρια ζητώντας την παράδοση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συµφωνηθείσας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ποσότητας ηλιόσπορου, αλλά η πωλήτρια εξακολούθησε να αρνείται. Εν όψει αυτού η αγοράστρια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καλύψει τις ανάγκες της ελαιουργίας της προέβη 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κάλυψης και αγόρασε ποσότητα ηλιόσπορου από άλλο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υψηλότερο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από αυτό που είχε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πωλήτρια. Στη σχετική αγωγή,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αίτηµα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αγοράστριας ήταν να της καταβληθεί ως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η διαφορά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συµφώνησε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αγοράστρια και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 οποίο κατέβαλε στον τρίτο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στα πλαίσια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κάλυψης.</w:t>
      </w:r>
    </w:p>
    <w:p w14:paraId="4B5435AE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Η πωλήτρια εταιρία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απαλλαγεί από την κατά τα παραπάνω ευθύνη της για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ισχυρίστηκε στο δικαστήριο ότι η µη παράδοση από αυτήν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πωληθείσας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ποσότητας ηλιόσπορου στην αγοράστρια εταιρία οφειλόταν: (α) 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παρατεταµένη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ξηρασία, µε αποτέλεσµα καταστροφή σε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εγάλο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ποσοστό της τρέχουσας σοδειάς ηλιόσπορου στη Βουλγαρία και άρα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παραγωγής και προσφοράς ηλιόσπορου· και (β) στην πτώση των υδάτων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ποταµού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Δούναβη µε αποτέλεσµα να µην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(η πωλήτρια) να φορτώσει την ποσότητα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εµπορεύµατος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σε πλοίο 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ποτάµιο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λιµάνι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βρισκόταν κοντά στις εγκαταστάσεις της και µε περαιτέρω συνέπεια να υποχρεούται να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χρησιµοποιήσει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 Μαύρη Θάλασσα·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η αναγκαιότητα για φόρτωση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εµπορεύµατος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σε θαλάσσιο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επαγόταν για την πωλήτρια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αυξηµένα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έξοδα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εταφοράς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έχρι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αυτό, γεγονός που θα καθιστούσε την αρχικά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συµφωνηθείσα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τιµή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ασύµφορη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αυτήν. Έτσι, η πωλήτρια επικαλέστηκε ότι τα παραπάνω ήταν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εµπόδια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πέραν της σφαίρας επιρροής της τα οποία δεν έλαβε υπόψη της κατά τη σύναψη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και ούτε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τα αποφύγει και να υπερβεί τις συνέπειές τους∙ άρα, κατ’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79 παρ. 1, απαλλασσόταν από την υποχρέωσή της να καταβάλει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(βλ.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45 παρ. 1 περ. β΄, 74-77). </w:t>
      </w:r>
    </w:p>
    <w:p w14:paraId="789C23C8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Το δικαστήριο απέρριψε τους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ισχυρισµούς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πωλήτριας καθόσον: (α) αποδείχτηκε ότι αυτή γνώριζε ότι η παραγωγή και προσφορά ηλιόσπορου θα ήταν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περιορισµένη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συγκεκριµένο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έτος λόγω της ξηρασίας· και (β) η πτώση των υδάτων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ποταµού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Δούναβη ήταν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εντός της σφαίρας επιρροής της το οποίο έπρεπε να το είχε λάβει υπόψη της και να το αποφύγει, αφού το ίδιο γεγονός είχε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ξανασυµβεί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λίγα χρόνια πριν και, ενόψει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προηγούµενης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αυτής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εµπειρίας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η πωλήτρια έπρεπε να είχε εναλλακτικά προτείνει αναλόγως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αυξηµένο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την περίπτωση όπου, λόγω πτώσης των υδάτων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ποταµού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Δούναβη, θα ανέκυπτε ανάγκη για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εταφορά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εµπορευµάτων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από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Μαύρης Θάλασσας (αντί του εγγύτερου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ποτάµιου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)∙ διαφορετικά δεν θα έπρεπε να είχε προβεί στην υπογραφή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πώλησης. </w:t>
      </w:r>
    </w:p>
    <w:p w14:paraId="1915AC1D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Το δικαστήριο στήριξε επιπροσθέτως την απόφασή του για µη απαλλαγή της πωλήτριας από την ευθύνη της για µη παράδοση κάνοντας δεκτό ότι η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79 δεν παρέχει στον οφειλέτη τη δυνατότητα απαλλαγής από τις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συµβατικές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 υποχρεώσεις λόγω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εταβολής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οικονοµικού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υποβάθρου στο οποίο στηρίχθηκαν τα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κατά την κατάρτιση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καθόσον, στη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συγκεκριµένη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περίπτωση, η έναρξη της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εταφοράς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πλοίο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γίνει και από θαλάσσιο (αντί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ποτάµιου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)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, αν και µε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εγαλύτερο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κόστος για την πωλήτρια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49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</w:t>
      </w:r>
    </w:p>
    <w:p w14:paraId="6F78A32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8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Περαιτέρω, το δικαστήριο έκανε δεκτό ότι η αγοράστρια τήρησε την υποχρέωσή της υπό την </w:t>
      </w:r>
      <w:r w:rsidRPr="00D45081">
        <w:rPr>
          <w:rFonts w:ascii="Times New Roman" w:hAnsi="Times New Roman"/>
          <w:color w:val="000000"/>
          <w:spacing w:val="-8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77 (βλ.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παρ. 1140-1143)· ειδικότερα,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να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ειώσει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ζηµία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της από τη µη παράδοση της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συµφωνηθείσας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ποσότητας ηλιόσπορου, η αγοράστρια ενήργησε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άµεσα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και έλαβε πρόσφορα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έτρα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συνάπτοντας έγκαιρα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κάλυψης, δηλαδή αγοράζοντας από άλλον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την ποσότητα ηλιόσπορου που ήταν αναγκαία για την επιχείρηση ελαιουργίας της</w:t>
      </w:r>
      <w:r w:rsidRPr="00D45081">
        <w:rPr>
          <w:rFonts w:ascii="Times New Roman" w:hAnsi="Times New Roman"/>
          <w:color w:val="000000"/>
          <w:spacing w:val="-8"/>
          <w:kern w:val="0"/>
          <w:vertAlign w:val="superscript"/>
          <w:lang w:val="en-US" w:eastAsia="el-GR"/>
        </w:rPr>
        <w:footnoteReference w:id="50"/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</w:t>
      </w:r>
    </w:p>
    <w:p w14:paraId="02173DF3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Όπως ήδη αναφέρθηκε, η αγοράστρια, ως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τη µη παράδοση από τον πωλητή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πωληθείσας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ποσότητας ηλιόσπορου, απαίτησε τη διαφορά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συµφωνηµένου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πώλησης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και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κάλυψης µε τον τρίτο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παρά το γεγονός ότι κατά τα παραπάνω η αγοράστρια είχε συνάψει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κάλυψης για την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προµήθεια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µη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παραδοθείσας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ποσότητας από άλλο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το δικαστήριο δεν προέβη 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συγκεκριµένο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υπολογισµό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κατ’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75 (βλ.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431-432α). Αντίθετα,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εφαρµόζοντας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 γενική διάταξη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74 (βλ.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παρ. 1103-1105, 1106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.) το δικαστήριο: </w:t>
      </w:r>
    </w:p>
    <w:p w14:paraId="50B04AA6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(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i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) αφενός αρνήθηκε να επιδικάσει το σύνολο της αιτηθείσας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δηλαδή το ποσό κατά το οποίο: (1)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κάλυψης (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US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$323,50 ανά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ετρικό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τόνο), υπερέβαινε, (2)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είχε αρχικά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US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$230 ανά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ετρικό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τόνο), ήτοι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US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$93,50 ανά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ετρικό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τόνο, θεωρώντας ότι το ύψος της αιτηθείσας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υπερέβαινε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ζηµία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την οποία το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έρος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παρέβη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(η πωλήτρια) προέβλεψε ή όφειλε να είχε προβλέψει ως δυνατή ενόψει των γεγονότων και των συνθηκών τα οποία γνώριζε ή όφειλε να γνωρίζει∙ και </w:t>
      </w:r>
    </w:p>
    <w:p w14:paraId="162CA51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(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ii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) αφετέρου προέβη σε έναν πρωτότυπο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αφηρηµένο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υπολογισµό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ζηµίας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επιδικάζοντας το ποσό κατά το οποίο: (1)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κατά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έσο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όρο έπρεπε κάποιος να καταβάλει για να αγοράσει ηλιόσπορο από διάφορους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προµηθευτές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κατά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Σεπτέµβριο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 2001 (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US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$280 ανά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ετρικό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τόνο) υπερέβαινε, (2)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είχε αρχικά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συµφωνηθεί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US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$230 ανά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ετρικό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τόνο), δηλαδή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US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$50 ανά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ετρικό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τόνο καθόσον έκρινε, ότι αυτό ήταν το ποσό το οποίο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η πωλήτρια να προβλέψει ως δυνατή συνέπεια της αθέτησης κατά το χρόνο της σύναψης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(δηλαδή το επιπλέον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έπρεπε, κατά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έσον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όρο, να καταβάλει η αγοράστρια για να αγοράσει ηλιόσπορο από άλλους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προµηθευτές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).</w:t>
      </w:r>
    </w:p>
    <w:p w14:paraId="49C530BA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Από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κείµενο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απόφασης δεν προκύπτει αν η αγοράστρια υπαναχώρησε από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και σωρευτικά απαίτησε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ή αν απαίτησε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χωρίς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προηγούµενα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υπαναχωρήσει από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Από το γεγονός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ότι το δικαστήριο δεν υπολόγισε το ύψος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κατ’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75 (που προϋποθέτει υπαναχώρηση από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βλ.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παρ. 1131-1133), αλλά κατ’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γενικής διάταξης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74 (βλ.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παρ. 1103-1105, 1106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.) η οποία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εφαρµόζεται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κάθε αξίωση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υπό την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ανεξάρτητα από υπαναχώρηση, προκύπτει ότι το δικαστήριο είτε θεώρησε ότι η αγοράστρια απαίτησε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χωρίς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προηγούµενα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έχει υπαναχωρήσει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51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είτε δεν εξέτασε καθόλου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ζήτηµα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προηγούµενης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υπαναχώρησης. </w:t>
      </w:r>
    </w:p>
    <w:p w14:paraId="2CEB2836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Η παραπάνω λύση εκ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αποτελέσµατος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είναι ορθή, αλλά από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εθοδολογικής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απόψεως δεν θα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χαρακτηριστεί άρτια. Πιο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συγκεκριµένα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ορθότερο θα ήταν αν το δικαστήριο είχε εξετάσει το κατά πόσον η αγοράστρια είχε υπαναχωρήσει από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και σωρευτικά απαίτησε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(βλ.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45 παρ. 1(α), 45 παρ. 2) ή αν η αγοράστρια απαίτησε απευθείας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χωρίς να υπαναχωρήσει [βλ.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45 παρ. 1(β)]. Μάλιστα το δικαστήριο θα έπρεπε να είχε εξετάσει αν η αγοράστρια υπαναχώρησε κατ’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72 παρ. 1 η οποία ορίζει ότι: «Αν πριν το χρόνο εκπλήρωσης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καθίσταται σαφές ότι ένα από τα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θα διαπράξει ουσιώδη αθέτηση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, το άλλο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έρος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δηλώσει υπαναχώρηση από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» (βλ.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π.κ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παρ. 1239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.). Αυτό στην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εξεταζόµενη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περίπτωση φαίνεται ότι ισχύει διότι, µε βάση τα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πραγµατικά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περιστατικά, είχε πριν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ληξιπρόθεσµο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(τέλη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Σεπτεµβρίου-αρχές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Οκτωβρίου 2001) καταστεί σαφές (από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τηλεοµοιοτυπία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που απέστειλε η πωλήτρια την 19.9.2001) ότι η πωλήτρια θα διέπραττε ουσιώδη αθέτηση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(οριστική άρνηση παράδοσης των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πωληθέντων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). Μάλιστα λόγω της παραπάνω δήλωσης της πωλήτριας ότι δεν θα εκπληρώσει την υποχρέωσή της, η αγοράστρια, κατ’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72 παρ. 3, δεν απαιτείτο να προβεί σε γνωστοποίηση προς την πωλήτρια της πρόθεσής της για υπαναχώρηση σε συµµ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όρφωση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72 παρ. 2 (βλ.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π.κ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παρ. 1244-1245).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συµπέρασµα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αυτό περαιτέρω ενισχύεται από το γεγονός ότι ενόψει της «πριν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ληξιπρόθεσµο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» οριστικής άρνησης της πωλήτριας να εκπληρώσει την παροχή της και των χωρίς αποτέλεσµα οχλήσεων της αγοράστριας, η τελευταία προέβη 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κάλυψης µε την αγορά της αναγκαίας για την ελαιουργία της ποσότητας ηλιόσπορου από άλλο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συµπεριφορά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από την οποία προκύπτει ότι µάλλον θεώρησε ότι δεν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δεσµευόταν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πλέον από 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52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. </w:t>
      </w:r>
    </w:p>
    <w:p w14:paraId="547274E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ind w:left="170"/>
        <w:jc w:val="both"/>
        <w:textAlignment w:val="baseline"/>
        <w:rPr>
          <w:rFonts w:ascii="Times New Roman" w:hAnsi="Times New Roman"/>
          <w:color w:val="000000"/>
          <w:spacing w:val="-8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Αν το δικαστήριο είχε κατά τα παραπάνω κάνει δεκτό ότι η αγοράστρια υπαναχώρησε από τη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, τότε θα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περαιτέρω να κάνει δεκτό ότι, ενόψει της ύπαρξης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κάλυψης, η αγοράστρια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καταρχήν να απαιτήσει ως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 διαφορά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συµφωνηµένου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και του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κάλυψης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8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75 (βλ.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παρ. 1131-1133)∙ εν τούτοις, και στην περίπτωση αυτή η αιτηθείσα από την αγοράστρια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(που θα υπολογιζόταν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συγκεκριµένα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8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75) θα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εντέλει να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ειωθεί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από το δικαστήριο κατ’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8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77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εδ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β΄ (βλ.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παρ. 1140-1143). Ειδικότερα, η αιτηθείσα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θα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να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ειωθεί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κατ’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8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77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εδ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. β΄, αφού είναι προφανές ότι η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ζηµία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της αγοράστριας θα µ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πορούσε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ευχερώς να είχε περιορισθεί µε την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προµήθεια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(από την αγοράστρια) ηλιόσπορου από άλλον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µε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χαµηλότερο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, πράξη στην οποία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η αγοράστρια δεν προέβη (αφού αγόρασε την αναγκαία για την ελαιουργία της ποσότητα ηλιόσπορου από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συγκεκριµένο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προµηθευτή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 xml:space="preserve"> έναντι υψηλότερου </w:t>
      </w:r>
      <w:proofErr w:type="spellStart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8"/>
          <w:kern w:val="0"/>
          <w:vertAlign w:val="superscript"/>
          <w:lang w:val="en-US" w:eastAsia="el-GR"/>
        </w:rPr>
        <w:footnoteReference w:id="53"/>
      </w:r>
      <w:r w:rsidRPr="00D45081">
        <w:rPr>
          <w:rFonts w:ascii="Times New Roman" w:hAnsi="Times New Roman"/>
          <w:color w:val="000000"/>
          <w:spacing w:val="-8"/>
          <w:kern w:val="0"/>
          <w:lang w:eastAsia="el-GR"/>
        </w:rPr>
        <w:t>.</w:t>
      </w:r>
    </w:p>
    <w:p w14:paraId="45FAF71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9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>(γ) Αιτιώδης συνάφεια µ</w:t>
      </w:r>
      <w:proofErr w:type="spellStart"/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 xml:space="preserve"> και της µη εκπλήρωσης της </w:t>
      </w:r>
      <w:proofErr w:type="spellStart"/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>συµβατικής</w:t>
      </w:r>
      <w:proofErr w:type="spellEnd"/>
      <w:r w:rsidRPr="00D45081">
        <w:rPr>
          <w:rFonts w:ascii="Times New Roman" w:hAnsi="Times New Roman"/>
          <w:color w:val="000000"/>
          <w:spacing w:val="-9"/>
          <w:kern w:val="0"/>
          <w:lang w:eastAsia="el-GR"/>
        </w:rPr>
        <w:t xml:space="preserve"> παροχής</w:t>
      </w:r>
    </w:p>
    <w:p w14:paraId="47E50F68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4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4"/>
          <w:kern w:val="0"/>
          <w:lang w:eastAsia="el-GR"/>
        </w:rPr>
        <w:t xml:space="preserve">Το απρόβλεπτο και αναπόφευκτο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4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4"/>
          <w:kern w:val="0"/>
          <w:lang w:eastAsia="el-GR"/>
        </w:rPr>
        <w:t xml:space="preserve"> ως η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4"/>
          <w:kern w:val="0"/>
          <w:lang w:eastAsia="el-GR"/>
        </w:rPr>
        <w:t>όνη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4"/>
          <w:kern w:val="0"/>
          <w:lang w:eastAsia="el-GR"/>
        </w:rPr>
        <w:t xml:space="preserve"> αιτία για τη µη εκπλήρωση της παροχής.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να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εφαρµοστεί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η </w:t>
      </w:r>
      <w:r w:rsidRPr="00D45081">
        <w:rPr>
          <w:rFonts w:ascii="Times New Roman" w:hAnsi="Times New Roman"/>
          <w:color w:val="000000"/>
          <w:spacing w:val="-4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79 παρ. 1, το απρόβλεπτο και αναπόφευκτο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(βλ.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. παρ. 1146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. και 1152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επ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.) θα πρέπει να αποτελεί τη µ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όνη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αιτία για τη µη εκπλήρωση της παροχής. Έτσι, για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παράδειγµα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, ο πωλητής δεν θα απαλλάσσεται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4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79 παρ. 1 από την ευθύνη του προς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για µη παράδοση των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πωληθέντων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, αν πρώτα δηλώσει ότι δεν θα παραδώσει τα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και στη συνέχεια τα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καταστραφούν από τυχαίο περιστατικό (λ.χ. από φωτιά).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Οµοίως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ο οφειλέτης της παροχής δεν θα απαλλαγεί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4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79 παρ. 1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, αν η µη εκπλήρωση της παροχής οφείλεται τόσο σε απρόβλεπτο και ανυπέρβλητο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όσο και στη δική του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αντισυµβατική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συµπεριφορά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vertAlign w:val="superscript"/>
          <w:lang w:val="en-US" w:eastAsia="el-GR"/>
        </w:rPr>
        <w:footnoteReference w:id="54"/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. </w:t>
      </w:r>
    </w:p>
    <w:p w14:paraId="398CE684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Υποστηρίζεται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ότι αν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ούτως ή άλλως θα καταστρέφονταν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τυχαίως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τότε,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αν ο οφειλέτης της παροχής είχε αθετήσει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πώλησης, 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ια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αιτία επικαλύπτει την άλλη.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στις περιπτώσεις αυτές 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αντισυµβατική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συµπεριφορά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οφειλέτη της παροχής δεν θα ληφθεί υπόψη και κατά συνέπεια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εφαρµοστεί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λόγω της τυχαίας καταστροφής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Έτσι,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παράδειγµα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αν ο πωλητής δεν είχε συσκευάσει προσηκόντως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εντός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εµπορευµατοκιβωτίου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αθετώντας έτσι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πώλησης, αλλά στη συνέχεια το πλοίο µε το οποίο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εταφέρονται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βυθιστεί λόγω θύελλας (δηλαδή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θα καταστρέφονταν ούτως ή άλλως), η βύθιση του πλοίου συνιστά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πέραν του ελέγχου του πωλητή το οποίο υπερκαλύπτει την προαναφερθείσα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αθέτηση (µη σωστή συσκευασία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και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 πωλητής, σε σχετικό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αίτηµα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αγοραστή για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αθέτηση,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προβάλλοντας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όπου «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» θα θεωρείται η βύθιση του πλοίου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55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6D7438B5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br/>
        <w:t xml:space="preserve">9.5.7.3 Απαλλαγή από την ευθύνη προς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λόγω µη εκπλήρωσης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br/>
        <w:t>από τρίτο πρόσωπο</w:t>
      </w:r>
    </w:p>
    <w:p w14:paraId="1EB06108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Γενικά - </w:t>
      </w:r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 79 παρ. 2.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Η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79 παρ. 2 ορίζει ότι: «Αν η µη εκπλήρωση από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συµβαλλόµενο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οφείλεται στη µη εκπλήρωση από τρίτον, που 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συµβαλλόµενος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αυτός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χρησιµοποιεί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να εκτελέσει το σύνολο ή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τµήµα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συµβαλλόµενος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απαλλάσσεται από την ευθύνη µόνο αν: (α) η απαλλαγή χωρεί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προηγούµενη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παράγραφο [εν. την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79 παρ. 1] και (β) ο ίδιος θα απαλλασσόταν επίσης, εφόσον οι διατάξεις της παραπάνω παραγράφου [εν.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79 παρ. 1]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εφαρµόζονταν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σε αυτόν». </w:t>
      </w:r>
    </w:p>
    <w:p w14:paraId="6F872B5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Μη εκπλήρωση της παροχής από τρίτο πρόσωπο.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2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ρυθµίζει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την περίπτωση όπου η µη εκπλήρωση της παροχής από τον οφειλέτη οφείλεται σε µη εκπλήρωση από τρίτο πρόσωπο το οποίο ο οφειλέτης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χρησιµοποιεί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να εκπληρώσει το σύνολο 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τµήµα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υποχρεώσεων. Στην περίπτωση αυτή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από την ευθύνη του προς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1, ο οφειλέτης της παροχής πρέπει να αποδείξει ότι οι προϋποθέσεις που θέτει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(βλ.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 παρ. 1144-1168) πληρούνται τόσο για τον ίδιο, όσο και για το τρίτο πρόσωπο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56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2F95EA9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Τρίτο πρόσωπο υπό την 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79 παρ. 2 - Έννοια.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Γίνεται δεκτό ότι για τους σκοπούς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2 στην έννοια του «τρίτου»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περιλαµβάνονται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πρόσωπα τα οποία ενεργούν αυτοτελώς χωρίς να υπάγονται στη σφαίρα επιρροής και ευθύνης του οφειλέτη της παροχής και στα οποία ο τελευταίος ανέθεσε την εκπλήρωση του συνόλου 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παροχής του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sub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-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contractors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(λ.χ. εταιρίες στις οποίες ο πωλητής αναθέτει να κατασκευάσουν και να παραδώσουν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στον αγοραστή,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εταφορικές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εταιρίες που θα παραδώσουν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λογαριασµό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πωλητή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πράγµατα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στον αγοραστή κ.ά.). Εν τούτοις, γίνεται δεκτό ότι στην έννοια του τρίτου προσώπου δεν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περιλαµβάνονται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προµηθευτές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suppliers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του πωλητή·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στην τελευταία περίπτωση,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ο πωλητής από την ευθύνη του προς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αρκεί να αποδείξει µόνο για το πρόσωπό του την πλήρωση των προϋποθέσεων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57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2554873B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Γενικότερα πάντως,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εµπίπτει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στην έννοια του «τρίτου» για τους σκοπούς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2, το τρίτο πρόσωπο θα πρέπει: (α) να έχει αναλάβει την εκπλήρωση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υποχρεώσεων του οφειλέτη της παροχής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την κατάρτιση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πώλησης∙ (β) να γνωρίζει ότι εκπληρώνει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λογαριασµό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οφειλέτη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υποχρέωση του τελευταίου προς το δανειστή της παροχής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58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∙ και (γ) να αποτελεί πρόσωπο του οποίου η ικανότητα θα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αξιολογηθεί από τον οφειλέτη της παροχής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59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36D4B20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9.5.7.4 Προσωρινά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εµπόδια</w:t>
      </w:r>
      <w:proofErr w:type="spellEnd"/>
    </w:p>
    <w:p w14:paraId="18BDCCD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Συνέπειες προσωρινών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εµποδίων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- 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79 παρ. 3.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3 η απαλλαγή του αθετήσαντος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συµβαλλόµενου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ισχύει για όσο χρονικό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διάστηµα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διαρκεί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(για την έννοια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βλ.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π.π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παρ. 1146-1151).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τα οποία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παρεµποδίζουν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προσωρινά την εκπλήρωση της παροχής, απαλλάσσουν τον οφειλέτη της παροχής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µόνο προσωρινά (δηλαδή για όσο διαρκούν) και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όνον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εφόσον ειδοποιηθεί ο δανειστής της παροχής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4 (για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4 βλ.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π.κ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 παρ. 1174)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0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446762D0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9.5.7.5 Υποχρέωση ειδοποίησης για το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και τις επιπτώσεις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br/>
        <w:t>του στη δυνατότητα εκπλήρωσης της παροχής</w:t>
      </w:r>
    </w:p>
    <w:p w14:paraId="4D46AD30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Υποχρέωση αθετούντος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συµβαλλόµενου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για ειδοποίηση αναφορικά µε την ύπαρξη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εµποδίου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- 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79 παρ. 4 - Συνέπειες µη ειδοποίησης.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συµβαλλόµενος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δεν εκπληρώνει την υποχρέωσή του οφείλει να ειδοποιήσει τον άλλο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συµβαλλόµενο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τις επιπτώσεις του στη δυνατότητά του να εκπληρώσει την υποχρέωση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4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εδ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α΄). Αν η ειδοποίηση δεν περιέλθει στον άλλο [εν.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συµβαλλόµενο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]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έσα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σε εύλογο χρόνο από τότε που 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συµβαλλόµενος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ο οποίος δεν εκπληρώνει, γνώριζε ή όφειλε να γνωρίζει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ο τελευταίος [εν. 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συµβαλλοµενος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δεν εκπληρώνει την υποχρέωσή του] ευθύνεται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ζηµίες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προκύπτουν από τη µη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περιέλευση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4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εδ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 β΄)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eastAsia="el-GR"/>
        </w:rPr>
        <w:footnoteReference w:id="61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2B6EEC4C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Σηµειωτέον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ότι 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που προβλέπεται στην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4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εδ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β΄ θα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περιλαµβάνει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µόνο τη θετική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ζηµία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δανειστή της παροχής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2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596BDBA0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br/>
        <w:t xml:space="preserve">9.5.7.6 Διατήρηση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δικαιωµάτων</w:t>
      </w:r>
      <w:proofErr w:type="spellEnd"/>
    </w:p>
    <w:p w14:paraId="19D575EC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Απαλλαγή αθετήσαντος µόνο από την ευθύνη του για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- Διατήρηση λοιπών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έννοµων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βοηθηµάτων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- 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79 παρ. 5.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απαλλάσσει τον οφειλέτη της παροχής µόνο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Ειδικότερα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5 ορίζει ότι: «Το παρόν άρθρο [εν. το άρθρο 79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] δεν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εµποδίζει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τα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ασκήσουν οποιοδήποτε άλλο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εκτός από την απαίτηση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παρούσα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».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βάση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5, αν ο πωλητής δεν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εκπλήρωσει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υποχρέωση λόγω γεγονότος ανώτερης βίας, ο αγοραστής διατηρεί, µε την εξαίρεση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δικαιώµατος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το σύνολο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έννοµων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βοηθηµάτων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(αυτούσια εκπλήρωση,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, υπαναχώρηση)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3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∙ το ίδιο ισχύει και για τον αγοραστή (αυτούσια εκπλήρωση, υπαναχώρηση)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4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2D19AEAF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4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4"/>
          <w:kern w:val="0"/>
          <w:lang w:eastAsia="el-GR"/>
        </w:rPr>
        <w:t xml:space="preserve">Μη διατήρηση αξίωσης αυτούσιας εκπλήρωσης κατά τελολογική συστολή. </w:t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Εν τούτοις, ειδικά για την αξίωση εκπλήρωσης, υποστηρίζεται ότι, αν το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εµπόδιο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που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παρεµποδίζει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την εκπλήρωση φθάσει σε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σηµείο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αδυναµίας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παροχής που ξεπερνά το ανώτατο όριο θυσίας του οφειλέτη της παροχής, ο δανειστής θα πρέπει να στερείται, εκτός από το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έννοµο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βοήθηµα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, και το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έννοµο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βοήθηµα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της αυτούσιας εκπλήρωσης και να διατηρεί, κατά τελολογική συστολή της </w:t>
      </w:r>
      <w:r w:rsidRPr="00D45081">
        <w:rPr>
          <w:rFonts w:ascii="Times New Roman" w:hAnsi="Times New Roman"/>
          <w:color w:val="000000"/>
          <w:spacing w:val="-4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79 παρ. 5, µόνο τα λοιπά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έννοµα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βοηθήµατα</w:t>
      </w:r>
      <w:proofErr w:type="spellEnd"/>
      <w:r w:rsidRPr="00D45081">
        <w:rPr>
          <w:rFonts w:ascii="Times New Roman" w:hAnsi="Times New Roman"/>
          <w:color w:val="000000"/>
          <w:spacing w:val="-4"/>
          <w:kern w:val="0"/>
          <w:vertAlign w:val="superscript"/>
          <w:lang w:val="en-US" w:eastAsia="el-GR"/>
        </w:rPr>
        <w:footnoteReference w:id="65"/>
      </w:r>
      <w:r w:rsidRPr="00D45081">
        <w:rPr>
          <w:rFonts w:ascii="Times New Roman" w:hAnsi="Times New Roman"/>
          <w:color w:val="000000"/>
          <w:spacing w:val="-4"/>
          <w:kern w:val="0"/>
          <w:lang w:eastAsia="el-GR"/>
        </w:rPr>
        <w:t>.</w:t>
      </w:r>
    </w:p>
    <w:p w14:paraId="4D4F4225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9.5.7.7 Βάρος της απόδειξης</w:t>
      </w:r>
    </w:p>
    <w:p w14:paraId="74A965B9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Βάρος απόδειξης αθετήσαντος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να απαλλαγεί από την ευθύνη του για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Ο οφειλέτης της παροχής επικαλείται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έναντι αξίωσης του δανειστή για καταβολή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στις περιπτώσεις όπου [ο οφειλέτης] δεν έχει εκπληρώσει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παροχή ή την έχει εκπληρώσει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πλη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µµ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ελώς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Ειδικότερα,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ο οφειλέτης της παροχής θα πρέπει να αποδείξει 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συνδροµή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προϋποθέσεων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6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Όµως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ειδικά για τις περιπτώσεις όπου η µη εκπλήρωση οφείλεται σε τρίτο πρόσωπο (βλ.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2)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7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 οφειλέτης της παροχής να απαλλαγεί από την ευθύνη του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θα πρέπει να αποδείξει ότι οι προϋποθέσεις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παρ. 1 πληρούνται τόσο ως προς τον ίδιο, όσο και ως προς το τρίτο πρόσωπο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8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21B053B5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textAlignment w:val="baseline"/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br/>
        <w:t xml:space="preserve">9.5.7.8 Το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ζήτηµα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της µ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εταβολής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οικονοµικού</w:t>
      </w:r>
      <w:proofErr w:type="spellEnd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υποβάθρου της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>σύµβασης</w:t>
      </w:r>
      <w:proofErr w:type="spellEnd"/>
    </w:p>
    <w:p w14:paraId="04881702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Μεταβολή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οικονοµικού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υποβάθρου της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ρυθµίζει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µόνο την πλήρη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αδυναµία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παροχής και δεν υιοθετεί τη θεωρία της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val="en-US" w:eastAsia="el-GR"/>
        </w:rPr>
        <w:t>clausula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val="en-US" w:eastAsia="el-GR"/>
        </w:rPr>
        <w:t>rebus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val="en-US" w:eastAsia="el-GR"/>
        </w:rPr>
        <w:t>sic</w:t>
      </w:r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5"/>
          <w:kern w:val="0"/>
          <w:lang w:val="en-US" w:eastAsia="el-GR"/>
        </w:rPr>
        <w:t>standibus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69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Εποµένως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δεν παρέχει τη δυνατότητα στον οφειλέτη της παροχής να απαλλαγεί από την ευθύνη του, αν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εταβληθεί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οικονοµικό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υπόβαθρο στο οποίο στηρίχθηκαν τα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κατά την κατάρτιση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0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∙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οµοίως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δεν παρέχει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δικαίωµα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στον οφειλέτη της παροχής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επαναδιαπραγµατευτεί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τους όρους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 σε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περιπτώση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εταβολής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πραγµατικών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συνθηκών 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αδυναµίας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economic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impossibility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impracticability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hardship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1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Δηλαδή ως προς τα ζητήµατα αυτά η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εµφανίζει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κενό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αµφισβ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2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73E7497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Μη απαλλαγή οφειλέτη της παροχής από την ευθύνη του - Περιπτωσιολογία.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Με βάση τα παραπάνω, 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συνδροµή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περιστατικών, όπως η ξαφνική αύξηση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τιµών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πρώτων υλών ή η αναγκαιότητα για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εταφορά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εναλλακτική οδό µε συνέπεια περισσότερα έξοδα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3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δεν θα επιτρέψουν στον πωλητή να απαλλαγεί από την ευθύνη του προς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αποζηµίωση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µη παράδοση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4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∙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οµοίως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ια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εγάλη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υποτίµηση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νοµίσµατος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στο οποίο είχε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συµφωνηθεί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η καταβολή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δεν θα επιτρέψει στον πωλητή να ζητήσει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επαναδιαπραγµάτευση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όρων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 λόγω του ότι η εκπλήρωση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έχει καταστεί ιδιαίτερα επαχθής γι’ αυτόν από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απόψεως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5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0AF96A37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Μεταβολή σε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εγάλο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βαθµό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πραγµατικών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περιστατικών της σύναψης της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- Ύπαρξη ανώτατου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όριου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θυσίας.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Εν τούτοις υποστηρίζεται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6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ότι, όταν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πραγµατικά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περιστατικά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εταβάλλονται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σε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εγάλο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βαθµό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ο δικαστής θα πρέπει να είναι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έτοιµος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αναγνωρίσει την ύπαρξη ενός «ανώτατου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όριου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θυσίας» πέραν του οποίου, ενόψει των σοβαρών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δυσχερειών, δεν θα πρέπει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αναµένεται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από τον οφειλέτη η εκπλήρωση της παροχής του (λ.χ. γενική ανατροπή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οικονοµίας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αγοράς σε συνθήκες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πολέµου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, κατακόρυφη πτώση της αγοραστικής αξίας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νοµίσµατος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κ.λπ.).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ίδια άποψη, το αποτέλεσµα αυτό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προκύψει µε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ερµηνεία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79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7 παρ. 1, έτσι ώστε να διασφαλιστεί η καλή πίστη που πρέπει να διέπει το διεθνές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εµπόριο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7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∙ επίσης,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προκύψει µε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ερµηνεία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 µε βάση τα κριτήρια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8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78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η οποία (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ερµηνεία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 θα υποδείξει, κατ’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εφαρµογή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6, την ύπαρξη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συµφωνίας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ερών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κατανοµή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σχετικών κινδύνων και για δυνατότητα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επαναδιαπράγµατευσης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σε περίπτωση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ετατροπής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υποβάθρου στο οποίο τα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στηρίχθηκαν κατά τη σύναψη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</w:t>
      </w:r>
    </w:p>
    <w:p w14:paraId="1D6C84B1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6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>Επαναδιαπραγµάτευση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>συµβατικών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6"/>
          <w:kern w:val="0"/>
          <w:lang w:eastAsia="el-GR"/>
        </w:rPr>
        <w:t xml:space="preserve"> όρων σε εξαιρετικές περιπτώσεις. 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Πάντως, και αν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κάποιος ήθελε δεχθεί ότι η παραπάνω άποψη (βλ. παρ. 1181)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πορεί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val="en-US" w:eastAsia="el-GR"/>
        </w:rPr>
        <w:t>de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val="en-US" w:eastAsia="el-GR"/>
        </w:rPr>
        <w:t>lege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val="en-US" w:eastAsia="el-GR"/>
        </w:rPr>
        <w:t>lata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στηριχθεί στην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, η κατά τα παραπάνω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ερµηνεία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79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7 παρ. 1 ή 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ερµηνεία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πώλησης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σύµφωνα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µε την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8 θα πρέπει, κατά την άποψη του γράφοντος, σε κάθε περίπτωση να γίνεται µε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εγάλη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προσοχή και περιοριστικά· βασικό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επιχείρηµα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υπέρ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ιας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τέτοιας περιοριστικής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ερµηνείας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αποτελεί το γεγονός ότι η παροχή ευρείας δυνατότητας στα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έρη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επαναδιαπραγµάτευση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των όρων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ή για «αποχώρηση» από 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συµβατικό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δεσµό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λόγω ανατροπής των αρχικών περιστάσεων οδηγεί: (α) σε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κάµψη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ασφάλειας των συναλλαγών (οι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συµβαλλόµενοι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γνωρίζουν ότι η </w:t>
      </w:r>
      <w:r w:rsidRPr="00D45081">
        <w:rPr>
          <w:rFonts w:ascii="Times New Roman" w:hAnsi="Times New Roman"/>
          <w:color w:val="000000"/>
          <w:spacing w:val="-6"/>
          <w:kern w:val="0"/>
          <w:lang w:val="en-US" w:eastAsia="el-GR"/>
        </w:rPr>
        <w:t>CISG</w:t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δεν περιέχει τέτοια διάταξη οπότε η παροχή δυνατότητας στον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αντισυµβαλλόµενό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τους για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επαναδιαπραγµάτευση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ή λύση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είναι µη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αναµενόµενη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)∙ και (β) σε µη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σεβασµό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αρχής 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val="en-US" w:eastAsia="el-GR"/>
        </w:rPr>
        <w:t>pacta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val="en-US" w:eastAsia="el-GR"/>
        </w:rPr>
        <w:t>sunt</w:t>
      </w:r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i/>
          <w:iCs/>
          <w:color w:val="000000"/>
          <w:spacing w:val="-6"/>
          <w:kern w:val="0"/>
          <w:lang w:val="en-US" w:eastAsia="el-GR"/>
        </w:rPr>
        <w:t>servanda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79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στο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όνοµα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ιας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γενικής και αόριστης επιταγής για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συµβατική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δικαιοσύνη η οποία θα ανατρέπει αυτά που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συµφωνήθηκαν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εταξύ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έµπειρων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συναλλασσόµενων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(οι οποίοι είναι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αναµενόµενο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ότι θα έχουν γνώση των σχετικών κινδύνων και «αναποδιών» του διεθνούς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εµπορίου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και έτσι θα φροντίζουν ή θα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πορούσαν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να είχαν φροντίσει για την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ενσωµάτωση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της πώλησης όρων οι οποίοι θα προβλέπουν για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επαναδιαπραγµάτευση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ή για λύση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σε περίπτωση µ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εταβολής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οικονοµικού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υποβάθρου ή των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πραγµατικών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 xml:space="preserve"> περιστατικών που ίσχυαν κατά τη σύναψη της </w:t>
      </w:r>
      <w:proofErr w:type="spellStart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6"/>
          <w:kern w:val="0"/>
          <w:vertAlign w:val="superscript"/>
          <w:lang w:val="en-US" w:eastAsia="el-GR"/>
        </w:rPr>
        <w:footnoteReference w:id="80"/>
      </w:r>
      <w:r w:rsidRPr="00D45081">
        <w:rPr>
          <w:rFonts w:ascii="Times New Roman" w:hAnsi="Times New Roman"/>
          <w:color w:val="000000"/>
          <w:spacing w:val="-6"/>
          <w:kern w:val="0"/>
          <w:lang w:eastAsia="el-GR"/>
        </w:rPr>
        <w:t>.</w:t>
      </w:r>
    </w:p>
    <w:p w14:paraId="672B436E" w14:textId="77777777" w:rsidR="00D45081" w:rsidRPr="00D45081" w:rsidRDefault="00D45081" w:rsidP="00D45081">
      <w:pPr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hAnsi="Times New Roman"/>
          <w:color w:val="000000"/>
          <w:spacing w:val="-5"/>
          <w:kern w:val="0"/>
          <w:lang w:eastAsia="el-GR"/>
        </w:rPr>
      </w:pP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Συµβατικοί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όροι που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ρυθµίζουν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τη µ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εταβολή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οικονοµικού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υποβάθρου ή των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πραγµατικών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 περιστατικών που ίσχυαν κατά τη σύναψη της </w:t>
      </w:r>
      <w:proofErr w:type="spellStart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b/>
          <w:bCs/>
          <w:color w:val="000000"/>
          <w:spacing w:val="-5"/>
          <w:kern w:val="0"/>
          <w:lang w:eastAsia="el-GR"/>
        </w:rPr>
        <w:t xml:space="preserve">. 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Ενόψει των παραπάνω,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προκειµένου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έµπειροι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συναλλασσόµενοι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είναι βέβαιοι ότι θα συνεχίσουν να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δεσµεύονται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όνον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εφόσον οι περιστάσεις που ίσχυαν κατά τη σύναψη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συνεχίσουν να ισχύουν, συνήθως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ενσωµατώνουν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στη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της πώλησης ρήτρες ανώτερης βίας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force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majeure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clauses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), ρήτρες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επαναδιαπραγµάτευσης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renegotiation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clauses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), ρήτρες ανεπιείκειας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hardship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clauses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 και γενικότερα διαφόρων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ορφών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συµβατικούς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όρους µε τους οποίους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κατανέµονται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οι κίνδυνοι που σχετίζονται µε τη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εταβολή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οικονοµικού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υποβάθρου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ρυθµίζεται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 αποτέλεσµα της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εταβολής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περιστάσεων που «συνόδευαν» τη σύναψη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. Ως χαρακτηριστικά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παραδείγµατα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πορούν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να αναφερθούν τα ακόλουθα: (α)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συµβατικός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όρος που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ρυθµίζει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τις υποχρεώσεις και 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δικαιώµατα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ερών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σε περίπτωση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εγάλης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υποτίµησης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νοµίσµατος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στο οποίο πρόκειται να καταβληθεί το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τίµηµα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· (β)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συµβατικός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όρος που προβλέπει για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αναπροσαρµογή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του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τιµήµατος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σε περίπτωση όπου η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εταφορά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πραγµάτων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πρέπει να γίνει από εναλλακτική οδό µε συνέπεια την αύξηση των σχετικών εξόδων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price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adjustment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81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· (γ)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συµβατικός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όρος που παρέχει δυνατότητα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επαναδιαπραγµάτευσης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(ή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ακόµα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και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αυτόµατης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λύσεως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 στην περίπτωση ουσιώδους µ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εταβολής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των περιστάσεων που ίσχυαν κατά τη σύναψη της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σύµβασης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µε αποτέλεσµα η εκπλήρωση των </w:t>
      </w:r>
      <w:proofErr w:type="spellStart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συµβατικών</w:t>
      </w:r>
      <w:proofErr w:type="spellEnd"/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υποχρεώσεων να καθίσταται επαχθής (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renegotiation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ή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hardship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 xml:space="preserve"> </w:t>
      </w:r>
      <w:r w:rsidRPr="00D45081">
        <w:rPr>
          <w:rFonts w:ascii="Times New Roman" w:hAnsi="Times New Roman"/>
          <w:color w:val="000000"/>
          <w:spacing w:val="-5"/>
          <w:kern w:val="0"/>
          <w:lang w:val="en-US" w:eastAsia="el-GR"/>
        </w:rPr>
        <w:t>clause</w:t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) κ.ά.</w:t>
      </w:r>
      <w:r w:rsidRPr="00D45081">
        <w:rPr>
          <w:rFonts w:ascii="Times New Roman" w:hAnsi="Times New Roman"/>
          <w:color w:val="000000"/>
          <w:spacing w:val="-5"/>
          <w:kern w:val="0"/>
          <w:vertAlign w:val="superscript"/>
          <w:lang w:val="en-US" w:eastAsia="el-GR"/>
        </w:rPr>
        <w:footnoteReference w:id="82"/>
      </w:r>
      <w:r w:rsidRPr="00D45081">
        <w:rPr>
          <w:rFonts w:ascii="Times New Roman" w:hAnsi="Times New Roman"/>
          <w:color w:val="000000"/>
          <w:spacing w:val="-5"/>
          <w:kern w:val="0"/>
          <w:lang w:eastAsia="el-GR"/>
        </w:rPr>
        <w:t>.</w:t>
      </w:r>
    </w:p>
    <w:p w14:paraId="301A67C0" w14:textId="77777777" w:rsidR="00A64230" w:rsidRPr="00D45081" w:rsidRDefault="00A64230" w:rsidP="00D45081">
      <w:pPr>
        <w:spacing w:after="120" w:line="276" w:lineRule="auto"/>
        <w:rPr>
          <w:rFonts w:ascii="Times New Roman" w:hAnsi="Times New Roman"/>
        </w:rPr>
      </w:pPr>
    </w:p>
    <w:sectPr w:rsidR="00A64230" w:rsidRPr="00D45081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078D" w14:textId="77777777" w:rsidR="004968EB" w:rsidRDefault="004968EB" w:rsidP="00C93B09">
      <w:pPr>
        <w:spacing w:after="0" w:line="240" w:lineRule="auto"/>
      </w:pPr>
      <w:r>
        <w:separator/>
      </w:r>
    </w:p>
  </w:endnote>
  <w:endnote w:type="continuationSeparator" w:id="0">
    <w:p w14:paraId="70389E2B" w14:textId="77777777" w:rsidR="004968EB" w:rsidRDefault="004968EB" w:rsidP="00C93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FIndex">
    <w:charset w:val="A1"/>
    <w:family w:val="auto"/>
    <w:pitch w:val="variable"/>
    <w:sig w:usb0="8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11623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39D2E98D" w14:textId="75C8B1A9" w:rsidR="00C93B09" w:rsidRPr="00C93B09" w:rsidRDefault="00C93B09">
        <w:pPr>
          <w:pStyle w:val="ab"/>
          <w:jc w:val="center"/>
          <w:rPr>
            <w:rFonts w:ascii="Times New Roman" w:hAnsi="Times New Roman"/>
            <w:sz w:val="20"/>
            <w:szCs w:val="20"/>
          </w:rPr>
        </w:pPr>
        <w:r w:rsidRPr="00C93B09">
          <w:rPr>
            <w:rFonts w:ascii="Times New Roman" w:hAnsi="Times New Roman"/>
            <w:sz w:val="20"/>
            <w:szCs w:val="20"/>
          </w:rPr>
          <w:fldChar w:fldCharType="begin"/>
        </w:r>
        <w:r w:rsidRPr="00C93B0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93B09">
          <w:rPr>
            <w:rFonts w:ascii="Times New Roman" w:hAnsi="Times New Roman"/>
            <w:sz w:val="20"/>
            <w:szCs w:val="20"/>
          </w:rPr>
          <w:fldChar w:fldCharType="separate"/>
        </w:r>
        <w:r w:rsidRPr="00C93B09">
          <w:rPr>
            <w:rFonts w:ascii="Times New Roman" w:hAnsi="Times New Roman"/>
            <w:sz w:val="20"/>
            <w:szCs w:val="20"/>
          </w:rPr>
          <w:t>2</w:t>
        </w:r>
        <w:r w:rsidRPr="00C93B0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E0F1131" w14:textId="77777777" w:rsidR="00C93B09" w:rsidRDefault="00C93B0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AA219" w14:textId="77777777" w:rsidR="004968EB" w:rsidRDefault="004968EB" w:rsidP="00C93B09">
      <w:pPr>
        <w:spacing w:after="0" w:line="240" w:lineRule="auto"/>
      </w:pPr>
      <w:r>
        <w:separator/>
      </w:r>
    </w:p>
  </w:footnote>
  <w:footnote w:type="continuationSeparator" w:id="0">
    <w:p w14:paraId="4D92254E" w14:textId="77777777" w:rsidR="004968EB" w:rsidRDefault="004968EB" w:rsidP="00C93B09">
      <w:pPr>
        <w:spacing w:after="0" w:line="240" w:lineRule="auto"/>
      </w:pPr>
      <w:r>
        <w:continuationSeparator/>
      </w:r>
    </w:p>
  </w:footnote>
  <w:footnote w:id="1">
    <w:p w14:paraId="6E0FBD1E" w14:textId="1E8FCD07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843-862.</w:t>
      </w:r>
    </w:p>
  </w:footnote>
  <w:footnote w:id="2">
    <w:p w14:paraId="12899D75" w14:textId="0DB94AB5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864-865.</w:t>
      </w:r>
    </w:p>
  </w:footnote>
  <w:footnote w:id="3">
    <w:p w14:paraId="3DAB4E6C" w14:textId="1873A7F8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863.</w:t>
      </w:r>
    </w:p>
  </w:footnote>
  <w:footnote w:id="4">
    <w:p w14:paraId="5A1F2C8A" w14:textId="27FFA0FF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908-910.</w:t>
      </w:r>
    </w:p>
  </w:footnote>
  <w:footnote w:id="5">
    <w:p w14:paraId="0B233057" w14:textId="11E369DE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911-912.</w:t>
      </w:r>
      <w:r w:rsidR="00C67EC2"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</w:footnote>
  <w:footnote w:id="6">
    <w:p w14:paraId="4CBC64FE" w14:textId="5C61188D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1058-1063, 1072-1075, 1082-1087. </w:t>
      </w:r>
    </w:p>
  </w:footnote>
  <w:footnote w:id="7">
    <w:p w14:paraId="7E0D6490" w14:textId="13F7CE30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έννοια της ουσιώδους αθέτησης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1033-1057 και ιδίως 1050-1052.</w:t>
      </w:r>
    </w:p>
  </w:footnote>
  <w:footnote w:id="8">
    <w:p w14:paraId="11D74C7E" w14:textId="24ADCFAC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1190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(ιδίως 1229-1230).</w:t>
      </w:r>
    </w:p>
  </w:footnote>
  <w:footnote w:id="9">
    <w:p w14:paraId="5201B152" w14:textId="3B04B0DB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843-859.</w:t>
      </w:r>
    </w:p>
  </w:footnote>
  <w:footnote w:id="10">
    <w:p w14:paraId="63DADB3B" w14:textId="3E01A451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1231-1234.</w:t>
      </w:r>
    </w:p>
  </w:footnote>
  <w:footnote w:id="11">
    <w:p w14:paraId="0D8683C8" w14:textId="60097A56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1094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Πάντως ο αγοραστής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κατ’ επιλογήν του, να απαιτήσει µόνο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1184-1188.</w:t>
      </w:r>
    </w:p>
  </w:footnote>
  <w:footnote w:id="12">
    <w:p w14:paraId="797120E4" w14:textId="66A716F2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1288-1306.</w:t>
      </w:r>
    </w:p>
  </w:footnote>
  <w:footnote w:id="13">
    <w:p w14:paraId="0407C68A" w14:textId="77777777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866-894.</w:t>
      </w:r>
    </w:p>
    <w:p w14:paraId="39584B6A" w14:textId="77777777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</w:p>
  </w:footnote>
  <w:footnote w:id="14">
    <w:p w14:paraId="5CE1084F" w14:textId="33283CB9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έννοια της ουσιώδους αθέτησης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1033-1057 και ιδίως 1047-1048.</w:t>
      </w:r>
    </w:p>
  </w:footnote>
  <w:footnote w:id="15">
    <w:p w14:paraId="27FB5356" w14:textId="29AE53E2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1064-1071.</w:t>
      </w:r>
    </w:p>
  </w:footnote>
  <w:footnote w:id="16">
    <w:p w14:paraId="21525F7A" w14:textId="1FD4D44E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1064-1071.</w:t>
      </w:r>
    </w:p>
  </w:footnote>
  <w:footnote w:id="17">
    <w:p w14:paraId="6DCDF81E" w14:textId="42E16796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1088-1093.</w:t>
      </w:r>
    </w:p>
  </w:footnote>
  <w:footnote w:id="18">
    <w:p w14:paraId="569A2343" w14:textId="5C4FC89F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1190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(ιδίως 1229-1230).</w:t>
      </w:r>
    </w:p>
  </w:footnote>
  <w:footnote w:id="19">
    <w:p w14:paraId="421B8E3C" w14:textId="7BD06183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1096-1099, 1094-1095, 1103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Πάντως ο αγοραστής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κατ’ επιλογήν του, να απαιτήσει µόνο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1184-1188.</w:t>
      </w:r>
    </w:p>
  </w:footnote>
  <w:footnote w:id="20">
    <w:p w14:paraId="601827AA" w14:textId="0439D20F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967-974.</w:t>
      </w:r>
    </w:p>
  </w:footnote>
  <w:footnote w:id="21">
    <w:p w14:paraId="09AD7F0D" w14:textId="393C397B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975-1001.</w:t>
      </w:r>
    </w:p>
  </w:footnote>
  <w:footnote w:id="22">
    <w:p w14:paraId="0C0F4653" w14:textId="5675E7B8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1002-1009.</w:t>
      </w:r>
    </w:p>
  </w:footnote>
  <w:footnote w:id="23">
    <w:p w14:paraId="28721029" w14:textId="044754FD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880-886.</w:t>
      </w:r>
    </w:p>
  </w:footnote>
  <w:footnote w:id="24">
    <w:p w14:paraId="276A3344" w14:textId="3F942AE7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1278-1287.</w:t>
      </w:r>
    </w:p>
  </w:footnote>
  <w:footnote w:id="25">
    <w:p w14:paraId="44EE5434" w14:textId="323EB437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897-906.</w:t>
      </w:r>
    </w:p>
  </w:footnote>
  <w:footnote w:id="26">
    <w:p w14:paraId="420CA790" w14:textId="2A9462B8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1058-1063, 1030, 1072-1075, 1082-1087. </w:t>
      </w:r>
    </w:p>
  </w:footnote>
  <w:footnote w:id="27">
    <w:p w14:paraId="5FBB17FC" w14:textId="199C044A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έννοια της ουσιώδους αθέτησης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897-1057.</w:t>
      </w:r>
    </w:p>
  </w:footnote>
  <w:footnote w:id="28">
    <w:p w14:paraId="7461ABFA" w14:textId="115D3D63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1034, 1229-1230, 1190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</w:t>
      </w:r>
    </w:p>
  </w:footnote>
  <w:footnote w:id="29">
    <w:p w14:paraId="09070C6F" w14:textId="4108C2C6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1030, 1100-1102, 1103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Πάντως ο αγοραστής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κατ’ επιλογήν του, να απαιτήσει µόνο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1184-1188.</w:t>
      </w:r>
    </w:p>
  </w:footnote>
  <w:footnote w:id="30">
    <w:p w14:paraId="0D09C054" w14:textId="08250E89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903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1017-1024.</w:t>
      </w:r>
    </w:p>
  </w:footnote>
  <w:footnote w:id="31">
    <w:p w14:paraId="672C7E14" w14:textId="10AB40C4" w:rsidR="00C93B09" w:rsidRPr="008E5880" w:rsidRDefault="00C93B09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904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1022.</w:t>
      </w:r>
    </w:p>
  </w:footnote>
  <w:footnote w:id="32">
    <w:p w14:paraId="3F7DF386" w14:textId="14E04C03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Αναλυτικά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2000,679,687-691 µε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σε διεθνή βιβλιογραφία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νοµολογία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Επίσης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Αν.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Βαλτούδη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Η ευθύνη σε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κατά 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θεµελίωση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και έκταση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), εις ΕΝΟΒΕ,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2001, 47, σελ. 54-58.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Π.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Κορνηλάκη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Ειδικό ενοχικό δίκαιο,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τόµος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Ι, 2002, σελ. 142.</w:t>
      </w:r>
    </w:p>
  </w:footnote>
  <w:footnote w:id="33">
    <w:p w14:paraId="79F2F7CD" w14:textId="7BD0DA64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αυτόνοµη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ερµηνεία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υπό την CISG 7 παρ. 1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685-690.</w:t>
      </w:r>
    </w:p>
  </w:footnote>
  <w:footnote w:id="34">
    <w:p w14:paraId="617D19E6" w14:textId="16571D3A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 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Για τους σκοπούς της 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79 παρ. 1 κρίθηκε ότι αποτελούσε «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εµπόδιο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» η απόφαση της κυβέρνησης της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Ρουµανίας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να απαγορεύσει την εισαγωγή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κατεψυγµένου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κρέατος από κοτόπουλο (που αποτελούσε το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αντικείµενο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της υπό κρίση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πώλησης):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. Διαιτητική Απόφαση του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Αµερικανικού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Οργανισµού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Διαιτησίας της 23.10.2007 (</w:t>
      </w:r>
      <w:proofErr w:type="spellStart"/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  <w:lang w:val="en-US"/>
        </w:rPr>
        <w:t>Marcromex</w:t>
      </w:r>
      <w:proofErr w:type="spellEnd"/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  <w:lang w:val="en-US"/>
        </w:rPr>
        <w:t>Srl</w:t>
      </w:r>
      <w:proofErr w:type="spellEnd"/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v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.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  <w:lang w:val="en-US"/>
        </w:rPr>
        <w:t>Globex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  <w:lang w:val="en-US"/>
        </w:rPr>
        <w:t>Inc</w:t>
      </w:r>
      <w:r w:rsidRPr="008E5880">
        <w:rPr>
          <w:rFonts w:ascii="Times New Roman" w:hAnsi="Times New Roman" w:cs="Times New Roman"/>
          <w:i/>
          <w:iCs/>
          <w:spacing w:val="-9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) (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Case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No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. 50181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T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0036406) (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δηµοσιευµένη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ηλεκτρονικά σε 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http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://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cisgw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>3.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edu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>/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cases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/071023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a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5.</w:t>
      </w:r>
      <w:r w:rsidRPr="008E5880">
        <w:rPr>
          <w:rFonts w:ascii="Times New Roman" w:hAnsi="Times New Roman" w:cs="Times New Roman"/>
          <w:spacing w:val="-9"/>
          <w:sz w:val="20"/>
          <w:szCs w:val="20"/>
          <w:lang w:val="en-US"/>
        </w:rPr>
        <w:t>html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>).</w:t>
      </w:r>
    </w:p>
  </w:footnote>
  <w:footnote w:id="35">
    <w:p w14:paraId="1252DC16" w14:textId="1B90F0EA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>Δηλαδή γεγονότα τα οποία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πορούν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αντικειµενικά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ελεγχθούν και να εξουσιαστούν από τον οφειλέτη: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Αν.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Βαλτούδη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Η ευθύνη σε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κατά 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θεµελίωση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και έκταση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), εις ΕΝΟΒΕ,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2001, 47, σελ. 54-58.</w:t>
      </w:r>
      <w:r w:rsidR="00C67EC2" w:rsidRPr="008E5880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36">
    <w:p w14:paraId="045CDF98" w14:textId="2277056B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 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Απόφαση του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Οµοσπονδιακού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Ανώτατου Δικαστηρίου (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>Bundesgerichtshof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) (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Γερµανία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>) της 24.3.1999 (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VIII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ZR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304100) (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δηµοσ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ηλεκτρ. σε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http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://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cisgw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>3.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edu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>/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cases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/990324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g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1.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html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). Το δικαστήριο έκρινε ότι υπό την CISG ο πωλητής φέρει τον κίνδυνο να παράσχει στον αγοραστή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που ανταποκρίνονται στη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της πώλησης (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35, βλ.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παρ. 866-894).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Εποµένως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ο πωλητής ευθύνεται για παροχή µη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ανταποκρινόµενων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στη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(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ελαττωµατικών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)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πραγµάτων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ακόµα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και αν δεν είχε τη δυνατότητα να ελέγξει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επειδή αυτά απεστάλησαν απευθείας στον αγοραστή από τον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προµηθευτή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του (εν. του πωλητή). Δηλαδή η µη δυνατότητα του πωλητή να ελέγξει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δεν συνιστούσε κατά την κρίση του δικαστηρίου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εµπόδιο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πέραν της σφαίρας επιρροής του πωλητή και άρα ο πωλητής έπρεπε να «είχε αποφύγει ή υπερβεί» το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εµπόδιο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ή τις συνέπειές του. Εν όψει αυτών, το δικαστήριο έκρινε ότι ο πωλητής δεν 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πορούσε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κατ’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εφαρµογή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της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79 παρ. 1, να απαλλαγεί από την ευθύνη του για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Αντίθετοι οι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>H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>Stoll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>/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>G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>Gruber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εις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P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Schlechtriem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>/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I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Schwenzer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Commentary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UN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Convention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Sale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Goods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, 2005 2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nd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ed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., p. 828-830 οι οποίοι υποστηρίζουν ότι 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ο πωλητής να απαλλαγεί από την ευθύνη του για παράδοση µη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ανταποκρινόµενων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πραγµάτων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αν του ήταν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αντικειµενικά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αδύνατο να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ελέξει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(λ.χ. διότι απλά 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εσολάβησε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ως 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εταπωλητής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χωρίς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όµως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ποτέ να έχει φυσική κατοχή στα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όπως άλλωστε είναι το σύνηθες στο διεθνές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εµπόριο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). Κατά την άποψη του γράφοντος η πρώτη άποψη που έγινε δεκτή από το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Γερµανικό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Ανώτατο Δικαστήριο φαίνεται ορθότερη και συνάδει µε τη γενικότερη λειτουργία του διεθνούς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εµπορίου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· ειδικότερα, ιδίως στις περιπτώσεις όπου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εταπωλούνται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διαδοχικά, ο κάθε αγοραστής (και στη συνέχεια πωλητής) 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εταπωλεί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µε σκοπό το κέρδος παρά το γεγονός ότι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ενδεχοµένως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δεν τα έχει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προηγούµενα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ελέγξει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αναλαµβάνοντας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έτσι τον κίνδυνο ότι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δεν θα ανταποκρίνονται στη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Σηµειωτέον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ότι παλαιότερα είχε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αµφισβητηθεί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το κατά πόσον ο πωλητής έχει τη δυνατότητα να επικαλεσθεί την CISG 79 παρ. 1 σε περιπτώσεις όπου τα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δεν ανταποκρίνονται στη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της πώλησης (βλ. CISG 35). Η κρατούσα άποψη πλέον δέχεται τη δυνατότητα αυτή: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>H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  <w:lang w:val="en-US"/>
        </w:rPr>
        <w:t xml:space="preserve">Flechtner, 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 xml:space="preserve">Article 79 of the UN Convention on Contracts for the International Sale of Goods (CISG) as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Rorscharch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 xml:space="preserve"> Test: The Homeward Trend and Exemption for Delivering Non-Conforming Goods, Pace International Law Review (19) 2007,29,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σελ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  <w:lang w:val="en-GB"/>
        </w:rPr>
        <w:t xml:space="preserve">. 36-41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όπου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περαιτέρω</w:t>
      </w:r>
      <w:r w:rsidRPr="008E5880">
        <w:rPr>
          <w:rFonts w:ascii="Times New Roman" w:hAnsi="Times New Roman" w:cs="Times New Roman"/>
          <w:spacing w:val="-5"/>
          <w:sz w:val="20"/>
          <w:szCs w:val="20"/>
          <w:lang w:val="en-GB"/>
        </w:rPr>
        <w:t xml:space="preserve">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παραπο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  <w:lang w:val="en-US"/>
        </w:rPr>
        <w:t>µ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πές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  <w:lang w:val="en-GB"/>
        </w:rPr>
        <w:t>.</w:t>
      </w:r>
    </w:p>
  </w:footnote>
  <w:footnote w:id="37">
    <w:p w14:paraId="1C5B48D1" w14:textId="4B17AD7E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ΕφΛα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µ 63/2006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2006,1108·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Γ. Νικολαΐδη,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Η διεθνής πώληση κινητών κατά τη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της Βιέννης, 2000, σελ. 112· </w:t>
      </w:r>
      <w:proofErr w:type="spellStart"/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>Αθ</w:t>
      </w:r>
      <w:proofErr w:type="spellEnd"/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. Πουλιάδη,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των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Ηνωµένων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Εθνών για τη διεθνή πώληση κινητών και το δίκαιο του Αστικού Κώδικα: Το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ρυθµιστικό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πρότυπο της ενοποίησης των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συµβατικών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παραβάσεων,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1998,19, 26-28·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Μ. Σταθόπουλου,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Η υπό κύρωση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των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Ηνωµένων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Εθνών για τις Διεθνείς Πωλήσεις Κινητών και το Δίκαιο του Αστικού Κώδικα -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Καινοτοµίες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επί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συµβατικών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παραβάσεων,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ΝοΒ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1997 (45),1085, 1096-1097,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Βλ. επίσης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παρ. 1028 και 1120. Για την έννοια των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τυχηρών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υπό στενή έννοια και της ανώτερης βίας στο ελληνικό δίκαιο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. </w:t>
      </w:r>
      <w:proofErr w:type="spellStart"/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>Απ</w:t>
      </w:r>
      <w:proofErr w:type="spellEnd"/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. Γεωργιάδη,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Ενοχικό Δίκαιο - Γενικό Μέρος, 1999, σελ. 246-248· 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Μ. Σταθόπουλου,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>εις Γεωργιάδη Α./Σταθόπουλου</w:t>
      </w:r>
      <w:r w:rsidRPr="008E5880">
        <w:rPr>
          <w:rFonts w:ascii="Times New Roman" w:hAnsi="Times New Roman" w:cs="Times New Roman"/>
          <w:i/>
          <w:iCs/>
          <w:spacing w:val="-5"/>
          <w:sz w:val="20"/>
          <w:szCs w:val="20"/>
        </w:rPr>
        <w:t xml:space="preserve">, Μ., </w:t>
      </w:r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Αστικός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Κώδιξ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,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Ερµηνεία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κατ’ άρθρον - </w:t>
      </w:r>
      <w:proofErr w:type="spellStart"/>
      <w:r w:rsidRPr="008E5880">
        <w:rPr>
          <w:rFonts w:ascii="Times New Roman" w:hAnsi="Times New Roman" w:cs="Times New Roman"/>
          <w:spacing w:val="-5"/>
          <w:sz w:val="20"/>
          <w:szCs w:val="20"/>
        </w:rPr>
        <w:t>νοµολογία</w:t>
      </w:r>
      <w:proofErr w:type="spellEnd"/>
      <w:r w:rsidRPr="008E5880">
        <w:rPr>
          <w:rFonts w:ascii="Times New Roman" w:hAnsi="Times New Roman" w:cs="Times New Roman"/>
          <w:spacing w:val="-5"/>
          <w:sz w:val="20"/>
          <w:szCs w:val="20"/>
        </w:rPr>
        <w:t xml:space="preserve"> - βιβλιογραφία, ΙΙ, Γενικό ενοχικό, 1978, άρθρο 330, παρ. 52-69, σελ. 181-185.</w:t>
      </w:r>
    </w:p>
  </w:footnote>
  <w:footnote w:id="38">
    <w:p w14:paraId="665A6FAB" w14:textId="66678985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733-744.</w:t>
      </w:r>
    </w:p>
  </w:footnote>
  <w:footnote w:id="39">
    <w:p w14:paraId="247118DD" w14:textId="2D13AFD9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757-760.</w:t>
      </w:r>
    </w:p>
  </w:footnote>
  <w:footnote w:id="40">
    <w:p w14:paraId="4D1EFB14" w14:textId="674DED53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>Βλ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</w:rPr>
        <w:t>π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π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US"/>
        </w:rPr>
        <w:t>. 761-765.</w:t>
      </w:r>
    </w:p>
  </w:footnote>
  <w:footnote w:id="41">
    <w:p w14:paraId="7BC1C471" w14:textId="33966CA8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H. Stoll/G. Gruber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>εις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 P. 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Schlechtriem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US"/>
        </w:rPr>
        <w:t>/I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Schwenzer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Commentary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UN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Convention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Sale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Goods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, 2005 2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817.</w:t>
      </w:r>
    </w:p>
  </w:footnote>
  <w:footnote w:id="42">
    <w:p w14:paraId="5C04FDD3" w14:textId="2CD34B44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669, 1126-1129.</w:t>
      </w:r>
    </w:p>
  </w:footnote>
  <w:footnote w:id="43">
    <w:p w14:paraId="4640CB25" w14:textId="40FB2833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1126-1129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1183.</w:t>
      </w:r>
    </w:p>
  </w:footnote>
  <w:footnote w:id="44">
    <w:p w14:paraId="1D1E6B61" w14:textId="7E4204B7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pacing w:val="-7"/>
          <w:sz w:val="20"/>
          <w:szCs w:val="20"/>
        </w:rPr>
        <w:t>.</w:t>
      </w:r>
      <w:r w:rsidRPr="008E5880">
        <w:rPr>
          <w:rFonts w:ascii="Times New Roman" w:hAnsi="Times New Roman" w:cs="Times New Roman"/>
          <w:spacing w:val="-7"/>
          <w:sz w:val="20"/>
          <w:szCs w:val="20"/>
        </w:rPr>
        <w:t> </w:t>
      </w:r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Έτσι και η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ΕφΛα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µ 63/2006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 2006,1108. Βλ. επίσης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 xml:space="preserve">. παρ. 893-894 και </w:t>
      </w:r>
      <w:proofErr w:type="spellStart"/>
      <w:r w:rsidRPr="008E5880">
        <w:rPr>
          <w:rFonts w:ascii="Times New Roman" w:hAnsi="Times New Roman" w:cs="Times New Roman"/>
          <w:spacing w:val="-9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pacing w:val="-9"/>
          <w:sz w:val="20"/>
          <w:szCs w:val="20"/>
        </w:rPr>
        <w:t>. παρ. 1161, 1183.</w:t>
      </w:r>
    </w:p>
  </w:footnote>
  <w:footnote w:id="45">
    <w:p w14:paraId="251575D2" w14:textId="45BBD8AA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Π.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Κορνηλάκης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Ειδικό ενοχικό δίκαιο,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τόµος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Ι, 2002, σελ. 143. 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Δ. </w:t>
      </w:r>
      <w:proofErr w:type="spellStart"/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>Φλάµπουρας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691-692.</w:t>
      </w:r>
    </w:p>
  </w:footnote>
  <w:footnote w:id="46">
    <w:p w14:paraId="49E2C097" w14:textId="5273D915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Έτσι και η Διαιτητική Απόφαση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Αµερικανικού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Οργανισµού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Διαιτησίας της 23.10.2007 (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Marcromex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Srl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v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Globex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Inc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) (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Case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No</w:t>
      </w:r>
      <w:r w:rsidRPr="008E5880">
        <w:rPr>
          <w:rFonts w:ascii="Times New Roman" w:hAnsi="Times New Roman" w:cs="Times New Roman"/>
          <w:sz w:val="20"/>
          <w:szCs w:val="20"/>
        </w:rPr>
        <w:t>. 50181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8E5880">
        <w:rPr>
          <w:rFonts w:ascii="Times New Roman" w:hAnsi="Times New Roman" w:cs="Times New Roman"/>
          <w:sz w:val="20"/>
          <w:szCs w:val="20"/>
        </w:rPr>
        <w:t xml:space="preserve"> 0036406)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δηµοσιευµένη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ηλεκτρονικά σε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http</w:t>
      </w:r>
      <w:r w:rsidRPr="008E5880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cisgw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3.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edu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cases</w:t>
      </w:r>
      <w:r w:rsidRPr="008E5880">
        <w:rPr>
          <w:rFonts w:ascii="Times New Roman" w:hAnsi="Times New Roman" w:cs="Times New Roman"/>
          <w:sz w:val="20"/>
          <w:szCs w:val="20"/>
        </w:rPr>
        <w:t>/071023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E5880">
        <w:rPr>
          <w:rFonts w:ascii="Times New Roman" w:hAnsi="Times New Roman" w:cs="Times New Roman"/>
          <w:sz w:val="20"/>
          <w:szCs w:val="20"/>
        </w:rPr>
        <w:t>5.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html</w:t>
      </w:r>
      <w:r w:rsidRPr="008E5880">
        <w:rPr>
          <w:rFonts w:ascii="Times New Roman" w:hAnsi="Times New Roman" w:cs="Times New Roman"/>
          <w:sz w:val="20"/>
          <w:szCs w:val="20"/>
        </w:rPr>
        <w:t>) όπου αναφέρεται ότι ως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έτρο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για την κρίση αυτή πρέπει να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λαµβάνεται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 τι θα έκανε ο συνετός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συναλλασσόµενος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στη θέση του αθετούντος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συµβαλλόµενου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</w:t>
      </w:r>
    </w:p>
  </w:footnote>
  <w:footnote w:id="47">
    <w:p w14:paraId="64B07EB0" w14:textId="415BE6FA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Αξίζει να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σηµειωθεί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ότι σε περιπτώσεις όπου η οδός που έχει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συµφωνηθεί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για τη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εταφορά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πωληθέντων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πραγµάτων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έχει για απρόβλεπτους λόγους καταστεί αδύνατο να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χρησιµοποιηθεί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(...«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εµπόδιο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κείµενο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πέρα από το πεδίο επιρροής του»), γενικότερα γίνεται δεκτό ότι η χρήση εναλλακτικής οδού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εταφοράς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από τον οφειλέτη της παροχής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ακόµα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και µε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εγαλύτερο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κόστος) συνιστά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έτρο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στο οποίο ευλόγως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αναµένεται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προβεί ο οφειλέτης της παροχής για να υπερβεί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εµπόδιο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και τις συνέπειές του.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Π.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Κορνηλάκη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Ειδικό ενοχικό δίκαιο,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τόµος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Ι, 2002, σελ. 143·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693 όπου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σε παλαιότερες αποφάσεις αγγλικών δικαστηρίων που αφορούσαν στο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κλείσιµο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διώρυγας του Σουέζ λόγω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Αραβο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-Ισραηλινού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πολέµου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σύµφωνα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τις οποίες ο θαλάσσιος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εταφορέας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ήταν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υποχρεωµένος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υπερβεί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εµπόδιο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αυτό περιπλέοντας την Αφρική. Έτσι και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ΕφΛα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µ 63/2006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2006,1108: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1161.</w:t>
      </w:r>
    </w:p>
  </w:footnote>
  <w:footnote w:id="48">
    <w:p w14:paraId="2DB7AA92" w14:textId="7DB8D152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Σχολιασµός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όπως παρατίθεται από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νοµολογία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ελληνικών δικαστηρίων για 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εις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Τιµητικό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Τόµο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Μ. Σταθόπουλου (υπό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δηµοσίευση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από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εκδ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οίκο Αντ. Ν. Σάκκουλα).</w:t>
      </w:r>
    </w:p>
  </w:footnote>
  <w:footnote w:id="49">
    <w:p w14:paraId="7119012D" w14:textId="05AC8919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Με βάση την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ερµηνεία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αυτή είναι προφανές ότι η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δεν παρέχει δυνατότητα απαλλαγής του οφειλέτη της παροχής από την ευθύνη του σε περίπτωση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εταβολής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οικονοµικού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υποβάθρου στο οποίο στηρίχθηκαν τα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έρη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κατά την κατάρτιση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ούτε του δίδει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δικαίωµα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επαναδιαπραγµατευτεί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τους όρους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σε περίπτωση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εταβολής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πραγµατικών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συνθηκών ή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οικονοµικής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αδυναµίας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Για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ζήτηµα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αυτό αναλυτικά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1179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Για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ζήτηµα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χρήσης εναλλακτικής οδού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εταφοράς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από τον πωλητή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1157.</w:t>
      </w:r>
    </w:p>
  </w:footnote>
  <w:footnote w:id="50">
    <w:p w14:paraId="5F87D17D" w14:textId="471449FD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Στην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ΕφΛα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µ 63/2006 [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2006,1108] προφανώς έγινε δεκτό ότι ο δικαιούχος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αγοραστής λόγω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συµβατικής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αθέτησης του πωλητή υποχρεούται,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σύµφωνα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την CISG 77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α΄, να συνάψει έγκαιρα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αγοράς προς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άµεση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κάλυψη από άλλο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προµηθευτή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1141 όπου περαιτέρω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σε αντίθετη άποψη.</w:t>
      </w:r>
    </w:p>
  </w:footnote>
  <w:footnote w:id="51">
    <w:p w14:paraId="5BF6BEE9" w14:textId="70675ACE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Ερµηνευτικά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γίνεται δεκτό ότι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απαιτηθεί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αυτοτελώς, χωρίς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προηγούµενη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υπαναχώρηση: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Schlechtriem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Damages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avoidance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contract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performance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interest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under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, παρ. 1(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Pr="008E5880">
        <w:rPr>
          <w:rFonts w:ascii="Times New Roman" w:hAnsi="Times New Roman" w:cs="Times New Roman"/>
          <w:sz w:val="20"/>
          <w:szCs w:val="20"/>
        </w:rPr>
        <w:t>και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) (</w:t>
      </w:r>
      <w:r w:rsidRPr="008E5880">
        <w:rPr>
          <w:rFonts w:ascii="Times New Roman" w:hAnsi="Times New Roman" w:cs="Times New Roman"/>
          <w:sz w:val="20"/>
          <w:szCs w:val="20"/>
        </w:rPr>
        <w:t>δη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µ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ηλεκτρ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http://www.cisg.law.pace.edu/cisg/biblio/schlechtriem21.html) </w:t>
      </w:r>
      <w:r w:rsidRPr="008E5880">
        <w:rPr>
          <w:rFonts w:ascii="Times New Roman" w:hAnsi="Times New Roman" w:cs="Times New Roman"/>
          <w:sz w:val="20"/>
          <w:szCs w:val="20"/>
        </w:rPr>
        <w:t>και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αναλυτικά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π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κ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US"/>
        </w:rPr>
        <w:t>. 1184-1188 (</w:t>
      </w:r>
      <w:r w:rsidRPr="008E5880">
        <w:rPr>
          <w:rFonts w:ascii="Times New Roman" w:hAnsi="Times New Roman" w:cs="Times New Roman"/>
          <w:sz w:val="20"/>
          <w:szCs w:val="20"/>
        </w:rPr>
        <w:t>ιδίως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 1185). </w:t>
      </w:r>
      <w:r w:rsidRPr="008E5880">
        <w:rPr>
          <w:rFonts w:ascii="Times New Roman" w:hAnsi="Times New Roman" w:cs="Times New Roman"/>
          <w:sz w:val="20"/>
          <w:szCs w:val="20"/>
        </w:rPr>
        <w:t>Πάντως, θα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πορούσε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υποστηριχθεί και η άποψη ότι η σύναψη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κάλυψης και η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εταγενέστερη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αγωγή κατά του πωλητή µε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αίτηµα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για µη παράδοση αποτελούσαν ενέργειες που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ισοδυναµούσαν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υπαναχώρηση παρά το γεγονός ότι ο αγοραστής δεν προέβη σε ρητή δήλωση υπαναχώρησης: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1202.</w:t>
      </w:r>
    </w:p>
  </w:footnote>
  <w:footnote w:id="52">
    <w:p w14:paraId="375E5D02" w14:textId="48138041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σηµ. [1034].</w:t>
      </w:r>
    </w:p>
  </w:footnote>
  <w:footnote w:id="53">
    <w:p w14:paraId="6775F48E" w14:textId="2F2C1B5A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και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/Γ.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Πετρόχειλου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την διεθνή πώληση κινητών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πραγµάτων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όπως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ερµηνεύεται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από τα διαιτητικά δικαστήρια,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2000,1, 55 µε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στην Απόφαση του Ρωσικού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Εµπορικού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Βιοµηχανικού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Επιµελητηρίου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αρ. 155/1994 (16.3.1995) (δηµ. ηλεκτρ. σε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http</w:t>
      </w:r>
      <w:r w:rsidRPr="008E5880">
        <w:rPr>
          <w:rFonts w:ascii="Times New Roman" w:hAnsi="Times New Roman" w:cs="Times New Roman"/>
          <w:sz w:val="20"/>
          <w:szCs w:val="20"/>
        </w:rPr>
        <w:t>://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edu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σύµφωνα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την οποία σε περίπτωση σύναψης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κάλυψης, ο πωλητής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ειώσει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 ποσό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που θα επιδικαστεί στον αγοραστή, αν αποδείξει ότι ο αγοραστής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πορούσε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αγοράσει τα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πράγµατα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από άλλον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προµηθευτή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έναντι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ικρότερου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τιµήµατος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Βλ. επίσης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1143.</w:t>
      </w:r>
    </w:p>
  </w:footnote>
  <w:footnote w:id="54">
    <w:p w14:paraId="67A4D02D" w14:textId="4A220816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αναλυτικά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2000,679,694 µε περαιτέρω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</w:p>
  </w:footnote>
  <w:footnote w:id="55">
    <w:p w14:paraId="1BAD5D97" w14:textId="169D1D45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F. Enderlein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/M.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Dietrich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Sales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1992,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322.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επίσης την Διαιτητική Απόφαση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Αµερικανικού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Οργανισµού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Διαιτησίας της 23.10.2007 (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Marcromex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Srl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v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Globex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Inc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) (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Case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No</w:t>
      </w:r>
      <w:r w:rsidRPr="008E5880">
        <w:rPr>
          <w:rFonts w:ascii="Times New Roman" w:hAnsi="Times New Roman" w:cs="Times New Roman"/>
          <w:sz w:val="20"/>
          <w:szCs w:val="20"/>
        </w:rPr>
        <w:t>. 50181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8E5880">
        <w:rPr>
          <w:rFonts w:ascii="Times New Roman" w:hAnsi="Times New Roman" w:cs="Times New Roman"/>
          <w:sz w:val="20"/>
          <w:szCs w:val="20"/>
        </w:rPr>
        <w:t xml:space="preserve"> 0036406)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δηµοσιευµένη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ηλεκτρονικά σε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http</w:t>
      </w:r>
      <w:r w:rsidRPr="008E5880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cisgw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3.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edu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cases</w:t>
      </w:r>
      <w:r w:rsidRPr="008E5880">
        <w:rPr>
          <w:rFonts w:ascii="Times New Roman" w:hAnsi="Times New Roman" w:cs="Times New Roman"/>
          <w:sz w:val="20"/>
          <w:szCs w:val="20"/>
        </w:rPr>
        <w:t>/071023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E5880">
        <w:rPr>
          <w:rFonts w:ascii="Times New Roman" w:hAnsi="Times New Roman" w:cs="Times New Roman"/>
          <w:sz w:val="20"/>
          <w:szCs w:val="20"/>
        </w:rPr>
        <w:t>5.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html</w:t>
      </w:r>
      <w:r w:rsidRPr="008E5880">
        <w:rPr>
          <w:rFonts w:ascii="Times New Roman" w:hAnsi="Times New Roman" w:cs="Times New Roman"/>
          <w:sz w:val="20"/>
          <w:szCs w:val="20"/>
        </w:rPr>
        <w:t>).</w:t>
      </w:r>
    </w:p>
  </w:footnote>
  <w:footnote w:id="56">
    <w:p w14:paraId="5230CBE9" w14:textId="24789B69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Δ. </w:t>
      </w:r>
      <w:proofErr w:type="spellStart"/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>Φλάµπουρας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2000,679, 694.</w:t>
      </w:r>
    </w:p>
  </w:footnote>
  <w:footnote w:id="57">
    <w:p w14:paraId="17976883" w14:textId="41EEDF97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H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Stoll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>/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Gruber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>εις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Schlechtriem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>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Schwenzer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Commentary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UN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Convention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Sale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Goods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, 2005 2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819.</w:t>
      </w:r>
    </w:p>
  </w:footnote>
  <w:footnote w:id="58">
    <w:p w14:paraId="2A370E47" w14:textId="04047289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>Όπως, λ.χ., όταν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ια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Τράπεζα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αποστέλει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για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λογαριασµό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του αγοραστή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τίµηµα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στον πωλητή ή προς το σκοπό καταβολής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τιµήµατος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ανοίγει τραπεζική ενέγγυα πίστωση υπέρ του αγοραστή∙ στην περίπτωση αυτή η Τράπεζα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συµπεράνει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από τις περιστάσεις ότι εκπληρώνει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συµβατική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υποχρέωση που έχει αναλάβει ο αγοραστής και έτσι να θεωρηθεί «τρίτος» για τους σκοπούς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79 παρ. 2: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H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Stoll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Gruber</w:t>
      </w:r>
      <w:r w:rsidRPr="008E58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ό.π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., p. 820.</w:t>
      </w:r>
    </w:p>
  </w:footnote>
  <w:footnote w:id="59">
    <w:p w14:paraId="295E9B76" w14:textId="39AA9A9B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Π.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Κορνηλάκη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Ειδικό ενοχικό δίκαιο,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τόµος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Ι, 2002, σελ. 143-144.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695 µε περαιτέρω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</w:t>
      </w:r>
    </w:p>
  </w:footnote>
  <w:footnote w:id="60">
    <w:p w14:paraId="718001F7" w14:textId="60FA05EC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Δ. </w:t>
      </w:r>
      <w:proofErr w:type="spellStart"/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>Φλάµπουρας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ό.π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696-697 µε περαιτέρω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</w:t>
      </w:r>
    </w:p>
  </w:footnote>
  <w:footnote w:id="61">
    <w:p w14:paraId="42F22644" w14:textId="72C211DD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Δηλαδή,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προκειµένου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η ειδοποίηση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79 παρ. 4 να αναπτύξει αποτέλεσµα, απαιτείται να περιέλθει στον δανειστή της παροχής: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839.</w:t>
      </w:r>
    </w:p>
  </w:footnote>
  <w:footnote w:id="62">
    <w:p w14:paraId="0D1ECA33" w14:textId="1A34310A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Δ. </w:t>
      </w:r>
      <w:proofErr w:type="spellStart"/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>Φλάµπουρας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ό.π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2000,679,698.</w:t>
      </w:r>
    </w:p>
  </w:footnote>
  <w:footnote w:id="63">
    <w:p w14:paraId="34AFEB75" w14:textId="5F4A19E2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916-924, 1030.</w:t>
      </w:r>
    </w:p>
  </w:footnote>
  <w:footnote w:id="64">
    <w:p w14:paraId="0C4B1343" w14:textId="38CFD75B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964-966, 1031.</w:t>
      </w:r>
    </w:p>
  </w:footnote>
  <w:footnote w:id="65">
    <w:p w14:paraId="1689542A" w14:textId="18859940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. παρ. 1086 όπου και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 στην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ηµεδαπή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 θεωρία και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νοµολογία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 και στην αλλοδαπή θεωρία. Η λύση αυτή µ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πορεί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 να βρει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νοµικό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έρεισµα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 xml:space="preserve"> και στην CISG 28: βλ. </w:t>
      </w:r>
      <w:proofErr w:type="spellStart"/>
      <w:r w:rsidRPr="008E5880">
        <w:rPr>
          <w:rFonts w:ascii="Times New Roman" w:hAnsi="Times New Roman" w:cs="Times New Roman"/>
          <w:spacing w:val="-7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pacing w:val="-7"/>
          <w:sz w:val="20"/>
          <w:szCs w:val="20"/>
        </w:rPr>
        <w:t>. παρ. 1082-1085.</w:t>
      </w:r>
    </w:p>
  </w:footnote>
  <w:footnote w:id="66">
    <w:p w14:paraId="06CA933E" w14:textId="5854E1E6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Δ. </w:t>
      </w:r>
      <w:proofErr w:type="spellStart"/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>Φλάµπουρας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699. Έτσι και η Διαιτητική Απόφαση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Αµερικανικού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Οργανισµού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Διαιτησίας της 23.10.2007 (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Marcromex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Srl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v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Globex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Inc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) (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Case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No</w:t>
      </w:r>
      <w:r w:rsidRPr="008E5880">
        <w:rPr>
          <w:rFonts w:ascii="Times New Roman" w:hAnsi="Times New Roman" w:cs="Times New Roman"/>
          <w:sz w:val="20"/>
          <w:szCs w:val="20"/>
        </w:rPr>
        <w:t>. 50181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8E5880">
        <w:rPr>
          <w:rFonts w:ascii="Times New Roman" w:hAnsi="Times New Roman" w:cs="Times New Roman"/>
          <w:sz w:val="20"/>
          <w:szCs w:val="20"/>
        </w:rPr>
        <w:t xml:space="preserve"> 0036406)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δηµοσ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ηλεκτρονικά σε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http</w:t>
      </w:r>
      <w:r w:rsidRPr="008E5880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cisgw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3.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edu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cases</w:t>
      </w:r>
      <w:r w:rsidRPr="008E5880">
        <w:rPr>
          <w:rFonts w:ascii="Times New Roman" w:hAnsi="Times New Roman" w:cs="Times New Roman"/>
          <w:sz w:val="20"/>
          <w:szCs w:val="20"/>
        </w:rPr>
        <w:t>/071023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E5880">
        <w:rPr>
          <w:rFonts w:ascii="Times New Roman" w:hAnsi="Times New Roman" w:cs="Times New Roman"/>
          <w:sz w:val="20"/>
          <w:szCs w:val="20"/>
        </w:rPr>
        <w:t>5.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html</w:t>
      </w:r>
      <w:r w:rsidRPr="008E5880">
        <w:rPr>
          <w:rFonts w:ascii="Times New Roman" w:hAnsi="Times New Roman" w:cs="Times New Roman"/>
          <w:sz w:val="20"/>
          <w:szCs w:val="20"/>
        </w:rPr>
        <w:t xml:space="preserve">). Υποστηρίζεται ότι από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γρά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µµα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79 παρ. 1 (...”αν αποδεικνύει ότι η µη εκπλήρωση οφειλόταν”...) συνάγεται γενική αρχή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σύµφωνα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την οποία κάθε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συµβαλλόµενος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οφείλει να αποδείξει τα γεγονότα τα οποία στηρίζουν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δικαίωµά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του, την αξίωσή του ή κάποια πιθανή ένστασή του, δηλαδή γενικότερα τα ευνοϊκά γι’ αυτόν περιστατικά (για αυτή τη γενική αρχή βλ. επίσης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721). Για το βάρος της απόδειξης υπό την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668. </w:t>
      </w:r>
    </w:p>
  </w:footnote>
  <w:footnote w:id="67">
    <w:p w14:paraId="4915A2DC" w14:textId="4B6B107E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1170-1172. </w:t>
      </w:r>
    </w:p>
  </w:footnote>
  <w:footnote w:id="68">
    <w:p w14:paraId="7DE7467A" w14:textId="656486BD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1170.</w:t>
      </w:r>
    </w:p>
  </w:footnote>
  <w:footnote w:id="69">
    <w:p w14:paraId="6DBCC110" w14:textId="5C92001D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Με βάση τη θεωρία αυτή, η ισχύς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εξαρτάται από τη συνέχιση των περιστάσεων που ίσχυαν κατά 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στιγµή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σύναψής της: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D.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Flambouras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 Doctrines of Impossibility of Performance and Clausula rebus sic stantibus in the 1980 Convention on Contracts for the International Sale of Goods and the Principles of European Contract Law - A Comparative Analysis, Pace International Law Review (13) 2001,261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78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</w:footnote>
  <w:footnote w:id="70">
    <w:p w14:paraId="37E50B61" w14:textId="681B3140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  <w:lang w:val="en-US"/>
        </w:rPr>
        <w:t>Ad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Style w:val="uposimeiwsiit"/>
          <w:rFonts w:ascii="Times New Roman" w:hAnsi="Times New Roman" w:cs="Times New Roman"/>
          <w:sz w:val="20"/>
          <w:szCs w:val="20"/>
          <w:lang w:val="en-US"/>
        </w:rPr>
        <w:t>hoc</w:t>
      </w:r>
      <w:r w:rsidRPr="008E5880">
        <w:rPr>
          <w:rFonts w:ascii="Times New Roman" w:hAnsi="Times New Roman" w:cs="Times New Roman"/>
          <w:sz w:val="20"/>
          <w:szCs w:val="20"/>
        </w:rPr>
        <w:t xml:space="preserve">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ΕφΛα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µ 63/2006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2006,1108 όπου αναφέρεται: «Η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79 δεν δίδει στον οφειλέτη τη δυνατότητα απαλλαγής από τις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συµβατικές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του υποχρεώσεις για λόγους µόνο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εταβολής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οικονοµικού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υποβάθρου, στο οποίο στηρίχθηκαν τα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έρη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κατά την κατάρτιση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, [...]». Βλ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</w:rPr>
        <w:t>επίσης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π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π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1161.</w:t>
      </w:r>
    </w:p>
  </w:footnote>
  <w:footnote w:id="71">
    <w:p w14:paraId="3724D9DE" w14:textId="6218226D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pacing w:val="-6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pacing w:val="-6"/>
          <w:sz w:val="20"/>
          <w:szCs w:val="20"/>
          <w:lang w:val="en-US"/>
        </w:rPr>
        <w:t xml:space="preserve">D. </w:t>
      </w:r>
      <w:proofErr w:type="spellStart"/>
      <w:r w:rsidRPr="008E5880">
        <w:rPr>
          <w:rFonts w:ascii="Times New Roman" w:hAnsi="Times New Roman" w:cs="Times New Roman"/>
          <w:i/>
          <w:iCs/>
          <w:spacing w:val="-6"/>
          <w:sz w:val="20"/>
          <w:szCs w:val="20"/>
          <w:lang w:val="en-US"/>
        </w:rPr>
        <w:t>Flambouras</w:t>
      </w:r>
      <w:proofErr w:type="spellEnd"/>
      <w:r w:rsidRPr="008E5880">
        <w:rPr>
          <w:rFonts w:ascii="Times New Roman" w:hAnsi="Times New Roman" w:cs="Times New Roman"/>
          <w:i/>
          <w:iCs/>
          <w:spacing w:val="-6"/>
          <w:sz w:val="20"/>
          <w:szCs w:val="20"/>
          <w:lang w:val="en-US"/>
        </w:rPr>
        <w:t xml:space="preserve">, 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Exemption and hardship: Remarks on the manner in which the Principles of European Contract Law (Articles 6: 111 and 8: 108) may be used to interpret or supplement CISG Article 79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>,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 xml:space="preserve"> </w:t>
      </w:r>
      <w:r w:rsidRPr="008E5880">
        <w:rPr>
          <w:rFonts w:ascii="Times New Roman" w:hAnsi="Times New Roman" w:cs="Times New Roman"/>
          <w:spacing w:val="-6"/>
          <w:sz w:val="20"/>
          <w:szCs w:val="20"/>
        </w:rPr>
        <w:t>εις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 xml:space="preserve">J. </w:t>
      </w:r>
      <w:proofErr w:type="spellStart"/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Felemegas</w:t>
      </w:r>
      <w:proofErr w:type="spellEnd"/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,</w:t>
      </w:r>
      <w:r w:rsidRPr="008E5880">
        <w:rPr>
          <w:rFonts w:ascii="Times New Roman" w:hAnsi="Times New Roman" w:cs="Times New Roman"/>
          <w:i/>
          <w:iCs/>
          <w:spacing w:val="-6"/>
          <w:sz w:val="20"/>
          <w:szCs w:val="20"/>
          <w:lang w:val="en-US"/>
        </w:rPr>
        <w:t xml:space="preserve"> 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An International Approach to the Interpretation of the United Nations Convention on Contracts for the International Sale of Goods (1980) as Uniform Sales Law, 2007, 499, p.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50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4 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µ</w:t>
      </w:r>
      <w:r w:rsidRPr="008E5880">
        <w:rPr>
          <w:rFonts w:ascii="Times New Roman" w:hAnsi="Times New Roman" w:cs="Times New Roman"/>
          <w:spacing w:val="-6"/>
          <w:sz w:val="20"/>
          <w:szCs w:val="20"/>
        </w:rPr>
        <w:t>ε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pacing w:val="-6"/>
          <w:sz w:val="20"/>
          <w:szCs w:val="20"/>
        </w:rPr>
        <w:t>περαιτέρω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  <w:proofErr w:type="spellStart"/>
      <w:r w:rsidRPr="008E5880">
        <w:rPr>
          <w:rFonts w:ascii="Times New Roman" w:hAnsi="Times New Roman" w:cs="Times New Roman"/>
          <w:spacing w:val="-6"/>
          <w:sz w:val="20"/>
          <w:szCs w:val="20"/>
        </w:rPr>
        <w:t>παραπο</w:t>
      </w:r>
      <w:proofErr w:type="spellEnd"/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>µ</w:t>
      </w:r>
      <w:proofErr w:type="spellStart"/>
      <w:r w:rsidRPr="008E5880">
        <w:rPr>
          <w:rFonts w:ascii="Times New Roman" w:hAnsi="Times New Roman" w:cs="Times New Roman"/>
          <w:spacing w:val="-6"/>
          <w:sz w:val="20"/>
          <w:szCs w:val="20"/>
        </w:rPr>
        <w:t>πές</w:t>
      </w:r>
      <w:proofErr w:type="spellEnd"/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pacing w:val="-6"/>
          <w:sz w:val="20"/>
          <w:szCs w:val="20"/>
        </w:rPr>
        <w:t>Έτσι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pacing w:val="-6"/>
          <w:sz w:val="20"/>
          <w:szCs w:val="20"/>
        </w:rPr>
        <w:t>και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i/>
          <w:iCs/>
          <w:spacing w:val="-6"/>
          <w:sz w:val="20"/>
          <w:szCs w:val="20"/>
          <w:lang w:val="en-US"/>
        </w:rPr>
        <w:t>J. Lookofsky,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US"/>
        </w:rPr>
        <w:t xml:space="preserve"> Walking the Article 7(2) Tightrope Between CISG and Domestic Law, Journal of Law and Commerce 25 (2005-06),87, p.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99-102.</w:t>
      </w:r>
      <w:r w:rsidRPr="008E5880">
        <w:rPr>
          <w:rFonts w:ascii="Times New Roman" w:hAnsi="Times New Roman" w:cs="Times New Roman"/>
          <w:spacing w:val="-6"/>
          <w:sz w:val="20"/>
          <w:szCs w:val="20"/>
          <w:lang w:val="en-GB"/>
        </w:rPr>
        <w:t xml:space="preserve"> </w:t>
      </w:r>
    </w:p>
  </w:footnote>
  <w:footnote w:id="72">
    <w:p w14:paraId="395E20C2" w14:textId="52EDAC34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Εν τούτοις, ενόψει του κινδύνου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ανοµοιοµορφίας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κατά την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ερµηνεία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, το κενό δεν θα πρέπει να πληρωθεί µε προσφυγή στους κανόνες του εθνικού δικαίου στο οποίο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παραπέµπει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ιδ.δ.δ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του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forum</w:t>
      </w:r>
      <w:r w:rsidRPr="008E5880">
        <w:rPr>
          <w:rFonts w:ascii="Times New Roman" w:hAnsi="Times New Roman" w:cs="Times New Roman"/>
          <w:sz w:val="20"/>
          <w:szCs w:val="20"/>
        </w:rPr>
        <w:t xml:space="preserve">∙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εποµένως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ο Έλληνας δικαστής δεν θα πρέπει να προσφύγει στην ΑΚ 388: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2000,679, 702.</w:t>
      </w:r>
    </w:p>
  </w:footnote>
  <w:footnote w:id="73">
    <w:p w14:paraId="1819F12C" w14:textId="763D407C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  <w:lang w:val="en-US"/>
        </w:rPr>
        <w:t>Ad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Style w:val="uposimeiwsiit"/>
          <w:rFonts w:ascii="Times New Roman" w:hAnsi="Times New Roman" w:cs="Times New Roman"/>
          <w:sz w:val="20"/>
          <w:szCs w:val="20"/>
          <w:lang w:val="en-US"/>
        </w:rPr>
        <w:t>hoc</w:t>
      </w:r>
      <w:r w:rsidRPr="008E5880">
        <w:rPr>
          <w:rFonts w:ascii="Times New Roman" w:hAnsi="Times New Roman" w:cs="Times New Roman"/>
          <w:sz w:val="20"/>
          <w:szCs w:val="20"/>
        </w:rPr>
        <w:t xml:space="preserve">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ΕφΛα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µ 63/2006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ΕπισκΕΔ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2006,1108 (βλ. αναλυτικά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1161). Για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ζήτηµα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χρήσης εναλλακτικής οδού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εταφοράς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βλ. επίσης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1157.</w:t>
      </w:r>
    </w:p>
  </w:footnote>
  <w:footnote w:id="74">
    <w:p w14:paraId="34314EA3" w14:textId="26DFC5E4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υποχρέωση του πωλητή για παράδοση των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πραγµάτων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843-862.</w:t>
      </w:r>
    </w:p>
  </w:footnote>
  <w:footnote w:id="75">
    <w:p w14:paraId="147E279B" w14:textId="71B78495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 xml:space="preserve">Δ. </w:t>
      </w:r>
      <w:proofErr w:type="spellStart"/>
      <w:r w:rsidRPr="008E5880">
        <w:rPr>
          <w:rStyle w:val="uposimeiwsiit"/>
          <w:rFonts w:ascii="Times New Roman" w:hAnsi="Times New Roman" w:cs="Times New Roman"/>
          <w:sz w:val="20"/>
          <w:szCs w:val="20"/>
        </w:rPr>
        <w:t>Φλάµπουρας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701-702 µε περαιτέρω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</w:t>
      </w:r>
    </w:p>
  </w:footnote>
  <w:footnote w:id="76">
    <w:p w14:paraId="1E9CAFF0" w14:textId="28663048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Αν.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Βαλτούδης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Η ευθύνη σε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κατά 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(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θεµελίωση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και έκταση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αποζηµίωσης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), εις ΕΝΟΒΕ,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2001, 47, σελ. 55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µε περαιτέρω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παραποµπές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Π.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Κορνηλάκης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 xml:space="preserve">Ειδικό ενοχικό δίκαιο,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τόµος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Ι, 2002, σελ. 142.</w:t>
      </w:r>
    </w:p>
  </w:footnote>
  <w:footnote w:id="77">
    <w:p w14:paraId="7C4E342B" w14:textId="73570036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ερµηνεία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διατάξεων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κατ’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εφαρµογή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7 παρ. 1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685-690, 729-731.</w:t>
      </w:r>
    </w:p>
  </w:footnote>
  <w:footnote w:id="78">
    <w:p w14:paraId="747FE066" w14:textId="6BB01173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Για την CISG 8 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733-753.</w:t>
      </w:r>
    </w:p>
  </w:footnote>
  <w:footnote w:id="79">
    <w:p w14:paraId="25DAD33E" w14:textId="53701504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Γίνεται δεκτό ότι η αρχή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pacta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sunt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servanda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 xml:space="preserve">αποτελεί γενική αρχή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, η οποία στηρίζεται στις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30, 53, 71-73 και 79: βλ. επίσης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παρ. 703.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80">
    <w:p w14:paraId="6D17B758" w14:textId="5C9A501A" w:rsidR="00D45081" w:rsidRPr="008E5880" w:rsidRDefault="00D45081" w:rsidP="008E5880">
      <w:pPr>
        <w:pStyle w:val="uposimeiwsi"/>
        <w:tabs>
          <w:tab w:val="left" w:pos="5954"/>
        </w:tabs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</w:rPr>
        <w:t xml:space="preserve">Δ.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</w:rPr>
        <w:t>Φλάµπουρα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Απαλλαγή από την ευθύνη για µη εκπλήρωση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πώλησης στη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Βιέννης για τις διεθνείς πωλήσεις κινητών,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ΕΕµπΔ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2000,679, 703-704.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H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Stoll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>/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Gruber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>εις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Schlechtriem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>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Schwenzer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Commentary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UN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Convention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Sale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Goods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, 2005 2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825. </w:t>
      </w:r>
      <w:r w:rsidRPr="008E5880">
        <w:rPr>
          <w:rFonts w:ascii="Times New Roman" w:hAnsi="Times New Roman" w:cs="Times New Roman"/>
          <w:sz w:val="20"/>
          <w:szCs w:val="20"/>
        </w:rPr>
        <w:t>Δηλαδή η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όνη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δυνατότητα για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επαναδιαπραγµάτευση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ή λήξη της ισχύος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στις παραπάνω περιστάσεις (µ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εταβολή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οικονοµικού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υποβάθρου κ.ά.) θα πρέπει να είναι 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συµφωνία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ερών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η οποία θα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εµφανίζεται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διάφορες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ορφές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οι οποίες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περιλαµβάνουν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: (α) την εισαγωγή ειδικών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συµβατικών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όρων (βλ.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1155, 1161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π.κ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παρ. 1183)∙ (β) τον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αποκλεισµό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σύµφωνα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µε την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6, από τα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έρη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εφαρµογής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ως σύνολο ή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CISG</w:t>
      </w:r>
      <w:r w:rsidRPr="008E5880">
        <w:rPr>
          <w:rFonts w:ascii="Times New Roman" w:hAnsi="Times New Roman" w:cs="Times New Roman"/>
          <w:sz w:val="20"/>
          <w:szCs w:val="20"/>
        </w:rPr>
        <w:t xml:space="preserve"> 79 ειδικότερα (οπότε στην περίπτωση αυτή θα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εφαρµοστούν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οι σχετικοί κανόνες του εθνικού δικαίου στο οποίο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παραπέµπει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το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ιδ.δ.δ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. του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forum</w:t>
      </w:r>
      <w:r w:rsidRPr="008E5880">
        <w:rPr>
          <w:rFonts w:ascii="Times New Roman" w:hAnsi="Times New Roman" w:cs="Times New Roman"/>
          <w:sz w:val="20"/>
          <w:szCs w:val="20"/>
        </w:rPr>
        <w:t xml:space="preserve">, λ.χ. ΑΚ 388)∙ (γ) ειδικά σε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συµβάσεις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πώλησης που υπάγονται σε διαιτησία, τη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συµφωνία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ερών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ότι θα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εφαρµόζονται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οι Αρχές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UNIDROIT</w:t>
      </w:r>
      <w:r w:rsidRPr="008E5880">
        <w:rPr>
          <w:rFonts w:ascii="Times New Roman" w:hAnsi="Times New Roman" w:cs="Times New Roman"/>
          <w:sz w:val="20"/>
          <w:szCs w:val="20"/>
        </w:rPr>
        <w:t xml:space="preserve"> για τις διεθνείς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εµπορικές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συµβάσεις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ή οι Αρχές του Ευρωπαϊκού Δικαίου των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Συµβάσεων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(που περιέχουν σχετικές µε την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εταβολή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των περιστάσεων διατάξεις)∙ (δ) ειδικά σε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συµβάσεις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πώλησης που υπάγονται σε διαιτησία, την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συµβατική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πρόβλεψη των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ερών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ότι οι διαιτητές 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πορούν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να ενεργήσουν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στηριζόµενοι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σε γενικές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ανεθνικές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αρχές του δικαίου (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general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principles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</w:rPr>
        <w:t xml:space="preserve">) ή µε καλή πίστη και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συµβιβαστικά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(ως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aequo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et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bono</w:t>
      </w:r>
      <w:r w:rsidRPr="008E5880">
        <w:rPr>
          <w:rFonts w:ascii="Times New Roman" w:hAnsi="Times New Roman" w:cs="Times New Roman"/>
          <w:sz w:val="20"/>
          <w:szCs w:val="20"/>
        </w:rPr>
        <w:t xml:space="preserve"> ή ως 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amiables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compositeurs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) ή µε βάση της αρχές της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lex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mercatoria</w:t>
      </w:r>
      <w:r w:rsidRPr="008E5880">
        <w:rPr>
          <w:rFonts w:ascii="Times New Roman" w:hAnsi="Times New Roman" w:cs="Times New Roman"/>
          <w:sz w:val="20"/>
          <w:szCs w:val="20"/>
        </w:rPr>
        <w:t xml:space="preserve"> (οπότε οι διαιτητές δεν αποκλείεται να αναγνωρίσουν δυνατότητα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επαναδιαπραγµάτευσης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ή λύσης της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σύµβασης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Πρβλ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</w:rPr>
        <w:t>σχετικά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D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Flambouras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Doctrines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Impossibility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Performance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Clausula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rebus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sic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stantibus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1980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Convention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Contracts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for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Sale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Goods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Principles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European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Contract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-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Comparative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Analysis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Pace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Law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Review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(13) 2001,261,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289-293 </w:t>
      </w:r>
      <w:r w:rsidRPr="008E5880">
        <w:rPr>
          <w:rFonts w:ascii="Times New Roman" w:hAnsi="Times New Roman" w:cs="Times New Roman"/>
          <w:sz w:val="20"/>
          <w:szCs w:val="20"/>
        </w:rPr>
        <w:t>όπου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και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ανάλυση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του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προτεινό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US"/>
        </w:rPr>
        <w:t>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ενου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εθοδολογικού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προτύπου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∙ </w:t>
      </w:r>
      <w:r w:rsidRPr="008E5880">
        <w:rPr>
          <w:rFonts w:ascii="Times New Roman" w:hAnsi="Times New Roman" w:cs="Times New Roman"/>
          <w:sz w:val="20"/>
          <w:szCs w:val="20"/>
        </w:rPr>
        <w:t>έτσι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και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οι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H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Stoll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>/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Gruber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</w:rPr>
        <w:t>εις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Schlechtriem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>/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Schwenzer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Commentary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UN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Convention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on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International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Sale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Goods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>, 2005 2</w:t>
      </w:r>
      <w:proofErr w:type="spellStart"/>
      <w:r w:rsidRPr="008E5880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822-826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µ</w:t>
      </w:r>
      <w:r w:rsidRPr="008E5880">
        <w:rPr>
          <w:rFonts w:ascii="Times New Roman" w:hAnsi="Times New Roman" w:cs="Times New Roman"/>
          <w:sz w:val="20"/>
          <w:szCs w:val="20"/>
        </w:rPr>
        <w:t>ε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περαιτέρω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παραπο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US"/>
        </w:rPr>
        <w:t>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πές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και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στην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παραπάνω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µ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ελέτη</w:t>
      </w:r>
      <w:proofErr w:type="spellEnd"/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του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E5880">
        <w:rPr>
          <w:rFonts w:ascii="Times New Roman" w:hAnsi="Times New Roman" w:cs="Times New Roman"/>
          <w:sz w:val="20"/>
          <w:szCs w:val="20"/>
        </w:rPr>
        <w:t>γράφοντος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</w:footnote>
  <w:footnote w:id="81">
    <w:p w14:paraId="09736888" w14:textId="5DD8B889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sz w:val="20"/>
          <w:szCs w:val="20"/>
        </w:rPr>
        <w:t xml:space="preserve">Ο όρος αυτός θα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ρυθµίσει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 xml:space="preserve"> τις περιπτώσεις που αναφέρθηκαν </w:t>
      </w:r>
      <w:proofErr w:type="spellStart"/>
      <w:r w:rsidRPr="008E5880">
        <w:rPr>
          <w:rFonts w:ascii="Times New Roman" w:hAnsi="Times New Roman" w:cs="Times New Roman"/>
          <w:sz w:val="20"/>
          <w:szCs w:val="20"/>
        </w:rPr>
        <w:t>π.π</w:t>
      </w:r>
      <w:proofErr w:type="spellEnd"/>
      <w:r w:rsidRPr="008E5880">
        <w:rPr>
          <w:rFonts w:ascii="Times New Roman" w:hAnsi="Times New Roman" w:cs="Times New Roman"/>
          <w:sz w:val="20"/>
          <w:szCs w:val="20"/>
        </w:rPr>
        <w:t>. στην παρ. 1157.</w:t>
      </w:r>
      <w:r w:rsidRPr="008E5880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82">
    <w:p w14:paraId="2B7DD850" w14:textId="77777777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588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E5880">
        <w:rPr>
          <w:rFonts w:ascii="Times New Roman" w:hAnsi="Times New Roman" w:cs="Times New Roman"/>
          <w:sz w:val="20"/>
          <w:szCs w:val="20"/>
        </w:rPr>
        <w:t> </w:t>
      </w:r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D. </w:t>
      </w:r>
      <w:proofErr w:type="spellStart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>Flambouras</w:t>
      </w:r>
      <w:proofErr w:type="spellEnd"/>
      <w:r w:rsidRPr="008E588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The Doctrines of Impossibility of Performance and Clausula rebus sic stantibus in the 1980 Convention on Contracts for the International Sale of Goods and the Principles of European Contract Law - A Comparative Analysis, Pace International Law Review (13) 2001,261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>p.</w:t>
      </w:r>
      <w:r w:rsidRPr="008E5880">
        <w:rPr>
          <w:rFonts w:ascii="Times New Roman" w:hAnsi="Times New Roman" w:cs="Times New Roman"/>
          <w:sz w:val="20"/>
          <w:szCs w:val="20"/>
          <w:lang w:val="en-GB"/>
        </w:rPr>
        <w:t xml:space="preserve"> 279-280</w:t>
      </w:r>
      <w:r w:rsidRPr="008E588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15E043AA" w14:textId="77777777" w:rsidR="00D45081" w:rsidRPr="008E5880" w:rsidRDefault="00D45081" w:rsidP="008E5880">
      <w:pPr>
        <w:pStyle w:val="uposimeiwsi"/>
        <w:spacing w:before="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09"/>
    <w:rsid w:val="00411BE9"/>
    <w:rsid w:val="004968EB"/>
    <w:rsid w:val="006E10EF"/>
    <w:rsid w:val="008E5880"/>
    <w:rsid w:val="00A64230"/>
    <w:rsid w:val="00C67EC2"/>
    <w:rsid w:val="00C93B09"/>
    <w:rsid w:val="00D4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4A32"/>
  <w15:chartTrackingRefBased/>
  <w15:docId w15:val="{002ABE94-0A76-4551-994C-08C9A006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B09"/>
    <w:rPr>
      <w:rFonts w:ascii="Aptos" w:eastAsia="Aptos" w:hAnsi="Aptos" w:cs="Times New Roma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93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3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3B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3B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3B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3B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3B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3B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3B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93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93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93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93B0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93B0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93B0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93B0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93B0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93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93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C93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3B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C93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3B0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C93B0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3B09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a7">
    <w:name w:val="Intense Emphasis"/>
    <w:basedOn w:val="a0"/>
    <w:uiPriority w:val="21"/>
    <w:qFormat/>
    <w:rsid w:val="00C93B0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3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C93B0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3B09"/>
    <w:rPr>
      <w:b/>
      <w:bCs/>
      <w:smallCaps/>
      <w:color w:val="0F4761" w:themeColor="accent1" w:themeShade="BF"/>
      <w:spacing w:val="5"/>
    </w:rPr>
  </w:style>
  <w:style w:type="paragraph" w:customStyle="1" w:styleId="uposimeiwsi">
    <w:name w:val="uposimeiwsi"/>
    <w:basedOn w:val="a"/>
    <w:next w:val="a"/>
    <w:uiPriority w:val="99"/>
    <w:rsid w:val="00C93B09"/>
    <w:pPr>
      <w:tabs>
        <w:tab w:val="left" w:pos="283"/>
      </w:tabs>
      <w:autoSpaceDE w:val="0"/>
      <w:autoSpaceDN w:val="0"/>
      <w:adjustRightInd w:val="0"/>
      <w:spacing w:before="23" w:after="11" w:line="200" w:lineRule="atLeast"/>
      <w:jc w:val="both"/>
      <w:textAlignment w:val="baseline"/>
    </w:pPr>
    <w:rPr>
      <w:rFonts w:ascii="PFIndex" w:hAnsi="PFIndex" w:cs="PFIndex"/>
      <w:color w:val="000000"/>
      <w:spacing w:val="-4"/>
      <w:kern w:val="0"/>
      <w:sz w:val="18"/>
      <w:szCs w:val="18"/>
    </w:rPr>
  </w:style>
  <w:style w:type="paragraph" w:styleId="aa">
    <w:name w:val="header"/>
    <w:basedOn w:val="a"/>
    <w:link w:val="Char3"/>
    <w:uiPriority w:val="99"/>
    <w:unhideWhenUsed/>
    <w:rsid w:val="00C93B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93B09"/>
    <w:rPr>
      <w:rFonts w:ascii="Aptos" w:eastAsia="Aptos" w:hAnsi="Aptos" w:cs="Times New Roman"/>
      <w14:ligatures w14:val="none"/>
    </w:rPr>
  </w:style>
  <w:style w:type="paragraph" w:styleId="ab">
    <w:name w:val="footer"/>
    <w:basedOn w:val="a"/>
    <w:link w:val="Char4"/>
    <w:uiPriority w:val="99"/>
    <w:unhideWhenUsed/>
    <w:rsid w:val="00C93B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93B09"/>
    <w:rPr>
      <w:rFonts w:ascii="Aptos" w:eastAsia="Aptos" w:hAnsi="Aptos" w:cs="Times New Roman"/>
      <w14:ligatures w14:val="none"/>
    </w:rPr>
  </w:style>
  <w:style w:type="character" w:customStyle="1" w:styleId="uposimeiwsiit">
    <w:name w:val="uposimeiwsi it."/>
    <w:uiPriority w:val="99"/>
    <w:rsid w:val="00D450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FFFFFF"/>
      </a:dk1>
      <a:lt1>
        <a:sysClr val="window" lastClr="20202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C111C-C0B8-4678-9E79-467D13B3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19</Pages>
  <Words>5986</Words>
  <Characters>32329</Characters>
  <Application>Microsoft Office Word</Application>
  <DocSecurity>0</DocSecurity>
  <Lines>269</Lines>
  <Paragraphs>76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Chrysafo Tsouka</dc:creator>
  <cp:keywords/>
  <dc:description/>
  <cp:lastModifiedBy>Chrysafo Tsouka</cp:lastModifiedBy>
  <cp:revision>2</cp:revision>
  <dcterms:created xsi:type="dcterms:W3CDTF">2026-05-25T07:32:00Z</dcterms:created>
  <dcterms:modified xsi:type="dcterms:W3CDTF">2026-05-25T09:36:00Z</dcterms:modified>
</cp:coreProperties>
</file>