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209C5" w14:textId="56815CAB" w:rsidR="000C13C7" w:rsidRPr="00EE292B" w:rsidRDefault="000C13C7" w:rsidP="00EE292B">
      <w:pPr>
        <w:pStyle w:val="title-bold"/>
        <w:spacing w:before="0" w:beforeAutospacing="0" w:after="120" w:afterAutospacing="0"/>
        <w:jc w:val="both"/>
        <w:rPr>
          <w:b/>
          <w:bCs/>
        </w:rPr>
      </w:pPr>
      <w:bookmarkStart w:id="0" w:name="_Hlk194651337"/>
      <w:r w:rsidRPr="00EE292B">
        <w:rPr>
          <w:b/>
          <w:bCs/>
        </w:rPr>
        <w:t>1. Απόφαση του Δικαστηρίου (πρώτο τμήμα) της 21ης Μαρτίου 2024.</w:t>
      </w:r>
      <w:r w:rsidRPr="00EE292B">
        <w:rPr>
          <w:b/>
          <w:bCs/>
        </w:rPr>
        <w:br/>
      </w:r>
    </w:p>
    <w:bookmarkEnd w:id="0"/>
    <w:p w14:paraId="07AD2CCC" w14:textId="3A1F439F" w:rsidR="000C13C7" w:rsidRPr="00EE292B" w:rsidRDefault="000C13C7" w:rsidP="00EE292B">
      <w:pPr>
        <w:pStyle w:val="title-bold"/>
        <w:spacing w:before="0" w:beforeAutospacing="0" w:after="120" w:afterAutospacing="0"/>
        <w:jc w:val="both"/>
      </w:pPr>
      <w:r w:rsidRPr="00EE292B">
        <w:t>«</w:t>
      </w:r>
      <w:proofErr w:type="spellStart"/>
      <w:r w:rsidRPr="00EE292B">
        <w:t>Gjensidige</w:t>
      </w:r>
      <w:proofErr w:type="spellEnd"/>
      <w:r w:rsidRPr="00EE292B">
        <w:t>» ADB κατά «</w:t>
      </w:r>
      <w:proofErr w:type="spellStart"/>
      <w:r w:rsidRPr="00EE292B">
        <w:t>Rhenus</w:t>
      </w:r>
      <w:proofErr w:type="spellEnd"/>
      <w:r w:rsidRPr="00EE292B">
        <w:t xml:space="preserve"> </w:t>
      </w:r>
      <w:proofErr w:type="spellStart"/>
      <w:r w:rsidRPr="00EE292B">
        <w:t>Logistics»UAB</w:t>
      </w:r>
      <w:proofErr w:type="spellEnd"/>
      <w:r w:rsidRPr="00EE292B">
        <w:t xml:space="preserve"> και «ACC </w:t>
      </w:r>
      <w:proofErr w:type="spellStart"/>
      <w:r w:rsidRPr="00EE292B">
        <w:t>Distribution</w:t>
      </w:r>
      <w:proofErr w:type="spellEnd"/>
      <w:r w:rsidRPr="00EE292B">
        <w:t>» UAB.</w:t>
      </w:r>
      <w:r w:rsidRPr="00EE292B">
        <w:br/>
        <w:t xml:space="preserve">Αίτηση του </w:t>
      </w:r>
      <w:proofErr w:type="spellStart"/>
      <w:r w:rsidRPr="00EE292B">
        <w:t>Lietuvos</w:t>
      </w:r>
      <w:proofErr w:type="spellEnd"/>
      <w:r w:rsidRPr="00EE292B">
        <w:t xml:space="preserve"> </w:t>
      </w:r>
      <w:proofErr w:type="spellStart"/>
      <w:r w:rsidRPr="00EE292B">
        <w:t>Aukščiausiasis</w:t>
      </w:r>
      <w:proofErr w:type="spellEnd"/>
      <w:r w:rsidRPr="00EE292B">
        <w:t xml:space="preserve"> </w:t>
      </w:r>
      <w:proofErr w:type="spellStart"/>
      <w:r w:rsidRPr="00EE292B">
        <w:t>Teismas</w:t>
      </w:r>
      <w:proofErr w:type="spellEnd"/>
      <w:r w:rsidRPr="00EE292B">
        <w:t xml:space="preserve"> για την έκδοση προδικαστικής αποφάσεως.</w:t>
      </w:r>
      <w:r w:rsidRPr="00EE292B">
        <w:br/>
        <w:t>Προδικαστική παραπομπή – Δικαστική συνεργασία σε αστικές υποθέσεις – Διεθνής δικαιοδοσία, αναγνώριση και εκτέλεση αποφάσεων σε αστικές και εμπορικές υποθέσεις – Κανονισμός (ΕΕ) 1215/2012 – Άρθρο 45 – Άρνηση αναγνώρισης αποφάσεως – Άρθρο 71 – Σχέση του εν λόγω κανονισμού με συμβάσεις που αφορούν ειδικό θέμα – Σύμβαση περί του συμβολαίου για τη διεθνή οδική μεταφορά εμπορευμάτων (CMR) – Άρθρο 31, παράγραφος 3 – Εκκρεμοδικία – Συμφωνία παρέκτασης διεθνούς δικαιοδοσίας – Έννοια της “δημόσιας τάξης”.</w:t>
      </w:r>
      <w:r w:rsidRPr="00EE292B">
        <w:br/>
        <w:t>Υπόθεση C-90/22.</w:t>
      </w:r>
    </w:p>
    <w:p w14:paraId="199C3274" w14:textId="77777777" w:rsidR="000C13C7" w:rsidRPr="00EE292B" w:rsidRDefault="000C13C7" w:rsidP="00EE292B">
      <w:pPr>
        <w:pStyle w:val="Web"/>
        <w:spacing w:before="0" w:beforeAutospacing="0" w:after="120" w:afterAutospacing="0"/>
        <w:jc w:val="both"/>
      </w:pPr>
      <w:r w:rsidRPr="00EE292B">
        <w:rPr>
          <w:rStyle w:val="aa"/>
          <w:rFonts w:eastAsiaTheme="majorEastAsia"/>
        </w:rPr>
        <w:t>Συλλογή της Νομολογίας — Γενική Συλλογή — Τμήμα «Πληροφορίες για τις μη δημοσιευόμενες αποφάσεις»</w:t>
      </w:r>
      <w:r w:rsidRPr="00EE292B">
        <w:t xml:space="preserve"> </w:t>
      </w:r>
    </w:p>
    <w:p w14:paraId="1848434A" w14:textId="77777777" w:rsidR="000C13C7" w:rsidRPr="00EE292B" w:rsidRDefault="000C13C7" w:rsidP="00EE292B">
      <w:pPr>
        <w:pStyle w:val="Web"/>
        <w:spacing w:before="0" w:beforeAutospacing="0" w:after="120" w:afterAutospacing="0"/>
        <w:jc w:val="both"/>
      </w:pPr>
      <w:r w:rsidRPr="00EE292B">
        <w:t>Αναγνωριστικό ECLI: ECLI:EU:C:2024:252</w:t>
      </w:r>
    </w:p>
    <w:tbl>
      <w:tblPr>
        <w:tblW w:w="5000" w:type="pct"/>
        <w:tblCellSpacing w:w="0" w:type="dxa"/>
        <w:tblCellMar>
          <w:left w:w="0" w:type="dxa"/>
          <w:right w:w="0" w:type="dxa"/>
        </w:tblCellMar>
        <w:tblLook w:val="04A0" w:firstRow="1" w:lastRow="0" w:firstColumn="1" w:lastColumn="0" w:noHBand="0" w:noVBand="1"/>
      </w:tblPr>
      <w:tblGrid>
        <w:gridCol w:w="8306"/>
      </w:tblGrid>
      <w:tr w:rsidR="000C13C7" w:rsidRPr="000C13C7" w14:paraId="677FAFC9" w14:textId="77777777" w:rsidTr="000C13C7">
        <w:trPr>
          <w:tblCellSpacing w:w="0" w:type="dxa"/>
        </w:trPr>
        <w:tc>
          <w:tcPr>
            <w:tcW w:w="0" w:type="auto"/>
            <w:vAlign w:val="center"/>
            <w:hideMark/>
          </w:tcPr>
          <w:p w14:paraId="63F9214F" w14:textId="77777777" w:rsidR="000C13C7" w:rsidRPr="000C13C7" w:rsidRDefault="000C13C7" w:rsidP="00EE292B">
            <w:pPr>
              <w:spacing w:after="120" w:line="240" w:lineRule="auto"/>
              <w:jc w:val="both"/>
              <w:rPr>
                <w:rFonts w:ascii="Times New Roman" w:eastAsia="Times New Roman" w:hAnsi="Times New Roman" w:cs="Times New Roman"/>
                <w:kern w:val="0"/>
                <w:lang w:eastAsia="el-GR"/>
                <w14:ligatures w14:val="none"/>
              </w:rPr>
            </w:pPr>
            <w:r w:rsidRPr="000C13C7">
              <w:rPr>
                <w:rFonts w:ascii="Times New Roman" w:eastAsia="Times New Roman" w:hAnsi="Times New Roman" w:cs="Times New Roman"/>
                <w:kern w:val="0"/>
                <w:lang w:eastAsia="el-GR"/>
                <w14:ligatures w14:val="none"/>
              </w:rPr>
              <w:t>Το άρθρο 45, παράγραφος 1, στοιχείο αʹ και στοιχείο εʹ, σημείο </w:t>
            </w:r>
            <w:proofErr w:type="spellStart"/>
            <w:r w:rsidRPr="000C13C7">
              <w:rPr>
                <w:rFonts w:ascii="Times New Roman" w:eastAsia="Times New Roman" w:hAnsi="Times New Roman" w:cs="Times New Roman"/>
                <w:kern w:val="0"/>
                <w:lang w:eastAsia="el-GR"/>
                <w14:ligatures w14:val="none"/>
              </w:rPr>
              <w:t>ii</w:t>
            </w:r>
            <w:proofErr w:type="spellEnd"/>
            <w:r w:rsidRPr="000C13C7">
              <w:rPr>
                <w:rFonts w:ascii="Times New Roman" w:eastAsia="Times New Roman" w:hAnsi="Times New Roman" w:cs="Times New Roman"/>
                <w:kern w:val="0"/>
                <w:lang w:eastAsia="el-GR"/>
                <w14:ligatures w14:val="none"/>
              </w:rPr>
              <w:t xml:space="preserve">, του κανονισμού (ΕΕ) 1215/2012 του Ευρωπαϊκού Κοινοβουλίου και του Συμβουλίου, της 12ης Δεκεμβρίου 2012, για τη διεθνή δικαιοδοσία, την αναγνώριση και την εκτέλεση αποφάσεων σε αστικές και εμπορικές υποθέσεις, </w:t>
            </w:r>
          </w:p>
        </w:tc>
      </w:tr>
    </w:tbl>
    <w:p w14:paraId="288794ED" w14:textId="77777777" w:rsidR="000C13C7" w:rsidRPr="000C13C7" w:rsidRDefault="000C13C7" w:rsidP="00EE292B">
      <w:pPr>
        <w:spacing w:after="120" w:line="240" w:lineRule="auto"/>
        <w:jc w:val="both"/>
        <w:rPr>
          <w:rFonts w:ascii="Times New Roman" w:eastAsia="Times New Roman" w:hAnsi="Times New Roman" w:cs="Times New Roman"/>
          <w:vanish/>
          <w:kern w:val="0"/>
          <w:lang w:eastAsia="el-GR"/>
          <w14:ligatures w14:val="none"/>
        </w:rPr>
      </w:pPr>
    </w:p>
    <w:tbl>
      <w:tblPr>
        <w:tblW w:w="5000" w:type="pct"/>
        <w:tblCellSpacing w:w="0" w:type="dxa"/>
        <w:tblCellMar>
          <w:left w:w="0" w:type="dxa"/>
          <w:right w:w="0" w:type="dxa"/>
        </w:tblCellMar>
        <w:tblLook w:val="04A0" w:firstRow="1" w:lastRow="0" w:firstColumn="1" w:lastColumn="0" w:noHBand="0" w:noVBand="1"/>
      </w:tblPr>
      <w:tblGrid>
        <w:gridCol w:w="260"/>
        <w:gridCol w:w="8046"/>
      </w:tblGrid>
      <w:tr w:rsidR="000C13C7" w:rsidRPr="000C13C7" w14:paraId="2B7CBF95" w14:textId="77777777" w:rsidTr="000C13C7">
        <w:trPr>
          <w:tblCellSpacing w:w="0" w:type="dxa"/>
        </w:trPr>
        <w:tc>
          <w:tcPr>
            <w:tcW w:w="0" w:type="auto"/>
            <w:vAlign w:val="center"/>
            <w:hideMark/>
          </w:tcPr>
          <w:p w14:paraId="746918F1" w14:textId="77777777" w:rsidR="000C13C7" w:rsidRPr="000C13C7" w:rsidRDefault="000C13C7" w:rsidP="00EE292B">
            <w:pPr>
              <w:spacing w:after="120" w:line="240" w:lineRule="auto"/>
              <w:jc w:val="both"/>
              <w:rPr>
                <w:rFonts w:ascii="Times New Roman" w:eastAsia="Times New Roman" w:hAnsi="Times New Roman" w:cs="Times New Roman"/>
                <w:kern w:val="0"/>
                <w:lang w:eastAsia="el-GR"/>
                <w14:ligatures w14:val="none"/>
              </w:rPr>
            </w:pPr>
            <w:r w:rsidRPr="000C13C7">
              <w:rPr>
                <w:rFonts w:ascii="Times New Roman" w:eastAsia="Times New Roman" w:hAnsi="Times New Roman" w:cs="Times New Roman"/>
                <w:kern w:val="0"/>
                <w:lang w:eastAsia="el-GR"/>
                <w14:ligatures w14:val="none"/>
              </w:rPr>
              <w:t> </w:t>
            </w:r>
          </w:p>
        </w:tc>
        <w:tc>
          <w:tcPr>
            <w:tcW w:w="0" w:type="auto"/>
            <w:vAlign w:val="center"/>
            <w:hideMark/>
          </w:tcPr>
          <w:p w14:paraId="7EEED560" w14:textId="77777777" w:rsidR="000C13C7" w:rsidRPr="000C13C7" w:rsidRDefault="000C13C7" w:rsidP="00EE292B">
            <w:pPr>
              <w:spacing w:after="120" w:line="240" w:lineRule="auto"/>
              <w:jc w:val="both"/>
              <w:rPr>
                <w:rFonts w:ascii="Times New Roman" w:eastAsia="Times New Roman" w:hAnsi="Times New Roman" w:cs="Times New Roman"/>
                <w:kern w:val="0"/>
                <w:lang w:eastAsia="el-GR"/>
                <w14:ligatures w14:val="none"/>
              </w:rPr>
            </w:pPr>
            <w:r w:rsidRPr="000C13C7">
              <w:rPr>
                <w:rFonts w:ascii="Times New Roman" w:eastAsia="Times New Roman" w:hAnsi="Times New Roman" w:cs="Times New Roman"/>
                <w:kern w:val="0"/>
                <w:lang w:eastAsia="el-GR"/>
                <w14:ligatures w14:val="none"/>
              </w:rPr>
              <w:t xml:space="preserve">έχει την έννοια ότι: </w:t>
            </w:r>
          </w:p>
        </w:tc>
      </w:tr>
    </w:tbl>
    <w:p w14:paraId="6BCE8CC5" w14:textId="77777777" w:rsidR="000C13C7" w:rsidRPr="000C13C7" w:rsidRDefault="000C13C7" w:rsidP="00EE292B">
      <w:pPr>
        <w:spacing w:after="120" w:line="240" w:lineRule="auto"/>
        <w:jc w:val="both"/>
        <w:rPr>
          <w:rFonts w:ascii="Times New Roman" w:eastAsia="Times New Roman" w:hAnsi="Times New Roman" w:cs="Times New Roman"/>
          <w:vanish/>
          <w:kern w:val="0"/>
          <w:lang w:eastAsia="el-GR"/>
          <w14:ligatures w14:val="none"/>
        </w:rPr>
      </w:pPr>
    </w:p>
    <w:tbl>
      <w:tblPr>
        <w:tblW w:w="5201" w:type="pct"/>
        <w:tblCellSpacing w:w="0" w:type="dxa"/>
        <w:tblCellMar>
          <w:left w:w="0" w:type="dxa"/>
          <w:right w:w="0" w:type="dxa"/>
        </w:tblCellMar>
        <w:tblLook w:val="04A0" w:firstRow="1" w:lastRow="0" w:firstColumn="1" w:lastColumn="0" w:noHBand="0" w:noVBand="1"/>
      </w:tblPr>
      <w:tblGrid>
        <w:gridCol w:w="60"/>
        <w:gridCol w:w="8580"/>
      </w:tblGrid>
      <w:tr w:rsidR="000C13C7" w:rsidRPr="000C13C7" w14:paraId="363404E8" w14:textId="77777777" w:rsidTr="000C13C7">
        <w:trPr>
          <w:tblCellSpacing w:w="0" w:type="dxa"/>
        </w:trPr>
        <w:tc>
          <w:tcPr>
            <w:tcW w:w="0" w:type="auto"/>
            <w:vAlign w:val="center"/>
            <w:hideMark/>
          </w:tcPr>
          <w:p w14:paraId="6DFB5301" w14:textId="77777777" w:rsidR="000C13C7" w:rsidRPr="000C13C7" w:rsidRDefault="000C13C7" w:rsidP="00EE292B">
            <w:pPr>
              <w:spacing w:after="120" w:line="240" w:lineRule="auto"/>
              <w:jc w:val="both"/>
              <w:rPr>
                <w:rFonts w:ascii="Times New Roman" w:eastAsia="Times New Roman" w:hAnsi="Times New Roman" w:cs="Times New Roman"/>
                <w:kern w:val="0"/>
                <w:lang w:eastAsia="el-GR"/>
                <w14:ligatures w14:val="none"/>
              </w:rPr>
            </w:pPr>
            <w:r w:rsidRPr="000C13C7">
              <w:rPr>
                <w:rFonts w:ascii="Times New Roman" w:eastAsia="Times New Roman" w:hAnsi="Times New Roman" w:cs="Times New Roman"/>
                <w:kern w:val="0"/>
                <w:lang w:eastAsia="el-GR"/>
                <w14:ligatures w14:val="none"/>
              </w:rPr>
              <w:t> </w:t>
            </w:r>
          </w:p>
        </w:tc>
        <w:tc>
          <w:tcPr>
            <w:tcW w:w="0" w:type="auto"/>
            <w:vAlign w:val="center"/>
            <w:hideMark/>
          </w:tcPr>
          <w:p w14:paraId="6CD11877" w14:textId="77777777" w:rsidR="000C13C7" w:rsidRPr="00EE292B" w:rsidRDefault="000C13C7" w:rsidP="00EE292B">
            <w:pPr>
              <w:spacing w:after="120" w:line="240" w:lineRule="auto"/>
              <w:jc w:val="both"/>
              <w:rPr>
                <w:rFonts w:ascii="Times New Roman" w:eastAsia="Times New Roman" w:hAnsi="Times New Roman" w:cs="Times New Roman"/>
                <w:kern w:val="0"/>
                <w:lang w:eastAsia="el-GR"/>
                <w14:ligatures w14:val="none"/>
              </w:rPr>
            </w:pPr>
            <w:r w:rsidRPr="000C13C7">
              <w:rPr>
                <w:rFonts w:ascii="Times New Roman" w:eastAsia="Times New Roman" w:hAnsi="Times New Roman" w:cs="Times New Roman"/>
                <w:kern w:val="0"/>
                <w:lang w:eastAsia="el-GR"/>
                <w14:ligatures w14:val="none"/>
              </w:rPr>
              <w:t xml:space="preserve">δεν επιτρέπει σε δικαστήριο κράτους μέλους να αρνηθεί την αναγνώριση αποφάσεως δικαστηρίου άλλου κράτους μέλους για τον λόγο ότι το τελευταίο αυτό δικαστήριο έκρινε ότι έχει διεθνή δικαιοδοσία να αποφανθεί επί αγωγής </w:t>
            </w:r>
            <w:proofErr w:type="spellStart"/>
            <w:r w:rsidRPr="000C13C7">
              <w:rPr>
                <w:rFonts w:ascii="Times New Roman" w:eastAsia="Times New Roman" w:hAnsi="Times New Roman" w:cs="Times New Roman"/>
                <w:kern w:val="0"/>
                <w:lang w:eastAsia="el-GR"/>
                <w14:ligatures w14:val="none"/>
              </w:rPr>
              <w:t>ασκηθείσας</w:t>
            </w:r>
            <w:proofErr w:type="spellEnd"/>
            <w:r w:rsidRPr="000C13C7">
              <w:rPr>
                <w:rFonts w:ascii="Times New Roman" w:eastAsia="Times New Roman" w:hAnsi="Times New Roman" w:cs="Times New Roman"/>
                <w:kern w:val="0"/>
                <w:lang w:eastAsia="el-GR"/>
                <w14:ligatures w14:val="none"/>
              </w:rPr>
              <w:t xml:space="preserve"> δυνάμει συμβάσεως διεθνούς μεταφοράς, κατά παράβαση συμφωνίας παρέκτασης διεθνούς δικαιοδοσίας κατά την έννοια του άρθρου 25 του ως άνω κανονισμού, η οποία αποτελεί μέρος της εν λόγω συμβάσεως. </w:t>
            </w:r>
          </w:p>
          <w:p w14:paraId="3B57C099" w14:textId="77777777" w:rsidR="000C13C7" w:rsidRPr="00EE292B" w:rsidRDefault="000C13C7" w:rsidP="00EE292B">
            <w:pPr>
              <w:spacing w:after="120" w:line="240" w:lineRule="auto"/>
              <w:jc w:val="both"/>
              <w:rPr>
                <w:rFonts w:ascii="Times New Roman" w:eastAsia="Times New Roman" w:hAnsi="Times New Roman" w:cs="Times New Roman"/>
                <w:kern w:val="0"/>
                <w:lang w:eastAsia="el-GR"/>
                <w14:ligatures w14:val="none"/>
              </w:rPr>
            </w:pPr>
          </w:p>
          <w:p w14:paraId="6F32E985" w14:textId="77777777" w:rsidR="000C13C7" w:rsidRPr="00EE292B" w:rsidRDefault="000C13C7" w:rsidP="00EE292B">
            <w:pPr>
              <w:pStyle w:val="title-bold"/>
              <w:spacing w:before="0" w:beforeAutospacing="0" w:after="120" w:afterAutospacing="0"/>
              <w:jc w:val="both"/>
            </w:pPr>
            <w:r w:rsidRPr="00EE292B">
              <w:rPr>
                <w:b/>
                <w:bCs/>
              </w:rPr>
              <w:t>2. Απόφαση του Δικαστηρίου (τρίτο τμήμα) της 7ης Σεπτεμβρίου</w:t>
            </w:r>
            <w:r w:rsidRPr="00EE292B">
              <w:t xml:space="preserve"> </w:t>
            </w:r>
            <w:r w:rsidRPr="00EE292B">
              <w:rPr>
                <w:b/>
                <w:bCs/>
              </w:rPr>
              <w:t>2023</w:t>
            </w:r>
            <w:r w:rsidRPr="00EE292B">
              <w:t>.</w:t>
            </w:r>
            <w:r w:rsidRPr="00EE292B">
              <w:br/>
            </w:r>
          </w:p>
          <w:p w14:paraId="30A7AEBA" w14:textId="466D6E72" w:rsidR="000C13C7" w:rsidRPr="00EE292B" w:rsidRDefault="000C13C7" w:rsidP="00EE292B">
            <w:pPr>
              <w:pStyle w:val="title-bold"/>
              <w:spacing w:before="0" w:beforeAutospacing="0" w:after="120" w:afterAutospacing="0"/>
              <w:jc w:val="both"/>
            </w:pPr>
            <w:r w:rsidRPr="00EE292B">
              <w:rPr>
                <w:lang w:val="en-US"/>
              </w:rPr>
              <w:t xml:space="preserve">Charles Taylor Adjusting Limited </w:t>
            </w:r>
            <w:r w:rsidRPr="00EE292B">
              <w:t>και</w:t>
            </w:r>
            <w:r w:rsidRPr="00EE292B">
              <w:rPr>
                <w:lang w:val="en-US"/>
              </w:rPr>
              <w:t xml:space="preserve"> FD </w:t>
            </w:r>
            <w:r w:rsidRPr="00EE292B">
              <w:t>κατά</w:t>
            </w:r>
            <w:r w:rsidRPr="00EE292B">
              <w:rPr>
                <w:lang w:val="en-US"/>
              </w:rPr>
              <w:t xml:space="preserve"> Starlight Shipping Company </w:t>
            </w:r>
            <w:r w:rsidRPr="00EE292B">
              <w:t>και</w:t>
            </w:r>
            <w:r w:rsidRPr="00EE292B">
              <w:rPr>
                <w:lang w:val="en-US"/>
              </w:rPr>
              <w:t xml:space="preserve"> Overseas Marine Enterprises Inc.</w:t>
            </w:r>
            <w:r w:rsidRPr="00EE292B">
              <w:rPr>
                <w:lang w:val="en-US"/>
              </w:rPr>
              <w:br/>
            </w:r>
            <w:r w:rsidRPr="00EE292B">
              <w:t>Αίτηση του Αρείου Πάγου για την έκδοση προδικαστικής αποφάσεως.</w:t>
            </w:r>
            <w:r w:rsidRPr="00EE292B">
              <w:br/>
              <w:t xml:space="preserve">Προδικαστική παραπομπή – Χώρος ελευθερίας, ασφάλειας και δικαιοσύνης – Δικαστική συνεργασία σε αστικές υποθέσεις – Κανονισμός (EK) 44/2001 – Αναγνώριση και εκτέλεση σε ένα κράτος μέλος αποφάσεων προερχόμενων από άλλο κράτος μέλος – Άρθρο 34 – Λόγοι απόρριψης της αίτησης – Προσβολή της δημόσιας τάξης της Ευρωπαϊκής Ένωσης και της εθνικής δημόσιας τάξης – Έννοια της “δημόσιας τάξης” – Αμοιβαία εμπιστοσύνη – “‘Οιονεί’ </w:t>
            </w:r>
            <w:proofErr w:type="spellStart"/>
            <w:r w:rsidRPr="00EE292B">
              <w:t>αντιαγωγική</w:t>
            </w:r>
            <w:proofErr w:type="spellEnd"/>
            <w:r w:rsidRPr="00EE292B">
              <w:t xml:space="preserve"> διαταγή” – Αποφάσεις που εμποδίζουν την άσκηση του δικαιώματος δικαστικής προστασίας ή τη συνέχιση δικών που εκκρεμούν ενώπιον των δικαστηρίων άλλου κράτους μέλους.</w:t>
            </w:r>
            <w:r w:rsidRPr="00EE292B">
              <w:br/>
              <w:t>Υπόθεση C-590/21.</w:t>
            </w:r>
          </w:p>
          <w:p w14:paraId="2BE6D137" w14:textId="77777777" w:rsidR="000C13C7" w:rsidRPr="00EE292B" w:rsidRDefault="000C13C7" w:rsidP="00EE292B">
            <w:pPr>
              <w:pStyle w:val="Web"/>
              <w:spacing w:before="0" w:beforeAutospacing="0" w:after="120" w:afterAutospacing="0"/>
              <w:jc w:val="both"/>
            </w:pPr>
            <w:r w:rsidRPr="00EE292B">
              <w:rPr>
                <w:rStyle w:val="aa"/>
                <w:rFonts w:eastAsiaTheme="majorEastAsia"/>
              </w:rPr>
              <w:t>Συλλογή της Νομολογίας — Γενική Συλλογή</w:t>
            </w:r>
            <w:r w:rsidRPr="00EE292B">
              <w:t xml:space="preserve"> </w:t>
            </w:r>
          </w:p>
          <w:p w14:paraId="50F4F4EF" w14:textId="77777777" w:rsidR="000C13C7" w:rsidRPr="00EE292B" w:rsidRDefault="000C13C7" w:rsidP="00EE292B">
            <w:pPr>
              <w:pStyle w:val="Web"/>
              <w:spacing w:before="0" w:beforeAutospacing="0" w:after="120" w:afterAutospacing="0"/>
              <w:jc w:val="both"/>
            </w:pPr>
            <w:r w:rsidRPr="00EE292B">
              <w:t>Αναγνωριστικό ECLI: ECLI:EU:C:2023:633</w:t>
            </w:r>
          </w:p>
          <w:p w14:paraId="5DAC4DDD" w14:textId="60655960" w:rsidR="000C13C7" w:rsidRPr="000C13C7" w:rsidRDefault="000C13C7" w:rsidP="00EE292B">
            <w:pPr>
              <w:spacing w:after="120" w:line="240" w:lineRule="auto"/>
              <w:jc w:val="both"/>
              <w:rPr>
                <w:rFonts w:ascii="Times New Roman" w:eastAsia="Times New Roman" w:hAnsi="Times New Roman" w:cs="Times New Roman"/>
                <w:kern w:val="0"/>
                <w:lang w:eastAsia="el-GR"/>
                <w14:ligatures w14:val="none"/>
              </w:rPr>
            </w:pPr>
          </w:p>
        </w:tc>
      </w:tr>
      <w:tr w:rsidR="000C13C7" w:rsidRPr="000C13C7" w14:paraId="2A3D410C" w14:textId="77777777" w:rsidTr="000C13C7">
        <w:trPr>
          <w:tblCellSpacing w:w="0" w:type="dxa"/>
        </w:trPr>
        <w:tc>
          <w:tcPr>
            <w:tcW w:w="0" w:type="auto"/>
            <w:gridSpan w:val="2"/>
            <w:hideMark/>
          </w:tcPr>
          <w:p w14:paraId="3E0D95EC" w14:textId="77777777" w:rsidR="000C13C7" w:rsidRPr="000C13C7" w:rsidRDefault="000C13C7" w:rsidP="00EE292B">
            <w:pPr>
              <w:spacing w:after="120" w:line="240" w:lineRule="auto"/>
              <w:jc w:val="both"/>
              <w:rPr>
                <w:rFonts w:ascii="Times New Roman" w:eastAsia="Times New Roman" w:hAnsi="Times New Roman" w:cs="Times New Roman"/>
                <w:kern w:val="0"/>
                <w:lang w:eastAsia="el-GR"/>
                <w14:ligatures w14:val="none"/>
              </w:rPr>
            </w:pPr>
            <w:r w:rsidRPr="000C13C7">
              <w:rPr>
                <w:rFonts w:ascii="Times New Roman" w:eastAsia="Times New Roman" w:hAnsi="Times New Roman" w:cs="Times New Roman"/>
                <w:kern w:val="0"/>
                <w:lang w:eastAsia="el-GR"/>
                <w14:ligatures w14:val="none"/>
              </w:rPr>
              <w:lastRenderedPageBreak/>
              <w:t>Για τους λόγους αυτούς, το Δικαστήριο (τρίτο τμήμα) αποφαίνεται:</w:t>
            </w:r>
          </w:p>
        </w:tc>
      </w:tr>
    </w:tbl>
    <w:p w14:paraId="0AF539B0" w14:textId="77777777" w:rsidR="000C13C7" w:rsidRPr="000C13C7" w:rsidRDefault="000C13C7" w:rsidP="00EE292B">
      <w:pPr>
        <w:spacing w:after="120" w:line="240" w:lineRule="auto"/>
        <w:jc w:val="both"/>
        <w:rPr>
          <w:rFonts w:ascii="Times New Roman" w:eastAsia="Times New Roman" w:hAnsi="Times New Roman" w:cs="Times New Roman"/>
          <w:vanish/>
          <w:kern w:val="0"/>
          <w:lang w:eastAsia="el-GR"/>
          <w14:ligatures w14:val="none"/>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0C13C7" w:rsidRPr="000C13C7" w14:paraId="4DA499FF" w14:textId="77777777" w:rsidTr="000C13C7">
        <w:trPr>
          <w:tblCellSpacing w:w="0" w:type="dxa"/>
        </w:trPr>
        <w:tc>
          <w:tcPr>
            <w:tcW w:w="0" w:type="auto"/>
            <w:vAlign w:val="center"/>
            <w:hideMark/>
          </w:tcPr>
          <w:p w14:paraId="7CB2BD9F" w14:textId="77777777" w:rsidR="000C13C7" w:rsidRPr="000C13C7" w:rsidRDefault="000C13C7" w:rsidP="00EE292B">
            <w:pPr>
              <w:spacing w:after="120" w:line="240" w:lineRule="auto"/>
              <w:jc w:val="both"/>
              <w:rPr>
                <w:rFonts w:ascii="Times New Roman" w:eastAsia="Times New Roman" w:hAnsi="Times New Roman" w:cs="Times New Roman"/>
                <w:kern w:val="0"/>
                <w:lang w:eastAsia="el-GR"/>
                <w14:ligatures w14:val="none"/>
              </w:rPr>
            </w:pPr>
            <w:r w:rsidRPr="000C13C7">
              <w:rPr>
                <w:rFonts w:ascii="Times New Roman" w:eastAsia="Times New Roman" w:hAnsi="Times New Roman" w:cs="Times New Roman"/>
                <w:kern w:val="0"/>
                <w:lang w:eastAsia="el-GR"/>
                <w14:ligatures w14:val="none"/>
              </w:rPr>
              <w:t> </w:t>
            </w:r>
          </w:p>
        </w:tc>
        <w:tc>
          <w:tcPr>
            <w:tcW w:w="0" w:type="auto"/>
            <w:vAlign w:val="center"/>
            <w:hideMark/>
          </w:tcPr>
          <w:p w14:paraId="70216ECD" w14:textId="77777777" w:rsidR="000C13C7" w:rsidRPr="000C13C7" w:rsidRDefault="000C13C7" w:rsidP="00EE292B">
            <w:pPr>
              <w:spacing w:after="120" w:line="240" w:lineRule="auto"/>
              <w:jc w:val="both"/>
              <w:rPr>
                <w:rFonts w:ascii="Times New Roman" w:eastAsia="Times New Roman" w:hAnsi="Times New Roman" w:cs="Times New Roman"/>
                <w:kern w:val="0"/>
                <w:lang w:eastAsia="el-GR"/>
                <w14:ligatures w14:val="none"/>
              </w:rPr>
            </w:pPr>
            <w:r w:rsidRPr="000C13C7">
              <w:rPr>
                <w:rFonts w:ascii="Times New Roman" w:eastAsia="Times New Roman" w:hAnsi="Times New Roman" w:cs="Times New Roman"/>
                <w:kern w:val="0"/>
                <w:lang w:eastAsia="el-GR"/>
                <w14:ligatures w14:val="none"/>
              </w:rPr>
              <w:t xml:space="preserve">Το άρθρο 34, σημείο 1, του κανονισμού (ΕΚ) 44/2001 του Συμβουλίου, της 22ας Δεκεμβρίου 2000, για τη διεθνή δικαιοδοσία, την αναγνώριση και την εκτέλεση αποφάσεων σε αστικές και εμπορικές υποθέσεις, </w:t>
            </w:r>
            <w:proofErr w:type="spellStart"/>
            <w:r w:rsidRPr="000C13C7">
              <w:rPr>
                <w:rFonts w:ascii="Times New Roman" w:eastAsia="Times New Roman" w:hAnsi="Times New Roman" w:cs="Times New Roman"/>
                <w:kern w:val="0"/>
                <w:lang w:eastAsia="el-GR"/>
                <w14:ligatures w14:val="none"/>
              </w:rPr>
              <w:t>ερμηνευόμενο</w:t>
            </w:r>
            <w:proofErr w:type="spellEnd"/>
            <w:r w:rsidRPr="000C13C7">
              <w:rPr>
                <w:rFonts w:ascii="Times New Roman" w:eastAsia="Times New Roman" w:hAnsi="Times New Roman" w:cs="Times New Roman"/>
                <w:kern w:val="0"/>
                <w:lang w:eastAsia="el-GR"/>
                <w14:ligatures w14:val="none"/>
              </w:rPr>
              <w:t xml:space="preserve"> σε συνδυασμό με το άρθρο 45, παράγραφος 1, του ίδιου κανονισμού, </w:t>
            </w:r>
          </w:p>
        </w:tc>
      </w:tr>
    </w:tbl>
    <w:p w14:paraId="3EB4984A" w14:textId="77777777" w:rsidR="000C13C7" w:rsidRPr="000C13C7" w:rsidRDefault="000C13C7" w:rsidP="00EE292B">
      <w:pPr>
        <w:spacing w:after="120" w:line="240" w:lineRule="auto"/>
        <w:jc w:val="both"/>
        <w:rPr>
          <w:rFonts w:ascii="Times New Roman" w:eastAsia="Times New Roman" w:hAnsi="Times New Roman" w:cs="Times New Roman"/>
          <w:vanish/>
          <w:kern w:val="0"/>
          <w:lang w:eastAsia="el-GR"/>
          <w14:ligatures w14:val="none"/>
        </w:rPr>
      </w:pPr>
    </w:p>
    <w:tbl>
      <w:tblPr>
        <w:tblW w:w="5000" w:type="pct"/>
        <w:tblCellSpacing w:w="0" w:type="dxa"/>
        <w:tblCellMar>
          <w:left w:w="0" w:type="dxa"/>
          <w:right w:w="0" w:type="dxa"/>
        </w:tblCellMar>
        <w:tblLook w:val="04A0" w:firstRow="1" w:lastRow="0" w:firstColumn="1" w:lastColumn="0" w:noHBand="0" w:noVBand="1"/>
      </w:tblPr>
      <w:tblGrid>
        <w:gridCol w:w="260"/>
        <w:gridCol w:w="8046"/>
      </w:tblGrid>
      <w:tr w:rsidR="000C13C7" w:rsidRPr="000C13C7" w14:paraId="0812A34D" w14:textId="77777777" w:rsidTr="000C13C7">
        <w:trPr>
          <w:tblCellSpacing w:w="0" w:type="dxa"/>
        </w:trPr>
        <w:tc>
          <w:tcPr>
            <w:tcW w:w="0" w:type="auto"/>
            <w:vAlign w:val="center"/>
            <w:hideMark/>
          </w:tcPr>
          <w:p w14:paraId="314321C1" w14:textId="77777777" w:rsidR="000C13C7" w:rsidRPr="000C13C7" w:rsidRDefault="000C13C7" w:rsidP="00EE292B">
            <w:pPr>
              <w:spacing w:after="120" w:line="240" w:lineRule="auto"/>
              <w:jc w:val="both"/>
              <w:rPr>
                <w:rFonts w:ascii="Times New Roman" w:eastAsia="Times New Roman" w:hAnsi="Times New Roman" w:cs="Times New Roman"/>
                <w:kern w:val="0"/>
                <w:lang w:eastAsia="el-GR"/>
                <w14:ligatures w14:val="none"/>
              </w:rPr>
            </w:pPr>
            <w:r w:rsidRPr="000C13C7">
              <w:rPr>
                <w:rFonts w:ascii="Times New Roman" w:eastAsia="Times New Roman" w:hAnsi="Times New Roman" w:cs="Times New Roman"/>
                <w:kern w:val="0"/>
                <w:lang w:eastAsia="el-GR"/>
                <w14:ligatures w14:val="none"/>
              </w:rPr>
              <w:t> </w:t>
            </w:r>
          </w:p>
        </w:tc>
        <w:tc>
          <w:tcPr>
            <w:tcW w:w="0" w:type="auto"/>
            <w:vAlign w:val="center"/>
            <w:hideMark/>
          </w:tcPr>
          <w:p w14:paraId="7772BEE7" w14:textId="77777777" w:rsidR="000C13C7" w:rsidRPr="000C13C7" w:rsidRDefault="000C13C7" w:rsidP="00EE292B">
            <w:pPr>
              <w:spacing w:after="120" w:line="240" w:lineRule="auto"/>
              <w:jc w:val="both"/>
              <w:rPr>
                <w:rFonts w:ascii="Times New Roman" w:eastAsia="Times New Roman" w:hAnsi="Times New Roman" w:cs="Times New Roman"/>
                <w:kern w:val="0"/>
                <w:lang w:eastAsia="el-GR"/>
                <w14:ligatures w14:val="none"/>
              </w:rPr>
            </w:pPr>
            <w:r w:rsidRPr="000C13C7">
              <w:rPr>
                <w:rFonts w:ascii="Times New Roman" w:eastAsia="Times New Roman" w:hAnsi="Times New Roman" w:cs="Times New Roman"/>
                <w:kern w:val="0"/>
                <w:lang w:eastAsia="el-GR"/>
                <w14:ligatures w14:val="none"/>
              </w:rPr>
              <w:t xml:space="preserve">έχει την έννοια ότι: </w:t>
            </w:r>
          </w:p>
        </w:tc>
      </w:tr>
    </w:tbl>
    <w:p w14:paraId="4E0F6C5B" w14:textId="77777777" w:rsidR="000C13C7" w:rsidRPr="000C13C7" w:rsidRDefault="000C13C7" w:rsidP="00EE292B">
      <w:pPr>
        <w:spacing w:after="120" w:line="240" w:lineRule="auto"/>
        <w:jc w:val="both"/>
        <w:rPr>
          <w:rFonts w:ascii="Times New Roman" w:eastAsia="Times New Roman" w:hAnsi="Times New Roman" w:cs="Times New Roman"/>
          <w:vanish/>
          <w:kern w:val="0"/>
          <w:lang w:eastAsia="el-GR"/>
          <w14:ligatures w14:val="none"/>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0C13C7" w:rsidRPr="000C13C7" w14:paraId="6A0B83F2" w14:textId="77777777" w:rsidTr="000C13C7">
        <w:trPr>
          <w:tblCellSpacing w:w="0" w:type="dxa"/>
        </w:trPr>
        <w:tc>
          <w:tcPr>
            <w:tcW w:w="0" w:type="auto"/>
            <w:vAlign w:val="center"/>
            <w:hideMark/>
          </w:tcPr>
          <w:p w14:paraId="40BCBF6B" w14:textId="77777777" w:rsidR="000C13C7" w:rsidRPr="000C13C7" w:rsidRDefault="000C13C7" w:rsidP="00EE292B">
            <w:pPr>
              <w:spacing w:after="120" w:line="240" w:lineRule="auto"/>
              <w:jc w:val="both"/>
              <w:rPr>
                <w:rFonts w:ascii="Times New Roman" w:eastAsia="Times New Roman" w:hAnsi="Times New Roman" w:cs="Times New Roman"/>
                <w:kern w:val="0"/>
                <w:lang w:eastAsia="el-GR"/>
                <w14:ligatures w14:val="none"/>
              </w:rPr>
            </w:pPr>
            <w:r w:rsidRPr="000C13C7">
              <w:rPr>
                <w:rFonts w:ascii="Times New Roman" w:eastAsia="Times New Roman" w:hAnsi="Times New Roman" w:cs="Times New Roman"/>
                <w:kern w:val="0"/>
                <w:lang w:eastAsia="el-GR"/>
                <w14:ligatures w14:val="none"/>
              </w:rPr>
              <w:t> </w:t>
            </w:r>
          </w:p>
        </w:tc>
        <w:tc>
          <w:tcPr>
            <w:tcW w:w="0" w:type="auto"/>
            <w:vAlign w:val="center"/>
            <w:hideMark/>
          </w:tcPr>
          <w:p w14:paraId="240835FA" w14:textId="77777777" w:rsidR="000C13C7" w:rsidRPr="000C13C7" w:rsidRDefault="000C13C7" w:rsidP="00EE292B">
            <w:pPr>
              <w:spacing w:after="120" w:line="240" w:lineRule="auto"/>
              <w:jc w:val="both"/>
              <w:rPr>
                <w:rFonts w:ascii="Times New Roman" w:eastAsia="Times New Roman" w:hAnsi="Times New Roman" w:cs="Times New Roman"/>
                <w:kern w:val="0"/>
                <w:lang w:eastAsia="el-GR"/>
                <w14:ligatures w14:val="none"/>
              </w:rPr>
            </w:pPr>
            <w:r w:rsidRPr="000C13C7">
              <w:rPr>
                <w:rFonts w:ascii="Times New Roman" w:eastAsia="Times New Roman" w:hAnsi="Times New Roman" w:cs="Times New Roman"/>
                <w:kern w:val="0"/>
                <w:lang w:eastAsia="el-GR"/>
                <w14:ligatures w14:val="none"/>
              </w:rPr>
              <w:t xml:space="preserve">δικαστήριο κράτους μέλους μπορεί να αρνηθεί την αναγνώριση και την εκτέλεση αποφάσεως δικαστηρίου άλλου κράτους μέλους, λόγω αντίθεσης προς τη δημόσια τάξη, όταν η απόφαση αυτή εμποδίζει τη συνέχιση δίκης </w:t>
            </w:r>
            <w:proofErr w:type="spellStart"/>
            <w:r w:rsidRPr="000C13C7">
              <w:rPr>
                <w:rFonts w:ascii="Times New Roman" w:eastAsia="Times New Roman" w:hAnsi="Times New Roman" w:cs="Times New Roman"/>
                <w:kern w:val="0"/>
                <w:lang w:eastAsia="el-GR"/>
                <w14:ligatures w14:val="none"/>
              </w:rPr>
              <w:t>εκκρεμούσας</w:t>
            </w:r>
            <w:proofErr w:type="spellEnd"/>
            <w:r w:rsidRPr="000C13C7">
              <w:rPr>
                <w:rFonts w:ascii="Times New Roman" w:eastAsia="Times New Roman" w:hAnsi="Times New Roman" w:cs="Times New Roman"/>
                <w:kern w:val="0"/>
                <w:lang w:eastAsia="el-GR"/>
                <w14:ligatures w14:val="none"/>
              </w:rPr>
              <w:t xml:space="preserve"> ενώπιον άλλου δικαστηρίου του πρώτου κράτους μέλους, κατά το μέτρο που επιδικάζει προσωρινώς σε έναν από τους διαδίκους χρηματική αποζημίωση για τα έξοδα στα οποία υποβάλλεται λόγω της δίκης αυτής, με την αιτιολογία, αφενός, ότι το αντικείμενο της δίκης καλύπτεται από συμφωνία συμβιβασμού, </w:t>
            </w:r>
            <w:proofErr w:type="spellStart"/>
            <w:r w:rsidRPr="000C13C7">
              <w:rPr>
                <w:rFonts w:ascii="Times New Roman" w:eastAsia="Times New Roman" w:hAnsi="Times New Roman" w:cs="Times New Roman"/>
                <w:kern w:val="0"/>
                <w:lang w:eastAsia="el-GR"/>
                <w14:ligatures w14:val="none"/>
              </w:rPr>
              <w:t>καταρτισθείσα</w:t>
            </w:r>
            <w:proofErr w:type="spellEnd"/>
            <w:r w:rsidRPr="000C13C7">
              <w:rPr>
                <w:rFonts w:ascii="Times New Roman" w:eastAsia="Times New Roman" w:hAnsi="Times New Roman" w:cs="Times New Roman"/>
                <w:kern w:val="0"/>
                <w:lang w:eastAsia="el-GR"/>
                <w14:ligatures w14:val="none"/>
              </w:rPr>
              <w:t xml:space="preserve"> νομοτύπως και επικυρωθείσα από το δικαστήριο του κράτους μέλους που εξέδωσε την εν λόγω απόφαση, και, αφετέρου, ότι το δικαστήριο του πρώτου κράτους μέλους, ενώπιον του οποίου κινήθηκε η επίμαχη δίκη, στερείται διεθνούς δικαιοδοσίας λόγω ρήτρας αποκλειστικής δικαιοδοσίας. </w:t>
            </w:r>
          </w:p>
        </w:tc>
      </w:tr>
    </w:tbl>
    <w:p w14:paraId="4B1ED0B8" w14:textId="77777777" w:rsidR="005D4C7C" w:rsidRDefault="005D4C7C" w:rsidP="00EE292B">
      <w:pPr>
        <w:pStyle w:val="title-bold"/>
        <w:spacing w:before="0" w:beforeAutospacing="0" w:after="120" w:afterAutospacing="0"/>
        <w:jc w:val="both"/>
      </w:pPr>
    </w:p>
    <w:p w14:paraId="640FB233" w14:textId="77777777" w:rsidR="005D4C7C" w:rsidRPr="005D4C7C" w:rsidRDefault="000C13C7" w:rsidP="00EE292B">
      <w:pPr>
        <w:pStyle w:val="title-bold"/>
        <w:spacing w:before="0" w:beforeAutospacing="0" w:after="120" w:afterAutospacing="0"/>
        <w:jc w:val="both"/>
        <w:rPr>
          <w:b/>
          <w:bCs/>
        </w:rPr>
      </w:pPr>
      <w:r w:rsidRPr="005D4C7C">
        <w:rPr>
          <w:b/>
          <w:bCs/>
        </w:rPr>
        <w:t>3. Απόφαση του Δικαστηρίου (τρίτο τμήμα) της 7ης Απριλίου 2022.</w:t>
      </w:r>
      <w:r w:rsidRPr="005D4C7C">
        <w:rPr>
          <w:b/>
          <w:bCs/>
        </w:rPr>
        <w:br/>
      </w:r>
    </w:p>
    <w:p w14:paraId="1AE133FF" w14:textId="77777777" w:rsidR="00F459A8" w:rsidRDefault="000C13C7" w:rsidP="00EE292B">
      <w:pPr>
        <w:pStyle w:val="title-bold"/>
        <w:spacing w:before="0" w:beforeAutospacing="0" w:after="120" w:afterAutospacing="0"/>
        <w:jc w:val="both"/>
      </w:pPr>
      <w:r w:rsidRPr="00EE292B">
        <w:t xml:space="preserve">J κατά H </w:t>
      </w:r>
      <w:proofErr w:type="spellStart"/>
      <w:r w:rsidRPr="00EE292B">
        <w:t>Limited</w:t>
      </w:r>
      <w:proofErr w:type="spellEnd"/>
      <w:r w:rsidRPr="00EE292B">
        <w:t>.</w:t>
      </w:r>
    </w:p>
    <w:p w14:paraId="6DCFF467" w14:textId="1FA17C1C" w:rsidR="000C13C7" w:rsidRPr="00EE292B" w:rsidRDefault="000C13C7" w:rsidP="00EE292B">
      <w:pPr>
        <w:pStyle w:val="title-bold"/>
        <w:spacing w:before="0" w:beforeAutospacing="0" w:after="120" w:afterAutospacing="0"/>
        <w:jc w:val="both"/>
      </w:pPr>
      <w:r w:rsidRPr="00EE292B">
        <w:t xml:space="preserve">Αίτηση του </w:t>
      </w:r>
      <w:proofErr w:type="spellStart"/>
      <w:r w:rsidRPr="00EE292B">
        <w:t>Oberster</w:t>
      </w:r>
      <w:proofErr w:type="spellEnd"/>
      <w:r w:rsidRPr="00EE292B">
        <w:t xml:space="preserve"> </w:t>
      </w:r>
      <w:proofErr w:type="spellStart"/>
      <w:r w:rsidRPr="00EE292B">
        <w:t>Gerichtshof</w:t>
      </w:r>
      <w:proofErr w:type="spellEnd"/>
      <w:r w:rsidRPr="00EE292B">
        <w:t xml:space="preserve"> για την έκδοση προδικαστικής αποφάσεως.</w:t>
      </w:r>
      <w:r w:rsidRPr="00EE292B">
        <w:br/>
        <w:t>Προδικαστική παραπομπή – Δικαστική συνεργασία σε αστικές υποθέσεις – Διεθνής δικαιοδοσία, αναγνώριση και εκτέλεση αποφάσεων σε αστικές και εμπορικές υποθέσεις – Κανονισμός (ΕΕ) 1215/2012 – Πεδίο εφαρμογής – Άρθρο 2, στοιχείο αʹ – Έννοια της “απόφασης” – Διαταγή πληρωμής εκδοθείσα σε άλλο κράτος μέλος κατόπιν συνοπτικής και κατ’ αντιμωλίαν εξέτασης αποφάσεως εκδοθείσας σε τρίτο κράτος – Άρθρο 39 – Εκτελεστότητα στα κράτη μέλη.</w:t>
      </w:r>
      <w:r w:rsidRPr="00EE292B">
        <w:br/>
        <w:t>Υπόθεση C-568/20.</w:t>
      </w:r>
    </w:p>
    <w:p w14:paraId="5DE0048F" w14:textId="77777777" w:rsidR="000C13C7" w:rsidRPr="00EE292B" w:rsidRDefault="000C13C7" w:rsidP="00EE292B">
      <w:pPr>
        <w:pStyle w:val="Web"/>
        <w:spacing w:before="0" w:beforeAutospacing="0" w:after="120" w:afterAutospacing="0"/>
        <w:jc w:val="both"/>
      </w:pPr>
      <w:r w:rsidRPr="00EE292B">
        <w:rPr>
          <w:rStyle w:val="aa"/>
          <w:rFonts w:eastAsiaTheme="majorEastAsia"/>
        </w:rPr>
        <w:t>Συλλογή της Νομολογίας — Γενική Συλλογή</w:t>
      </w:r>
      <w:r w:rsidRPr="00EE292B">
        <w:t xml:space="preserve"> </w:t>
      </w:r>
    </w:p>
    <w:p w14:paraId="761BC693" w14:textId="77777777" w:rsidR="000C13C7" w:rsidRPr="00EE292B" w:rsidRDefault="000C13C7" w:rsidP="00EE292B">
      <w:pPr>
        <w:pStyle w:val="Web"/>
        <w:spacing w:before="0" w:beforeAutospacing="0" w:after="120" w:afterAutospacing="0"/>
        <w:jc w:val="both"/>
      </w:pPr>
      <w:r w:rsidRPr="00EE292B">
        <w:t>Αναγνωριστικό ECLI: ECLI:EU:C:2022:264</w:t>
      </w:r>
    </w:p>
    <w:tbl>
      <w:tblPr>
        <w:tblW w:w="5000" w:type="pct"/>
        <w:tblCellSpacing w:w="0" w:type="dxa"/>
        <w:tblCellMar>
          <w:left w:w="0" w:type="dxa"/>
          <w:right w:w="0" w:type="dxa"/>
        </w:tblCellMar>
        <w:tblLook w:val="04A0" w:firstRow="1" w:lastRow="0" w:firstColumn="1" w:lastColumn="0" w:noHBand="0" w:noVBand="1"/>
      </w:tblPr>
      <w:tblGrid>
        <w:gridCol w:w="8306"/>
      </w:tblGrid>
      <w:tr w:rsidR="00E97CA0" w:rsidRPr="00E97CA0" w14:paraId="6075E284" w14:textId="77777777" w:rsidTr="00E97CA0">
        <w:trPr>
          <w:tblCellSpacing w:w="0" w:type="dxa"/>
        </w:trPr>
        <w:tc>
          <w:tcPr>
            <w:tcW w:w="0" w:type="auto"/>
            <w:hideMark/>
          </w:tcPr>
          <w:p w14:paraId="379168FF" w14:textId="4FAE300D" w:rsidR="00E97CA0" w:rsidRPr="00E97CA0" w:rsidRDefault="00E97CA0" w:rsidP="00EE292B">
            <w:pPr>
              <w:pStyle w:val="Web"/>
              <w:spacing w:before="0" w:beforeAutospacing="0" w:after="120" w:afterAutospacing="0"/>
              <w:jc w:val="both"/>
            </w:pPr>
          </w:p>
        </w:tc>
      </w:tr>
    </w:tbl>
    <w:p w14:paraId="257FC0AA" w14:textId="77777777" w:rsidR="00E97CA0" w:rsidRPr="00E97CA0" w:rsidRDefault="00E97CA0" w:rsidP="00EE292B">
      <w:pPr>
        <w:pStyle w:val="Web"/>
        <w:spacing w:before="0" w:beforeAutospacing="0" w:after="120" w:afterAutospacing="0"/>
        <w:jc w:val="both"/>
        <w:rPr>
          <w:vanish/>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E97CA0" w:rsidRPr="00E97CA0" w14:paraId="7F13DBBE" w14:textId="77777777" w:rsidTr="00E97CA0">
        <w:trPr>
          <w:tblCellSpacing w:w="0" w:type="dxa"/>
        </w:trPr>
        <w:tc>
          <w:tcPr>
            <w:tcW w:w="0" w:type="auto"/>
            <w:vAlign w:val="center"/>
            <w:hideMark/>
          </w:tcPr>
          <w:p w14:paraId="310F0403" w14:textId="77777777" w:rsidR="00E97CA0" w:rsidRPr="00E97CA0" w:rsidRDefault="00E97CA0" w:rsidP="00EE292B">
            <w:pPr>
              <w:pStyle w:val="Web"/>
              <w:spacing w:before="0" w:beforeAutospacing="0" w:after="120" w:afterAutospacing="0"/>
              <w:jc w:val="both"/>
            </w:pPr>
            <w:r w:rsidRPr="00E97CA0">
              <w:t> </w:t>
            </w:r>
          </w:p>
        </w:tc>
        <w:tc>
          <w:tcPr>
            <w:tcW w:w="0" w:type="auto"/>
            <w:vAlign w:val="center"/>
            <w:hideMark/>
          </w:tcPr>
          <w:p w14:paraId="2819C128" w14:textId="77777777" w:rsidR="00E97CA0" w:rsidRPr="00E97CA0" w:rsidRDefault="00E97CA0" w:rsidP="00EE292B">
            <w:pPr>
              <w:pStyle w:val="Web"/>
              <w:spacing w:before="0" w:beforeAutospacing="0" w:after="120" w:afterAutospacing="0"/>
              <w:jc w:val="both"/>
            </w:pPr>
            <w:r w:rsidRPr="00E97CA0">
              <w:t xml:space="preserve">Το άρθρο 2, στοιχείο αʹ, και το άρθρο 39 του κανονισμού (ΕΕ) 1215/2012 του Ευρωπαϊκού Κοινοβουλίου και του Συμβουλίου, της 12ης Δεκεμβρίου 2012, για τη διεθνή δικαιοδοσία, την αναγνώριση και την εκτέλεση αποφάσεων σε αστικές και εμπορικές υποθέσεις, έχουν την έννοια ότι διαταγή πληρωμής εκδοθείσα από δικαστήριο κράτους μέλους επί τη βάσει εκτελεστών τίτλων που εκδόθηκαν σε τρίτο κράτος συνιστά απόφαση και είναι εκτελεστή εντός των λοιπών κρατών μελών αν εκδόθηκε κατόπιν κατ’ αντιμωλίαν διαδικασίας στο κράτος μέλος προελεύσεως και κηρύχθηκε εκτελεστή στο ίδιο κράτος, εφόσον, όμως, ο χαρακτήρας της απόφασης δεν στερεί από τον </w:t>
            </w:r>
            <w:proofErr w:type="spellStart"/>
            <w:r w:rsidRPr="00E97CA0">
              <w:t>καθού</w:t>
            </w:r>
            <w:proofErr w:type="spellEnd"/>
            <w:r w:rsidRPr="00E97CA0">
              <w:t xml:space="preserve"> η εκτέλεση το δικαίωμα να ζητήσει, σύμφωνα με το άρθρο 46 του εν λόγω κανονισμού, την άρνηση εκτέλεσης για έναν από τους λόγους που προβλέπει το άρθρο 45 του κανονισμού. </w:t>
            </w:r>
          </w:p>
        </w:tc>
      </w:tr>
    </w:tbl>
    <w:p w14:paraId="3BB666F9" w14:textId="77777777" w:rsidR="00A25138" w:rsidRDefault="00A25138" w:rsidP="00EE292B">
      <w:pPr>
        <w:pStyle w:val="Web"/>
        <w:spacing w:before="0" w:beforeAutospacing="0" w:after="120" w:afterAutospacing="0"/>
        <w:jc w:val="both"/>
        <w:rPr>
          <w:b/>
          <w:bCs/>
        </w:rPr>
      </w:pPr>
    </w:p>
    <w:p w14:paraId="1BE9172E" w14:textId="2F466C53" w:rsidR="00E97CA0" w:rsidRPr="00EE292B" w:rsidRDefault="00E97CA0" w:rsidP="00EE292B">
      <w:pPr>
        <w:pStyle w:val="Web"/>
        <w:spacing w:before="0" w:beforeAutospacing="0" w:after="120" w:afterAutospacing="0"/>
        <w:jc w:val="both"/>
        <w:rPr>
          <w:b/>
          <w:bCs/>
        </w:rPr>
      </w:pPr>
      <w:r w:rsidRPr="00EE292B">
        <w:rPr>
          <w:b/>
          <w:bCs/>
        </w:rPr>
        <w:t>4. Απόφαση του Δικαστηρίου (πρώτο τμήμα) της 12ης Δεκεμβρίου 2019.</w:t>
      </w:r>
      <w:r w:rsidRPr="00EE292B">
        <w:rPr>
          <w:b/>
          <w:bCs/>
        </w:rPr>
        <w:br/>
      </w:r>
      <w:r w:rsidRPr="00EE292B">
        <w:rPr>
          <w:b/>
          <w:bCs/>
          <w:lang w:val="fr-FR"/>
        </w:rPr>
        <w:t>ML</w:t>
      </w:r>
      <w:r w:rsidRPr="0008163D">
        <w:rPr>
          <w:b/>
          <w:bCs/>
        </w:rPr>
        <w:t xml:space="preserve"> </w:t>
      </w:r>
      <w:r w:rsidRPr="00EE292B">
        <w:rPr>
          <w:b/>
          <w:bCs/>
        </w:rPr>
        <w:t>κατά</w:t>
      </w:r>
      <w:r w:rsidRPr="0008163D">
        <w:rPr>
          <w:b/>
          <w:bCs/>
        </w:rPr>
        <w:t xml:space="preserve"> </w:t>
      </w:r>
      <w:proofErr w:type="spellStart"/>
      <w:r w:rsidRPr="00EE292B">
        <w:rPr>
          <w:b/>
          <w:bCs/>
          <w:lang w:val="fr-FR"/>
        </w:rPr>
        <w:t>Aktiva</w:t>
      </w:r>
      <w:proofErr w:type="spellEnd"/>
      <w:r w:rsidRPr="0008163D">
        <w:rPr>
          <w:b/>
          <w:bCs/>
        </w:rPr>
        <w:t xml:space="preserve"> </w:t>
      </w:r>
      <w:proofErr w:type="spellStart"/>
      <w:r w:rsidRPr="00EE292B">
        <w:rPr>
          <w:b/>
          <w:bCs/>
          <w:lang w:val="fr-FR"/>
        </w:rPr>
        <w:t>Finants</w:t>
      </w:r>
      <w:proofErr w:type="spellEnd"/>
      <w:r w:rsidRPr="0008163D">
        <w:rPr>
          <w:b/>
          <w:bCs/>
        </w:rPr>
        <w:t xml:space="preserve"> </w:t>
      </w:r>
      <w:r w:rsidRPr="00EE292B">
        <w:rPr>
          <w:b/>
          <w:bCs/>
          <w:lang w:val="fr-FR"/>
        </w:rPr>
        <w:t>O</w:t>
      </w:r>
      <w:r w:rsidRPr="0008163D">
        <w:rPr>
          <w:b/>
          <w:bCs/>
        </w:rPr>
        <w:t xml:space="preserve">Ü. </w:t>
      </w:r>
    </w:p>
    <w:p w14:paraId="2872E01F" w14:textId="65D0F237" w:rsidR="00E97CA0" w:rsidRPr="00EE292B" w:rsidRDefault="00E97CA0" w:rsidP="00EE292B">
      <w:pPr>
        <w:pStyle w:val="Web"/>
        <w:spacing w:before="0" w:beforeAutospacing="0" w:after="120" w:afterAutospacing="0"/>
        <w:jc w:val="both"/>
      </w:pPr>
      <w:r w:rsidRPr="00EE292B">
        <w:lastRenderedPageBreak/>
        <w:t xml:space="preserve">Αίτηση του </w:t>
      </w:r>
      <w:proofErr w:type="spellStart"/>
      <w:r w:rsidRPr="00EE292B">
        <w:t>Korkein</w:t>
      </w:r>
      <w:proofErr w:type="spellEnd"/>
      <w:r w:rsidRPr="00EE292B">
        <w:t xml:space="preserve"> </w:t>
      </w:r>
      <w:proofErr w:type="spellStart"/>
      <w:r w:rsidRPr="00EE292B">
        <w:t>oikeus</w:t>
      </w:r>
      <w:proofErr w:type="spellEnd"/>
      <w:r w:rsidRPr="00EE292B">
        <w:t xml:space="preserve"> για την έκδοση προδικαστικής αποφάσεως.</w:t>
      </w:r>
      <w:r w:rsidRPr="00EE292B">
        <w:br/>
        <w:t>Προδικαστική παραπομπή – Κανονισμός (ΕΚ) 44/2001 – Διεθνής δικαιοδοσία, αναγνώριση και εκτέλεση αποφάσεων σε αστικές και εμπορικές υποθέσεις – Απαίτηση διαδικασίας αμφισβητούμενης δικαιοδοσίας και απαίτηση αποτελεσματικής προσφυγής – Απόφαση εθνικού δικαστηρίου κηρύσσουσα εκτελεστή δικαστική απόφαση εκδοθείσα από δικαστήριο άλλου κράτους μέλους – Διαδικασία παροχής αδείας προς άσκηση ενδίκου μέσου ενώπιον εθνικού δικαστηρίου.</w:t>
      </w:r>
      <w:r w:rsidRPr="00EE292B">
        <w:br/>
        <w:t>Υπόθεση C-433/18.</w:t>
      </w:r>
    </w:p>
    <w:p w14:paraId="5A0CE0AC" w14:textId="77777777" w:rsidR="00E97CA0" w:rsidRPr="00EE292B" w:rsidRDefault="00E97CA0" w:rsidP="00EE292B">
      <w:pPr>
        <w:pStyle w:val="Web"/>
        <w:spacing w:before="0" w:beforeAutospacing="0" w:after="120" w:afterAutospacing="0"/>
        <w:jc w:val="both"/>
      </w:pPr>
      <w:r w:rsidRPr="00E97CA0">
        <w:t>Αναγνωριστικό ECLI: ECLI:EU:C:2019:1074</w:t>
      </w:r>
    </w:p>
    <w:tbl>
      <w:tblPr>
        <w:tblW w:w="5000" w:type="pct"/>
        <w:tblCellSpacing w:w="0" w:type="dxa"/>
        <w:tblCellMar>
          <w:left w:w="0" w:type="dxa"/>
          <w:right w:w="0" w:type="dxa"/>
        </w:tblCellMar>
        <w:tblLook w:val="04A0" w:firstRow="1" w:lastRow="0" w:firstColumn="1" w:lastColumn="0" w:noHBand="0" w:noVBand="1"/>
      </w:tblPr>
      <w:tblGrid>
        <w:gridCol w:w="8306"/>
      </w:tblGrid>
      <w:tr w:rsidR="00E97CA0" w:rsidRPr="00E97CA0" w14:paraId="50F7594C" w14:textId="77777777" w:rsidTr="00E97CA0">
        <w:trPr>
          <w:tblCellSpacing w:w="0" w:type="dxa"/>
        </w:trPr>
        <w:tc>
          <w:tcPr>
            <w:tcW w:w="0" w:type="auto"/>
            <w:hideMark/>
          </w:tcPr>
          <w:p w14:paraId="30A1F9C2" w14:textId="68765177" w:rsidR="00E97CA0" w:rsidRPr="00E97CA0" w:rsidRDefault="00E97CA0" w:rsidP="00EE292B">
            <w:pPr>
              <w:pStyle w:val="Web"/>
              <w:spacing w:before="0" w:beforeAutospacing="0" w:after="120" w:afterAutospacing="0"/>
              <w:jc w:val="both"/>
            </w:pPr>
          </w:p>
        </w:tc>
      </w:tr>
    </w:tbl>
    <w:p w14:paraId="3C299FF0" w14:textId="77777777" w:rsidR="00E97CA0" w:rsidRPr="00E97CA0" w:rsidRDefault="00E97CA0" w:rsidP="00EE292B">
      <w:pPr>
        <w:pStyle w:val="Web"/>
        <w:spacing w:before="0" w:beforeAutospacing="0" w:after="120" w:afterAutospacing="0"/>
        <w:jc w:val="both"/>
        <w:rPr>
          <w:vanish/>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E97CA0" w:rsidRPr="00E97CA0" w14:paraId="1735E16E" w14:textId="77777777" w:rsidTr="00E97CA0">
        <w:trPr>
          <w:tblCellSpacing w:w="0" w:type="dxa"/>
        </w:trPr>
        <w:tc>
          <w:tcPr>
            <w:tcW w:w="0" w:type="auto"/>
            <w:hideMark/>
          </w:tcPr>
          <w:p w14:paraId="23E9802C" w14:textId="77777777" w:rsidR="00E97CA0" w:rsidRPr="00E97CA0" w:rsidRDefault="00E97CA0" w:rsidP="00EE292B">
            <w:pPr>
              <w:pStyle w:val="Web"/>
              <w:spacing w:before="0" w:beforeAutospacing="0" w:after="120" w:afterAutospacing="0"/>
              <w:jc w:val="both"/>
            </w:pPr>
            <w:r w:rsidRPr="00E97CA0">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046"/>
            </w:tblGrid>
            <w:tr w:rsidR="00E97CA0" w:rsidRPr="00E97CA0" w14:paraId="71289200" w14:textId="77777777">
              <w:trPr>
                <w:tblCellSpacing w:w="0" w:type="dxa"/>
              </w:trPr>
              <w:tc>
                <w:tcPr>
                  <w:tcW w:w="0" w:type="auto"/>
                  <w:hideMark/>
                </w:tcPr>
                <w:p w14:paraId="4FE6E47C" w14:textId="77777777" w:rsidR="00E97CA0" w:rsidRPr="00E97CA0" w:rsidRDefault="00E97CA0" w:rsidP="00EE292B">
                  <w:pPr>
                    <w:pStyle w:val="Web"/>
                    <w:spacing w:before="0" w:beforeAutospacing="0" w:after="120" w:afterAutospacing="0"/>
                    <w:jc w:val="both"/>
                  </w:pPr>
                  <w:r w:rsidRPr="00E97CA0">
                    <w:t xml:space="preserve">1) </w:t>
                  </w:r>
                </w:p>
              </w:tc>
              <w:tc>
                <w:tcPr>
                  <w:tcW w:w="0" w:type="auto"/>
                  <w:hideMark/>
                </w:tcPr>
                <w:p w14:paraId="67D85458" w14:textId="324BF20D" w:rsidR="00E97CA0" w:rsidRPr="00E97CA0" w:rsidRDefault="00E97CA0" w:rsidP="00EE292B">
                  <w:pPr>
                    <w:pStyle w:val="Web"/>
                    <w:spacing w:before="0" w:beforeAutospacing="0" w:after="120" w:afterAutospacing="0"/>
                    <w:jc w:val="both"/>
                  </w:pPr>
                  <w:r w:rsidRPr="00E97CA0">
                    <w:t xml:space="preserve">Το άρθρο 43, παράγραφος 1, του κανονισμού (ΕΚ) 44/2001 του Συμβουλίου, της 22ας Δεκεμβρίου 2000, για τη διεθνή δικαιοδοσία, την αναγνώριση και την εκτέλεση αποφάσεων σε αστικές και εμπορικές υποθέσεις, έχει την έννοια ότι δεν αντιτίθεται σε διαδικασία παροχής αδείας προς άσκηση ενδίκου μέσου στην οποία, αφενός, το επιληφθέν του ενδίκου μέσου δικαστήριο αποφαίνεται επί της παροχής της εν λόγω αδείας βάσει της πρωτόδικης αποφάσεως, του δικογράφου του ενδίκου μέσου του οποίου έχει επιληφθεί, των τυχόν παρατηρήσεων του εφεσίβλητου και, αν είναι αναγκαίο, βάσει των λοιπών στοιχείων της δικογραφίας, καθώς και, αφετέρου, η άδεια προς άσκηση ενδίκου μέσου πρέπει να παρέχεται, μεταξύ άλλων, αν υπάρχουν αμφιβολίες ως προς την ορθότητα της επίμαχης αποφάσεως, αν δεν είναι δυνατόν να εκτιμηθεί η ορθότητα της αποφάσεως αυτής χωρίς να επιτραπεί η άσκηση του ενδίκου μέσου ή αν υπάρχει άλλος σημαντικός λόγος παροχής αδείας προς άσκηση ενδίκου μέσου. </w:t>
                  </w:r>
                </w:p>
              </w:tc>
            </w:tr>
          </w:tbl>
          <w:p w14:paraId="3C7608A1" w14:textId="77777777" w:rsidR="00E97CA0" w:rsidRPr="00E97CA0" w:rsidRDefault="00E97CA0" w:rsidP="00EE292B">
            <w:pPr>
              <w:pStyle w:val="Web"/>
              <w:spacing w:before="0" w:beforeAutospacing="0" w:after="120" w:afterAutospacing="0"/>
              <w:jc w:val="both"/>
            </w:pPr>
          </w:p>
        </w:tc>
      </w:tr>
    </w:tbl>
    <w:p w14:paraId="091603BE" w14:textId="77777777" w:rsidR="00E97CA0" w:rsidRPr="00E97CA0" w:rsidRDefault="00E97CA0" w:rsidP="00EE292B">
      <w:pPr>
        <w:pStyle w:val="Web"/>
        <w:spacing w:before="0" w:beforeAutospacing="0" w:after="120" w:afterAutospacing="0"/>
        <w:jc w:val="both"/>
        <w:rPr>
          <w:vanish/>
        </w:rPr>
      </w:pPr>
    </w:p>
    <w:tbl>
      <w:tblPr>
        <w:tblW w:w="5000" w:type="pct"/>
        <w:tblCellSpacing w:w="0" w:type="dxa"/>
        <w:tblCellMar>
          <w:left w:w="0" w:type="dxa"/>
          <w:right w:w="0" w:type="dxa"/>
        </w:tblCellMar>
        <w:tblLook w:val="04A0" w:firstRow="1" w:lastRow="0" w:firstColumn="1" w:lastColumn="0" w:noHBand="0" w:noVBand="1"/>
      </w:tblPr>
      <w:tblGrid>
        <w:gridCol w:w="60"/>
        <w:gridCol w:w="8246"/>
      </w:tblGrid>
      <w:tr w:rsidR="00E97CA0" w:rsidRPr="00E97CA0" w14:paraId="7B778F37" w14:textId="77777777" w:rsidTr="00E97CA0">
        <w:trPr>
          <w:tblCellSpacing w:w="0" w:type="dxa"/>
        </w:trPr>
        <w:tc>
          <w:tcPr>
            <w:tcW w:w="0" w:type="auto"/>
            <w:hideMark/>
          </w:tcPr>
          <w:p w14:paraId="2C9A4E24" w14:textId="77777777" w:rsidR="00E97CA0" w:rsidRPr="00E97CA0" w:rsidRDefault="00E97CA0" w:rsidP="00EE292B">
            <w:pPr>
              <w:pStyle w:val="Web"/>
              <w:spacing w:before="0" w:beforeAutospacing="0" w:after="120" w:afterAutospacing="0"/>
              <w:jc w:val="both"/>
            </w:pPr>
            <w:r w:rsidRPr="00E97CA0">
              <w:t> </w:t>
            </w:r>
          </w:p>
        </w:tc>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200"/>
              <w:gridCol w:w="8046"/>
            </w:tblGrid>
            <w:tr w:rsidR="00E97CA0" w:rsidRPr="00E97CA0" w14:paraId="30C109E5" w14:textId="77777777">
              <w:trPr>
                <w:tblCellSpacing w:w="0" w:type="dxa"/>
              </w:trPr>
              <w:tc>
                <w:tcPr>
                  <w:tcW w:w="0" w:type="auto"/>
                  <w:hideMark/>
                </w:tcPr>
                <w:p w14:paraId="36B484CF" w14:textId="77777777" w:rsidR="00E97CA0" w:rsidRPr="00E97CA0" w:rsidRDefault="00E97CA0" w:rsidP="00EE292B">
                  <w:pPr>
                    <w:pStyle w:val="Web"/>
                    <w:spacing w:before="0" w:beforeAutospacing="0" w:after="120" w:afterAutospacing="0"/>
                    <w:jc w:val="both"/>
                  </w:pPr>
                  <w:r w:rsidRPr="00E97CA0">
                    <w:t xml:space="preserve">2) </w:t>
                  </w:r>
                </w:p>
              </w:tc>
              <w:tc>
                <w:tcPr>
                  <w:tcW w:w="0" w:type="auto"/>
                  <w:hideMark/>
                </w:tcPr>
                <w:p w14:paraId="4657C8D9" w14:textId="77777777" w:rsidR="00E97CA0" w:rsidRPr="00E97CA0" w:rsidRDefault="00E97CA0" w:rsidP="00EE292B">
                  <w:pPr>
                    <w:pStyle w:val="Web"/>
                    <w:spacing w:before="0" w:beforeAutospacing="0" w:after="120" w:afterAutospacing="0"/>
                    <w:jc w:val="both"/>
                  </w:pPr>
                  <w:r w:rsidRPr="00E97CA0">
                    <w:t xml:space="preserve">Το άρθρο 43, παράγραφος 3, του κανονισμού 44/2001 έχει την έννοια ότι δεν αντιτίθεται σε διαδικασία εξετάσεως ενδίκου μέσου κατά αποφάσεως επί της αιτήσεως για κήρυξη της εκτελεστότητας η οποία δεν απαιτεί την προηγούμενη ακρόαση του εφεσίβλητου όταν εκδίδεται ευνοϊκή γι’ αυτόν απόφαση. </w:t>
                  </w:r>
                </w:p>
              </w:tc>
            </w:tr>
          </w:tbl>
          <w:p w14:paraId="78A56098" w14:textId="77777777" w:rsidR="00E97CA0" w:rsidRPr="00E97CA0" w:rsidRDefault="00E97CA0" w:rsidP="00EE292B">
            <w:pPr>
              <w:pStyle w:val="Web"/>
              <w:spacing w:before="0" w:beforeAutospacing="0" w:after="120" w:afterAutospacing="0"/>
              <w:jc w:val="both"/>
            </w:pPr>
          </w:p>
        </w:tc>
      </w:tr>
    </w:tbl>
    <w:p w14:paraId="789A4874" w14:textId="77777777" w:rsidR="00F938AE" w:rsidRPr="00EE292B" w:rsidRDefault="00F938AE" w:rsidP="00EE292B">
      <w:pPr>
        <w:pStyle w:val="Web"/>
        <w:spacing w:before="0" w:beforeAutospacing="0" w:after="120" w:afterAutospacing="0"/>
        <w:jc w:val="both"/>
      </w:pPr>
    </w:p>
    <w:p w14:paraId="48D779AF" w14:textId="77777777" w:rsidR="00F938AE" w:rsidRPr="00EE292B" w:rsidRDefault="00F938AE" w:rsidP="00EE292B">
      <w:pPr>
        <w:pStyle w:val="Web"/>
        <w:spacing w:before="0" w:beforeAutospacing="0" w:after="120" w:afterAutospacing="0"/>
        <w:jc w:val="both"/>
        <w:rPr>
          <w:b/>
          <w:bCs/>
        </w:rPr>
      </w:pPr>
      <w:r w:rsidRPr="00EE292B">
        <w:rPr>
          <w:b/>
          <w:bCs/>
        </w:rPr>
        <w:t xml:space="preserve">5. </w:t>
      </w:r>
      <w:r w:rsidRPr="00F938AE">
        <w:rPr>
          <w:b/>
          <w:bCs/>
        </w:rPr>
        <w:t>Απόφαση του Δικαστηρίου (πρώτο τμήμα) της 16ης Ιανουαρίου 2019.</w:t>
      </w:r>
    </w:p>
    <w:p w14:paraId="0754DFAF" w14:textId="77777777" w:rsidR="00A46F6E" w:rsidRPr="00283DF2" w:rsidRDefault="00F938AE" w:rsidP="00EE292B">
      <w:pPr>
        <w:pStyle w:val="Web"/>
        <w:spacing w:before="0" w:beforeAutospacing="0" w:after="120" w:afterAutospacing="0"/>
        <w:jc w:val="both"/>
        <w:rPr>
          <w:lang w:val="fr-FR"/>
        </w:rPr>
      </w:pPr>
      <w:r w:rsidRPr="00452D65">
        <w:br/>
      </w:r>
      <w:r w:rsidRPr="00F938AE">
        <w:rPr>
          <w:lang w:val="fr-FR"/>
        </w:rPr>
        <w:t xml:space="preserve">Stefano </w:t>
      </w:r>
      <w:proofErr w:type="spellStart"/>
      <w:r w:rsidRPr="00F938AE">
        <w:rPr>
          <w:lang w:val="fr-FR"/>
        </w:rPr>
        <w:t>Liberato</w:t>
      </w:r>
      <w:proofErr w:type="spellEnd"/>
      <w:r w:rsidRPr="00F938AE">
        <w:rPr>
          <w:lang w:val="fr-FR"/>
        </w:rPr>
        <w:t xml:space="preserve"> </w:t>
      </w:r>
      <w:r w:rsidRPr="00F938AE">
        <w:t>κατά</w:t>
      </w:r>
      <w:r w:rsidRPr="00F938AE">
        <w:rPr>
          <w:lang w:val="fr-FR"/>
        </w:rPr>
        <w:t xml:space="preserve"> </w:t>
      </w:r>
      <w:proofErr w:type="spellStart"/>
      <w:r w:rsidRPr="00F938AE">
        <w:rPr>
          <w:lang w:val="fr-FR"/>
        </w:rPr>
        <w:t>Luminita</w:t>
      </w:r>
      <w:proofErr w:type="spellEnd"/>
      <w:r w:rsidRPr="00F938AE">
        <w:rPr>
          <w:lang w:val="fr-FR"/>
        </w:rPr>
        <w:t xml:space="preserve"> Luisa Grigorescu.</w:t>
      </w:r>
    </w:p>
    <w:p w14:paraId="6B023737" w14:textId="5E15EFC0" w:rsidR="00F938AE" w:rsidRPr="00F938AE" w:rsidRDefault="00F938AE" w:rsidP="00EE292B">
      <w:pPr>
        <w:pStyle w:val="Web"/>
        <w:spacing w:before="0" w:beforeAutospacing="0" w:after="120" w:afterAutospacing="0"/>
        <w:jc w:val="both"/>
      </w:pPr>
      <w:r w:rsidRPr="00F938AE">
        <w:t xml:space="preserve">Αίτηση του </w:t>
      </w:r>
      <w:proofErr w:type="spellStart"/>
      <w:r w:rsidRPr="00F938AE">
        <w:t>Corte</w:t>
      </w:r>
      <w:proofErr w:type="spellEnd"/>
      <w:r w:rsidRPr="00F938AE">
        <w:t xml:space="preserve"> </w:t>
      </w:r>
      <w:proofErr w:type="spellStart"/>
      <w:r w:rsidRPr="00F938AE">
        <w:t>suprema</w:t>
      </w:r>
      <w:proofErr w:type="spellEnd"/>
      <w:r w:rsidRPr="00F938AE">
        <w:t xml:space="preserve"> </w:t>
      </w:r>
      <w:proofErr w:type="spellStart"/>
      <w:r w:rsidRPr="00F938AE">
        <w:t>di</w:t>
      </w:r>
      <w:proofErr w:type="spellEnd"/>
      <w:r w:rsidRPr="00F938AE">
        <w:t xml:space="preserve"> </w:t>
      </w:r>
      <w:proofErr w:type="spellStart"/>
      <w:r w:rsidRPr="00F938AE">
        <w:t>cassazione</w:t>
      </w:r>
      <w:proofErr w:type="spellEnd"/>
      <w:r w:rsidRPr="00F938AE">
        <w:t xml:space="preserve"> για την έκδοση προδικαστικής αποφάσεως.</w:t>
      </w:r>
      <w:r w:rsidRPr="00F938AE">
        <w:br/>
        <w:t>Προδικαστική παραπομπή – Δικαστική συνεργασία σε αστικές υποθέσεις – Διεθνής δικαιοδοσία, αναγνώριση και εκτέλεση αποφάσεων σε θέματα υποχρεώσεων διατροφής – Κανονισμός (ΕΚ) 44/2001 – Άρθρο 5, σημείο 2 – Άρθρο 27 – Άρθρο 35, παράγραφος 3 – Διεθνής δικαιοδοσία, αναγνώριση και εκτέλεση αποφάσεων σε γαμικές διαφορές και διαφορές γονικής μέριμνας – Κανονισμός (ΕΚ) 2201/2003 – Άρθρο 19 – Εκκρεμοδικία – Άρθρο 22, στοιχείο αʹ – Άρθρο 23, στοιχείο αʹ – Μη αναγνώριση αποφάσεως σε περίπτωση κατά την οποία η αναγνώριση αντίκειται προδήλως στη δημόσια τάξη – Άρθρο 24 – Απαγόρευση ελέγχου της διεθνούς δικαιοδοσίας του δικαστηρίου προελεύσεως – Λόγος μη αναγνωρίσεως βασιζόμενος σε μη τήρηση των κανόνων περί εκκρεμοδικίας – Δεν υφίσταται.</w:t>
      </w:r>
      <w:r w:rsidRPr="00F938AE">
        <w:br/>
        <w:t>Υπόθεση C-386/17.</w:t>
      </w:r>
    </w:p>
    <w:p w14:paraId="4F0D3B81" w14:textId="77777777" w:rsidR="00F938AE" w:rsidRPr="00EE292B" w:rsidRDefault="00F938AE" w:rsidP="00EE292B">
      <w:pPr>
        <w:pStyle w:val="Web"/>
        <w:spacing w:before="0" w:beforeAutospacing="0" w:after="120" w:afterAutospacing="0"/>
        <w:jc w:val="both"/>
      </w:pPr>
      <w:r w:rsidRPr="00F938AE">
        <w:t>Αναγνωριστικό ECLI: ECLI:EU:C:2019:24</w:t>
      </w:r>
    </w:p>
    <w:tbl>
      <w:tblPr>
        <w:tblW w:w="5000" w:type="pct"/>
        <w:tblCellSpacing w:w="0" w:type="dxa"/>
        <w:tblCellMar>
          <w:left w:w="0" w:type="dxa"/>
          <w:right w:w="0" w:type="dxa"/>
        </w:tblCellMar>
        <w:tblLook w:val="04A0" w:firstRow="1" w:lastRow="0" w:firstColumn="1" w:lastColumn="0" w:noHBand="0" w:noVBand="1"/>
      </w:tblPr>
      <w:tblGrid>
        <w:gridCol w:w="8306"/>
      </w:tblGrid>
      <w:tr w:rsidR="00F938AE" w:rsidRPr="00F938AE" w14:paraId="53887082" w14:textId="77777777" w:rsidTr="00F938AE">
        <w:trPr>
          <w:tblCellSpacing w:w="0" w:type="dxa"/>
        </w:trPr>
        <w:tc>
          <w:tcPr>
            <w:tcW w:w="0" w:type="auto"/>
            <w:hideMark/>
          </w:tcPr>
          <w:p w14:paraId="6C8C0AD5" w14:textId="1E202DE8" w:rsidR="00F938AE" w:rsidRPr="00F938AE" w:rsidRDefault="00F938AE" w:rsidP="00EE292B">
            <w:pPr>
              <w:pStyle w:val="Web"/>
              <w:spacing w:before="0" w:beforeAutospacing="0" w:after="120" w:afterAutospacing="0"/>
              <w:jc w:val="both"/>
            </w:pPr>
          </w:p>
        </w:tc>
      </w:tr>
    </w:tbl>
    <w:p w14:paraId="3451110E" w14:textId="77777777" w:rsidR="00F938AE" w:rsidRPr="00F938AE" w:rsidRDefault="00F938AE" w:rsidP="00EE292B">
      <w:pPr>
        <w:pStyle w:val="Web"/>
        <w:spacing w:before="0" w:beforeAutospacing="0" w:after="120" w:afterAutospacing="0"/>
        <w:jc w:val="both"/>
        <w:rPr>
          <w:vanish/>
        </w:rPr>
      </w:pPr>
    </w:p>
    <w:tbl>
      <w:tblPr>
        <w:tblW w:w="5201" w:type="pct"/>
        <w:tblCellSpacing w:w="0" w:type="dxa"/>
        <w:tblCellMar>
          <w:left w:w="0" w:type="dxa"/>
          <w:right w:w="0" w:type="dxa"/>
        </w:tblCellMar>
        <w:tblLook w:val="04A0" w:firstRow="1" w:lastRow="0" w:firstColumn="1" w:lastColumn="0" w:noHBand="0" w:noVBand="1"/>
      </w:tblPr>
      <w:tblGrid>
        <w:gridCol w:w="142"/>
        <w:gridCol w:w="8498"/>
      </w:tblGrid>
      <w:tr w:rsidR="00F938AE" w:rsidRPr="00F938AE" w14:paraId="306CBD60" w14:textId="77777777" w:rsidTr="00CB41C6">
        <w:trPr>
          <w:tblCellSpacing w:w="0" w:type="dxa"/>
        </w:trPr>
        <w:tc>
          <w:tcPr>
            <w:tcW w:w="82" w:type="pct"/>
            <w:vAlign w:val="center"/>
            <w:hideMark/>
          </w:tcPr>
          <w:p w14:paraId="25081A28" w14:textId="77777777" w:rsidR="00F938AE" w:rsidRPr="00F938AE" w:rsidRDefault="00F938AE" w:rsidP="00EE292B">
            <w:pPr>
              <w:pStyle w:val="Web"/>
              <w:spacing w:before="0" w:beforeAutospacing="0" w:after="120" w:afterAutospacing="0"/>
              <w:jc w:val="both"/>
            </w:pPr>
            <w:r w:rsidRPr="00F938AE">
              <w:t> </w:t>
            </w:r>
          </w:p>
        </w:tc>
        <w:tc>
          <w:tcPr>
            <w:tcW w:w="4918" w:type="pct"/>
            <w:vAlign w:val="center"/>
            <w:hideMark/>
          </w:tcPr>
          <w:p w14:paraId="254AD6EB" w14:textId="77777777" w:rsidR="00E570E5" w:rsidRDefault="00F938AE" w:rsidP="00EE292B">
            <w:pPr>
              <w:pStyle w:val="Web"/>
              <w:spacing w:before="0" w:beforeAutospacing="0" w:after="120" w:afterAutospacing="0"/>
              <w:jc w:val="both"/>
            </w:pPr>
            <w:r w:rsidRPr="00F938AE">
              <w:t xml:space="preserve">Οι κανόνες περί εκκρεμοδικίας που προβλέπονται στο άρθρο 27 του κανονισμού (ΕΚ) 44/2001 του Συμβουλίου, της 22ας Δεκεμβρίου 2000, για τη διεθνή δικαιοδοσία, την αναγνώριση και την εκτέλεση αποφάσεων σε αστικές και εμπορικές υποθέσεις, και στο άρθρο 19 του κανονισμού (ΕΚ) 2201/2003 του Συμβουλίου, της 27ης Νοεμβρίου 2003, για τη διεθνή δικαιοδοσία και την αναγνώριση και εκτέλεση αποφάσεων σε γαμικές διαφορές και διαφορές γονικής μέριμνας, ο οποίος καταργεί τον κανονισμό (ΕΚ) 1347/2000, </w:t>
            </w:r>
          </w:p>
          <w:p w14:paraId="75947272" w14:textId="77777777" w:rsidR="00173AFD" w:rsidRDefault="00F938AE" w:rsidP="00EE292B">
            <w:pPr>
              <w:pStyle w:val="Web"/>
              <w:spacing w:before="0" w:beforeAutospacing="0" w:after="120" w:afterAutospacing="0"/>
              <w:jc w:val="both"/>
            </w:pPr>
            <w:r w:rsidRPr="00F938AE">
              <w:t xml:space="preserve">έχουν την έννοια ότι, σε περίπτωση κατά την οποία, στο πλαίσιο </w:t>
            </w:r>
            <w:proofErr w:type="spellStart"/>
            <w:r w:rsidRPr="00F938AE">
              <w:t>γαμικής</w:t>
            </w:r>
            <w:proofErr w:type="spellEnd"/>
            <w:r w:rsidRPr="00F938AE">
              <w:t xml:space="preserve"> διαφοράς, διαφοράς γονικής μέριμνας ή διαφοράς σχετικής με υποχρεώσεις διατροφής, το δικαστήριο που επιλαμβάνεται δεύτερο της υποθέσεως εκδίδει, κατά παραβίαση των κανόνων αυτών, απόφαση η οποία κατέστη αμετάκλητη, </w:t>
            </w:r>
          </w:p>
          <w:p w14:paraId="5002CEEE" w14:textId="4BB18DA9" w:rsidR="00F938AE" w:rsidRPr="00EE292B" w:rsidRDefault="00F938AE" w:rsidP="00EE292B">
            <w:pPr>
              <w:pStyle w:val="Web"/>
              <w:spacing w:before="0" w:beforeAutospacing="0" w:after="120" w:afterAutospacing="0"/>
              <w:jc w:val="both"/>
            </w:pPr>
            <w:r w:rsidRPr="00F938AE">
              <w:t xml:space="preserve">δεν επιτρέπουν στα δικαστήρια του κράτους μέλους στο οποίο υπάγεται το δικαστήριο που είχε επιληφθεί πρώτο της υποθέσεως να απορρίψουν για τον λόγο αυτό και μόνον αίτημα αναγνωρίσεως της αποφάσεως αυτής. Ειδικότερα, η παράβαση αυτή δεν δικαιολογεί, αφ’ </w:t>
            </w:r>
            <w:proofErr w:type="spellStart"/>
            <w:r w:rsidRPr="00F938AE">
              <w:t>εαυτής</w:t>
            </w:r>
            <w:proofErr w:type="spellEnd"/>
            <w:r w:rsidRPr="00F938AE">
              <w:t xml:space="preserve">, τη μη αναγνώριση της εν λόγω αποφάσεως επειδή η απόφαση αντίκεται προδήλως στη δημόσια τάξη του οικείου κράτους μέλους. </w:t>
            </w:r>
          </w:p>
          <w:p w14:paraId="636856B5" w14:textId="73A19F39" w:rsidR="00F938AE" w:rsidRPr="00F938AE" w:rsidRDefault="00F938AE" w:rsidP="00EE292B">
            <w:pPr>
              <w:pStyle w:val="Web"/>
              <w:spacing w:before="0" w:beforeAutospacing="0" w:after="120" w:afterAutospacing="0"/>
              <w:jc w:val="both"/>
            </w:pPr>
          </w:p>
          <w:p w14:paraId="42E042BA" w14:textId="34D34A7A" w:rsidR="00F938AE" w:rsidRPr="00F938AE" w:rsidRDefault="00F938AE" w:rsidP="00EE292B">
            <w:pPr>
              <w:pStyle w:val="Web"/>
              <w:spacing w:before="0" w:beforeAutospacing="0" w:after="120" w:afterAutospacing="0"/>
              <w:jc w:val="both"/>
            </w:pPr>
          </w:p>
        </w:tc>
      </w:tr>
      <w:tr w:rsidR="00EE292B" w:rsidRPr="00EE292B" w14:paraId="6890A57A" w14:textId="77777777" w:rsidTr="00EE292B">
        <w:trPr>
          <w:tblCellSpacing w:w="0" w:type="dxa"/>
        </w:trPr>
        <w:tc>
          <w:tcPr>
            <w:tcW w:w="0" w:type="auto"/>
            <w:gridSpan w:val="2"/>
            <w:hideMark/>
          </w:tcPr>
          <w:p w14:paraId="364AA45F" w14:textId="538DD16E" w:rsidR="00EE292B" w:rsidRPr="00EE292B" w:rsidRDefault="00EE292B" w:rsidP="00EE292B">
            <w:pPr>
              <w:pStyle w:val="Web"/>
              <w:spacing w:before="0" w:beforeAutospacing="0" w:after="120" w:afterAutospacing="0"/>
              <w:jc w:val="both"/>
            </w:pPr>
          </w:p>
        </w:tc>
      </w:tr>
    </w:tbl>
    <w:p w14:paraId="102938C7" w14:textId="77777777" w:rsidR="00EE292B" w:rsidRPr="00EE292B" w:rsidRDefault="00EE292B" w:rsidP="00EE292B">
      <w:pPr>
        <w:pStyle w:val="Web"/>
        <w:spacing w:before="0" w:beforeAutospacing="0" w:after="120" w:afterAutospacing="0"/>
        <w:jc w:val="both"/>
        <w:rPr>
          <w:vanish/>
        </w:rPr>
      </w:pPr>
    </w:p>
    <w:tbl>
      <w:tblPr>
        <w:tblW w:w="5000" w:type="pct"/>
        <w:tblCellSpacing w:w="0" w:type="dxa"/>
        <w:tblLayout w:type="fixed"/>
        <w:tblCellMar>
          <w:left w:w="0" w:type="dxa"/>
          <w:right w:w="0" w:type="dxa"/>
        </w:tblCellMar>
        <w:tblLook w:val="04A0" w:firstRow="1" w:lastRow="0" w:firstColumn="1" w:lastColumn="0" w:noHBand="0" w:noVBand="1"/>
      </w:tblPr>
      <w:tblGrid>
        <w:gridCol w:w="141"/>
        <w:gridCol w:w="8165"/>
      </w:tblGrid>
      <w:tr w:rsidR="00EE292B" w:rsidRPr="00EE292B" w14:paraId="6C62E930" w14:textId="77777777" w:rsidTr="00862D51">
        <w:trPr>
          <w:tblCellSpacing w:w="0" w:type="dxa"/>
        </w:trPr>
        <w:tc>
          <w:tcPr>
            <w:tcW w:w="85" w:type="pct"/>
            <w:vAlign w:val="center"/>
            <w:hideMark/>
          </w:tcPr>
          <w:p w14:paraId="1873DCA6" w14:textId="77777777" w:rsidR="00EE292B" w:rsidRPr="00EE292B" w:rsidRDefault="00EE292B" w:rsidP="00EE292B">
            <w:pPr>
              <w:pStyle w:val="Web"/>
              <w:spacing w:before="0" w:beforeAutospacing="0" w:after="120" w:afterAutospacing="0"/>
              <w:jc w:val="both"/>
            </w:pPr>
            <w:r w:rsidRPr="00EE292B">
              <w:t> </w:t>
            </w:r>
          </w:p>
        </w:tc>
        <w:tc>
          <w:tcPr>
            <w:tcW w:w="4915" w:type="pct"/>
            <w:vAlign w:val="center"/>
            <w:hideMark/>
          </w:tcPr>
          <w:p w14:paraId="168E8A2A" w14:textId="090CC789" w:rsidR="00EE292B" w:rsidRDefault="002637A7" w:rsidP="00EE292B">
            <w:pPr>
              <w:pStyle w:val="Web"/>
              <w:spacing w:before="0" w:beforeAutospacing="0" w:after="120" w:afterAutospacing="0"/>
              <w:jc w:val="both"/>
            </w:pPr>
            <w:r>
              <w:rPr>
                <w:b/>
                <w:bCs/>
              </w:rPr>
              <w:t>6</w:t>
            </w:r>
            <w:r w:rsidR="00EE292B" w:rsidRPr="00EE292B">
              <w:rPr>
                <w:b/>
                <w:bCs/>
              </w:rPr>
              <w:t>. Απόφαση του Δικαστηρίου (πρώτο τμήμα) της 16ης Ιουλίου 201</w:t>
            </w:r>
            <w:r w:rsidR="00EE292B" w:rsidRPr="00EE292B">
              <w:t>5.</w:t>
            </w:r>
            <w:r w:rsidR="00EE292B" w:rsidRPr="00EE292B">
              <w:br/>
            </w:r>
          </w:p>
          <w:p w14:paraId="3DFF94DE" w14:textId="5AD41DF8" w:rsidR="00EE292B" w:rsidRPr="00EE292B" w:rsidRDefault="00EE292B" w:rsidP="00EE292B">
            <w:pPr>
              <w:pStyle w:val="Web"/>
              <w:spacing w:before="0" w:beforeAutospacing="0" w:after="120" w:afterAutospacing="0"/>
              <w:jc w:val="both"/>
            </w:pPr>
            <w:proofErr w:type="spellStart"/>
            <w:r w:rsidRPr="00EE292B">
              <w:t>Diageo</w:t>
            </w:r>
            <w:proofErr w:type="spellEnd"/>
            <w:r w:rsidRPr="00EE292B">
              <w:t xml:space="preserve"> </w:t>
            </w:r>
            <w:proofErr w:type="spellStart"/>
            <w:r w:rsidRPr="00EE292B">
              <w:t>Brands</w:t>
            </w:r>
            <w:proofErr w:type="spellEnd"/>
            <w:r w:rsidRPr="00EE292B">
              <w:t xml:space="preserve"> BV κατά Simiramida-04 EOOD.</w:t>
            </w:r>
            <w:r w:rsidRPr="00EE292B">
              <w:br/>
              <w:t xml:space="preserve">Αίτηση του </w:t>
            </w:r>
            <w:proofErr w:type="spellStart"/>
            <w:r w:rsidRPr="00EE292B">
              <w:t>Hoge</w:t>
            </w:r>
            <w:proofErr w:type="spellEnd"/>
            <w:r w:rsidRPr="00EE292B">
              <w:t xml:space="preserve"> </w:t>
            </w:r>
            <w:proofErr w:type="spellStart"/>
            <w:r w:rsidRPr="00EE292B">
              <w:t>Raad</w:t>
            </w:r>
            <w:proofErr w:type="spellEnd"/>
            <w:r w:rsidRPr="00EE292B">
              <w:t xml:space="preserve"> der </w:t>
            </w:r>
            <w:proofErr w:type="spellStart"/>
            <w:r w:rsidRPr="00EE292B">
              <w:t>Nederlanden</w:t>
            </w:r>
            <w:proofErr w:type="spellEnd"/>
            <w:r w:rsidRPr="00EE292B">
              <w:t xml:space="preserve"> για την έκδοση προδικαστικής αποφάσεως.</w:t>
            </w:r>
            <w:r w:rsidRPr="00EE292B">
              <w:br/>
              <w:t>Προδικαστική παραπομπή — Δικαστική συνεργασία σε αστικές υποθέσεις — Κανονισμός (ΕΚ) 44/2001 — Αναγνώριση και εκτέλεση αποφάσεων — Λόγοι μη αναγνωρίσεως — Προσβολή της δημοσίας τάξεως του κράτους αναγνωρίσεως — Απόφαση δικαστηρίου άλλου κράτους μέλους αντιβαίνουσα στο περί σημάτων δίκαιο της Ένωσης — Οδηγία 2004/48/ΕΚ — Σεβασμός των δικαιωμάτων διανοητικής ιδιοκτησίας — Δικαστικά έξοδα.</w:t>
            </w:r>
            <w:r w:rsidRPr="00EE292B">
              <w:br/>
              <w:t>Υπόθεση C-681/13.</w:t>
            </w:r>
          </w:p>
          <w:p w14:paraId="10FEDAFF" w14:textId="77777777" w:rsidR="00EE292B" w:rsidRPr="00EE292B" w:rsidRDefault="00EE292B" w:rsidP="00EE292B">
            <w:pPr>
              <w:pStyle w:val="Web"/>
              <w:spacing w:before="0" w:beforeAutospacing="0" w:after="120" w:afterAutospacing="0"/>
              <w:jc w:val="both"/>
            </w:pPr>
            <w:r w:rsidRPr="00EE292B">
              <w:rPr>
                <w:i/>
                <w:iCs/>
              </w:rPr>
              <w:t>Συλλογή της Νομολογίας — Γενική Συλλογή</w:t>
            </w:r>
            <w:r w:rsidRPr="00EE292B">
              <w:t xml:space="preserve"> </w:t>
            </w:r>
          </w:p>
          <w:p w14:paraId="1C243404" w14:textId="77777777" w:rsidR="00EE292B" w:rsidRPr="00EE292B" w:rsidRDefault="00EE292B" w:rsidP="00EE292B">
            <w:pPr>
              <w:pStyle w:val="Web"/>
              <w:spacing w:before="0" w:beforeAutospacing="0" w:after="120" w:afterAutospacing="0"/>
              <w:jc w:val="both"/>
            </w:pPr>
            <w:r w:rsidRPr="00EE292B">
              <w:t>Αναγνωριστικό ECLI: ECLI:EU:C:2015:471</w:t>
            </w:r>
          </w:p>
          <w:tbl>
            <w:tblPr>
              <w:tblW w:w="5000" w:type="pct"/>
              <w:tblCellSpacing w:w="0" w:type="dxa"/>
              <w:tblLayout w:type="fixed"/>
              <w:tblCellMar>
                <w:left w:w="0" w:type="dxa"/>
                <w:right w:w="0" w:type="dxa"/>
              </w:tblCellMar>
              <w:tblLook w:val="04A0" w:firstRow="1" w:lastRow="0" w:firstColumn="1" w:lastColumn="0" w:noHBand="0" w:noVBand="1"/>
            </w:tblPr>
            <w:tblGrid>
              <w:gridCol w:w="8165"/>
            </w:tblGrid>
            <w:tr w:rsidR="00EE292B" w:rsidRPr="00EE292B" w14:paraId="397BD458" w14:textId="77777777" w:rsidTr="00430FB2">
              <w:trPr>
                <w:tblCellSpacing w:w="0" w:type="dxa"/>
              </w:trPr>
              <w:tc>
                <w:tcPr>
                  <w:tcW w:w="8246" w:type="dxa"/>
                </w:tcPr>
                <w:p w14:paraId="3A21B079" w14:textId="5D0419DA" w:rsidR="00EE292B" w:rsidRPr="00EE292B" w:rsidRDefault="00EE292B" w:rsidP="00EE292B">
                  <w:pPr>
                    <w:pStyle w:val="Web"/>
                    <w:spacing w:before="0" w:beforeAutospacing="0" w:after="120" w:afterAutospacing="0"/>
                    <w:jc w:val="both"/>
                  </w:pPr>
                </w:p>
              </w:tc>
            </w:tr>
          </w:tbl>
          <w:p w14:paraId="5E8E0B42" w14:textId="77777777" w:rsidR="00EE292B" w:rsidRPr="00EE292B" w:rsidRDefault="00EE292B" w:rsidP="00EE292B">
            <w:pPr>
              <w:pStyle w:val="Web"/>
              <w:spacing w:before="0" w:beforeAutospacing="0" w:after="120" w:afterAutospacing="0"/>
              <w:jc w:val="both"/>
              <w:rPr>
                <w:vanish/>
              </w:rPr>
            </w:pPr>
          </w:p>
          <w:tbl>
            <w:tblPr>
              <w:tblW w:w="5000" w:type="pct"/>
              <w:tblCellSpacing w:w="0" w:type="dxa"/>
              <w:tblLayout w:type="fixed"/>
              <w:tblCellMar>
                <w:left w:w="0" w:type="dxa"/>
                <w:right w:w="0" w:type="dxa"/>
              </w:tblCellMar>
              <w:tblLook w:val="04A0" w:firstRow="1" w:lastRow="0" w:firstColumn="1" w:lastColumn="0" w:noHBand="0" w:noVBand="1"/>
            </w:tblPr>
            <w:tblGrid>
              <w:gridCol w:w="60"/>
              <w:gridCol w:w="8105"/>
            </w:tblGrid>
            <w:tr w:rsidR="00EE292B" w:rsidRPr="00EE292B" w14:paraId="08453901" w14:textId="77777777" w:rsidTr="00F21AC6">
              <w:trPr>
                <w:tblCellSpacing w:w="0" w:type="dxa"/>
              </w:trPr>
              <w:tc>
                <w:tcPr>
                  <w:tcW w:w="60" w:type="dxa"/>
                  <w:hideMark/>
                </w:tcPr>
                <w:p w14:paraId="0A52D446" w14:textId="77777777" w:rsidR="00EE292B" w:rsidRPr="00EE292B" w:rsidRDefault="00EE292B" w:rsidP="00EE292B">
                  <w:pPr>
                    <w:pStyle w:val="Web"/>
                    <w:spacing w:before="0" w:beforeAutospacing="0" w:after="120" w:afterAutospacing="0"/>
                    <w:jc w:val="both"/>
                  </w:pPr>
                  <w:r w:rsidRPr="00EE292B">
                    <w:t> </w:t>
                  </w:r>
                </w:p>
              </w:tc>
              <w:tc>
                <w:tcPr>
                  <w:tcW w:w="8186" w:type="dxa"/>
                  <w:hideMark/>
                </w:tcPr>
                <w:tbl>
                  <w:tblPr>
                    <w:tblW w:w="5000" w:type="pct"/>
                    <w:tblCellSpacing w:w="0" w:type="dxa"/>
                    <w:tblLayout w:type="fixed"/>
                    <w:tblCellMar>
                      <w:left w:w="0" w:type="dxa"/>
                      <w:right w:w="0" w:type="dxa"/>
                    </w:tblCellMar>
                    <w:tblLook w:val="04A0" w:firstRow="1" w:lastRow="0" w:firstColumn="1" w:lastColumn="0" w:noHBand="0" w:noVBand="1"/>
                  </w:tblPr>
                  <w:tblGrid>
                    <w:gridCol w:w="198"/>
                    <w:gridCol w:w="7907"/>
                  </w:tblGrid>
                  <w:tr w:rsidR="00EE292B" w:rsidRPr="00EE292B" w14:paraId="0D1FDED3" w14:textId="77777777" w:rsidTr="00F21AC6">
                    <w:trPr>
                      <w:tblCellSpacing w:w="0" w:type="dxa"/>
                    </w:trPr>
                    <w:tc>
                      <w:tcPr>
                        <w:tcW w:w="200" w:type="dxa"/>
                        <w:hideMark/>
                      </w:tcPr>
                      <w:p w14:paraId="26A6271F" w14:textId="77777777" w:rsidR="00EE292B" w:rsidRPr="00EE292B" w:rsidRDefault="00EE292B" w:rsidP="00EE292B">
                        <w:pPr>
                          <w:pStyle w:val="Web"/>
                          <w:spacing w:before="0" w:beforeAutospacing="0" w:after="120" w:afterAutospacing="0"/>
                          <w:jc w:val="both"/>
                        </w:pPr>
                        <w:r w:rsidRPr="00EE292B">
                          <w:t xml:space="preserve">1) </w:t>
                        </w:r>
                      </w:p>
                    </w:tc>
                    <w:tc>
                      <w:tcPr>
                        <w:tcW w:w="7986" w:type="dxa"/>
                        <w:hideMark/>
                      </w:tcPr>
                      <w:p w14:paraId="4F3791C0" w14:textId="6C2A3E69" w:rsidR="00EE292B" w:rsidRPr="00EE292B" w:rsidRDefault="00EE292B" w:rsidP="00EE292B">
                        <w:pPr>
                          <w:pStyle w:val="Web"/>
                          <w:spacing w:before="0" w:beforeAutospacing="0" w:after="120" w:afterAutospacing="0"/>
                          <w:jc w:val="both"/>
                        </w:pPr>
                        <w:r w:rsidRPr="00EE292B">
                          <w:t xml:space="preserve">Το άρθρο 34, σημείο 1, του κανονισμού (ΕΚ) 44/2001 του Συμβουλίου, </w:t>
                        </w:r>
                        <w:r w:rsidR="00214347">
                          <w:t xml:space="preserve">της </w:t>
                        </w:r>
                        <w:r w:rsidRPr="00EE292B">
                          <w:t xml:space="preserve">22ας Δεκεμβρίου 2000, για τη διεθνή δικαιοδοσία, την αναγνώριση και την εκτέλεση αποφάσεων σε αστικές και εμπορικές υποθέσεις, πρέπει να ερμηνευθεί υπό την έννοια ότι το γεγονός ότι απόφαση που εκδόθηκε σε ένα κράτος μέλος αντιβαίνει στο δίκαιο της Ένωσης δεν δικαιολογεί τη μη αναγνώριση της αποφάσεως αυτής σε άλλο κράτος μέλος με το σκεπτικό ότι παραβιάζει τη δημόσια τάξη του τελευταίου κράτους, όταν το νομικό σφάλμα του οποίου γίνεται επίκληση δεν συνιστά πρόδηλη παράβαση κανόνα δικαίου ο οποίος θεωρείται ουσιώδης στην έννομη τάξη της Ένωσης και επομένως στην έννομη τάξη του κράτους μέλους αναγνωρίσεως ή πρόδηλη προσβολή δικαιώματος το οποίο αναγνωρίζεται ως θεμελιώδες στις έννομες αυτές τάξεις. Τούτο δεν συμβαίνει όταν πρόκειται για σφάλμα το οποίο θίγει την εφαρμογή διατάξεως όπως το άρθρο 5, παράγραφος 3, της οδηγίας 89/104/ΕΟΚ του Συμβουλίου, της 21ης Δεκεμβρίου 1988, για την προσέγγιση των νομοθεσιών των κρατών μελών περί σημάτων, όπως τροποποιήθηκε με τη Συμφωνία για τον Ευρωπαϊκό Οικονομικό Χώρο, της 2ας Μαΐου 1992. </w:t>
                        </w:r>
                      </w:p>
                      <w:p w14:paraId="21DF4326" w14:textId="77777777" w:rsidR="00EE292B" w:rsidRPr="00EE292B" w:rsidRDefault="00EE292B" w:rsidP="00EE292B">
                        <w:pPr>
                          <w:pStyle w:val="Web"/>
                          <w:spacing w:before="0" w:beforeAutospacing="0" w:after="120" w:afterAutospacing="0"/>
                          <w:jc w:val="both"/>
                        </w:pPr>
                        <w:r w:rsidRPr="00EE292B">
                          <w:t xml:space="preserve">Όταν εξακριβώνει την ενδεχόμενη ύπαρξη πρόδηλης παραβιάσεως της δημοσίας τάξεως του κράτους αναγνωρίσεως, ο δικαστής του κράτους αυτού οφείλει να λάβει υπόψη το γεγονός ότι, εκτός από ιδιαίτερες περιστάσεις που καθιστούν υπερβολικά δυσχερή ή αδύνατη την άσκηση ενδίκων μέσων στο κράτος μέλος προελεύσεως, τα υποκείμενα δικαίου πρέπει να ασκούν εντός αυτού του κράτους μέλους όλα τα διαθέσιμα ένδικα μέσα για να αποτρέπουν μια τέτοια παραβίαση. </w:t>
                        </w:r>
                      </w:p>
                    </w:tc>
                  </w:tr>
                </w:tbl>
                <w:p w14:paraId="1AB40C36" w14:textId="77777777" w:rsidR="00EE292B" w:rsidRPr="00EE292B" w:rsidRDefault="00EE292B" w:rsidP="00EE292B">
                  <w:pPr>
                    <w:pStyle w:val="Web"/>
                    <w:spacing w:before="0" w:beforeAutospacing="0" w:after="120" w:afterAutospacing="0"/>
                    <w:jc w:val="both"/>
                  </w:pPr>
                </w:p>
              </w:tc>
            </w:tr>
          </w:tbl>
          <w:p w14:paraId="62A8967B" w14:textId="77777777" w:rsidR="00EE292B" w:rsidRPr="00EE292B" w:rsidRDefault="00EE292B" w:rsidP="00EE292B">
            <w:pPr>
              <w:pStyle w:val="Web"/>
              <w:spacing w:before="0" w:beforeAutospacing="0" w:after="120" w:afterAutospacing="0"/>
              <w:jc w:val="both"/>
              <w:rPr>
                <w:vanish/>
              </w:rPr>
            </w:pPr>
          </w:p>
          <w:tbl>
            <w:tblPr>
              <w:tblW w:w="5000" w:type="pct"/>
              <w:tblCellSpacing w:w="0" w:type="dxa"/>
              <w:tblLayout w:type="fixed"/>
              <w:tblCellMar>
                <w:left w:w="0" w:type="dxa"/>
                <w:right w:w="0" w:type="dxa"/>
              </w:tblCellMar>
              <w:tblLook w:val="04A0" w:firstRow="1" w:lastRow="0" w:firstColumn="1" w:lastColumn="0" w:noHBand="0" w:noVBand="1"/>
            </w:tblPr>
            <w:tblGrid>
              <w:gridCol w:w="60"/>
              <w:gridCol w:w="8105"/>
            </w:tblGrid>
            <w:tr w:rsidR="00EE292B" w:rsidRPr="00EE292B" w14:paraId="47E1F517" w14:textId="77777777" w:rsidTr="00F21AC6">
              <w:trPr>
                <w:tblCellSpacing w:w="0" w:type="dxa"/>
              </w:trPr>
              <w:tc>
                <w:tcPr>
                  <w:tcW w:w="60" w:type="dxa"/>
                  <w:hideMark/>
                </w:tcPr>
                <w:p w14:paraId="78A1D295" w14:textId="77777777" w:rsidR="00EE292B" w:rsidRPr="00EE292B" w:rsidRDefault="00EE292B" w:rsidP="00EE292B">
                  <w:pPr>
                    <w:pStyle w:val="Web"/>
                    <w:spacing w:before="0" w:beforeAutospacing="0" w:after="120" w:afterAutospacing="0"/>
                    <w:jc w:val="both"/>
                  </w:pPr>
                  <w:r w:rsidRPr="00EE292B">
                    <w:t> </w:t>
                  </w:r>
                </w:p>
              </w:tc>
              <w:tc>
                <w:tcPr>
                  <w:tcW w:w="8186" w:type="dxa"/>
                  <w:hideMark/>
                </w:tcPr>
                <w:tbl>
                  <w:tblPr>
                    <w:tblW w:w="5000" w:type="pct"/>
                    <w:tblCellSpacing w:w="0" w:type="dxa"/>
                    <w:tblLayout w:type="fixed"/>
                    <w:tblCellMar>
                      <w:left w:w="0" w:type="dxa"/>
                      <w:right w:w="0" w:type="dxa"/>
                    </w:tblCellMar>
                    <w:tblLook w:val="04A0" w:firstRow="1" w:lastRow="0" w:firstColumn="1" w:lastColumn="0" w:noHBand="0" w:noVBand="1"/>
                  </w:tblPr>
                  <w:tblGrid>
                    <w:gridCol w:w="76"/>
                    <w:gridCol w:w="8029"/>
                  </w:tblGrid>
                  <w:tr w:rsidR="00EE292B" w:rsidRPr="00EE292B" w14:paraId="0FE21CD0" w14:textId="77777777" w:rsidTr="00722F3C">
                    <w:trPr>
                      <w:tblCellSpacing w:w="0" w:type="dxa"/>
                    </w:trPr>
                    <w:tc>
                      <w:tcPr>
                        <w:tcW w:w="76" w:type="dxa"/>
                        <w:hideMark/>
                      </w:tcPr>
                      <w:p w14:paraId="73189F87" w14:textId="77777777" w:rsidR="00EE292B" w:rsidRPr="00EE292B" w:rsidRDefault="00EE292B" w:rsidP="00EE292B">
                        <w:pPr>
                          <w:pStyle w:val="Web"/>
                          <w:spacing w:before="0" w:beforeAutospacing="0" w:after="120" w:afterAutospacing="0"/>
                          <w:jc w:val="both"/>
                        </w:pPr>
                        <w:r w:rsidRPr="00EE292B">
                          <w:t xml:space="preserve">2) </w:t>
                        </w:r>
                      </w:p>
                    </w:tc>
                    <w:tc>
                      <w:tcPr>
                        <w:tcW w:w="8029" w:type="dxa"/>
                        <w:hideMark/>
                      </w:tcPr>
                      <w:p w14:paraId="12ACF28F" w14:textId="77777777" w:rsidR="00EE292B" w:rsidRPr="00EE292B" w:rsidRDefault="00EE292B" w:rsidP="00EE292B">
                        <w:pPr>
                          <w:pStyle w:val="Web"/>
                          <w:spacing w:before="0" w:beforeAutospacing="0" w:after="120" w:afterAutospacing="0"/>
                          <w:jc w:val="both"/>
                        </w:pPr>
                        <w:r w:rsidRPr="00EE292B">
                          <w:t xml:space="preserve">Το άρθρο 14 της οδηγίας 2004/48/ΕΚ του Ευρωπαϊκού Κοινοβουλίου και του Συμβουλίου, της 29ης Απριλίου 2004, σχετικά με την επιβολή των δικαιωμάτων διανοητικής ιδιοκτησίας, πρέπει να ερμηνευθεί υπό την έννοια ότι έχει εφαρμογή επί των δικαστικών εξόδων στο πλαίσιο αγωγής αποζημιώσεως, </w:t>
                        </w:r>
                        <w:proofErr w:type="spellStart"/>
                        <w:r w:rsidRPr="00EE292B">
                          <w:t>ασκηθείσας</w:t>
                        </w:r>
                        <w:proofErr w:type="spellEnd"/>
                        <w:r w:rsidRPr="00EE292B">
                          <w:t xml:space="preserve"> σε κράτος μέλος, για την αποκατάσταση της ζημίας που προκλήθηκε από κατάσχεση </w:t>
                        </w:r>
                        <w:proofErr w:type="spellStart"/>
                        <w:r w:rsidRPr="00EE292B">
                          <w:t>επιβληθείσα</w:t>
                        </w:r>
                        <w:proofErr w:type="spellEnd"/>
                        <w:r w:rsidRPr="00EE292B">
                          <w:t xml:space="preserve"> εντός άλλου κράτους μέλους με σκοπό την πρόληψη προσβολής δικαιώματος διανοητικής ιδιοκτησίας, όταν στο πλαίσιο αυτής της αγωγής αποζημιώσεως τίθεται ζήτημα αναγνωρίσεως αποφάσεως εκδοθείσας σε αυτό το άλλο κράτος μέλος με την οποία διαπιστώνεται ο αδικαιολόγητος χαρακτήρας της εν λόγω κατασχέσεως. </w:t>
                        </w:r>
                      </w:p>
                    </w:tc>
                  </w:tr>
                </w:tbl>
                <w:p w14:paraId="70780843" w14:textId="77777777" w:rsidR="00EE292B" w:rsidRPr="00EE292B" w:rsidRDefault="00EE292B" w:rsidP="00EE292B">
                  <w:pPr>
                    <w:pStyle w:val="Web"/>
                    <w:spacing w:before="0" w:beforeAutospacing="0" w:after="120" w:afterAutospacing="0"/>
                    <w:jc w:val="both"/>
                  </w:pPr>
                </w:p>
              </w:tc>
            </w:tr>
          </w:tbl>
          <w:p w14:paraId="42844BD9" w14:textId="77777777" w:rsidR="00EE292B" w:rsidRPr="00EE292B" w:rsidRDefault="00EE292B" w:rsidP="00EE292B">
            <w:pPr>
              <w:pStyle w:val="Web"/>
              <w:spacing w:before="0" w:beforeAutospacing="0" w:after="120" w:afterAutospacing="0"/>
              <w:jc w:val="both"/>
              <w:rPr>
                <w:vanish/>
              </w:rPr>
            </w:pPr>
          </w:p>
          <w:tbl>
            <w:tblPr>
              <w:tblW w:w="5000" w:type="pct"/>
              <w:tblCellSpacing w:w="0" w:type="dxa"/>
              <w:tblLayout w:type="fixed"/>
              <w:tblCellMar>
                <w:left w:w="0" w:type="dxa"/>
                <w:right w:w="0" w:type="dxa"/>
              </w:tblCellMar>
              <w:tblLook w:val="04A0" w:firstRow="1" w:lastRow="0" w:firstColumn="1" w:lastColumn="0" w:noHBand="0" w:noVBand="1"/>
            </w:tblPr>
            <w:tblGrid>
              <w:gridCol w:w="387"/>
              <w:gridCol w:w="7778"/>
            </w:tblGrid>
            <w:tr w:rsidR="00EE292B" w:rsidRPr="00EE292B" w14:paraId="3BEA29ED" w14:textId="77777777" w:rsidTr="00D516A4">
              <w:trPr>
                <w:trHeight w:val="143"/>
                <w:tblCellSpacing w:w="0" w:type="dxa"/>
              </w:trPr>
              <w:tc>
                <w:tcPr>
                  <w:tcW w:w="391" w:type="dxa"/>
                  <w:vAlign w:val="center"/>
                </w:tcPr>
                <w:p w14:paraId="685E8B29" w14:textId="76B0C702" w:rsidR="00EE292B" w:rsidRPr="00EE292B" w:rsidRDefault="00EE292B" w:rsidP="00EE292B">
                  <w:pPr>
                    <w:pStyle w:val="Web"/>
                    <w:spacing w:before="0" w:beforeAutospacing="0" w:after="120" w:afterAutospacing="0"/>
                    <w:jc w:val="both"/>
                  </w:pPr>
                </w:p>
              </w:tc>
              <w:tc>
                <w:tcPr>
                  <w:tcW w:w="7855" w:type="dxa"/>
                  <w:vAlign w:val="center"/>
                </w:tcPr>
                <w:p w14:paraId="0E0DA11A" w14:textId="0160B949" w:rsidR="00EE292B" w:rsidRPr="00EE292B" w:rsidRDefault="00EE292B" w:rsidP="00EE292B">
                  <w:pPr>
                    <w:pStyle w:val="Web"/>
                    <w:spacing w:before="0" w:beforeAutospacing="0" w:after="120" w:afterAutospacing="0"/>
                    <w:jc w:val="both"/>
                  </w:pPr>
                </w:p>
              </w:tc>
            </w:tr>
          </w:tbl>
          <w:p w14:paraId="2FE4822E" w14:textId="33EC4CF4" w:rsidR="00EE292B" w:rsidRPr="00EE292B" w:rsidRDefault="00EE292B" w:rsidP="00EE292B">
            <w:pPr>
              <w:pStyle w:val="Web"/>
              <w:spacing w:before="0" w:beforeAutospacing="0" w:after="120" w:afterAutospacing="0"/>
              <w:jc w:val="both"/>
            </w:pPr>
          </w:p>
        </w:tc>
      </w:tr>
    </w:tbl>
    <w:p w14:paraId="2E8A215C" w14:textId="35FAE34C" w:rsidR="005D4C7C" w:rsidRDefault="002110B4" w:rsidP="00EE292B">
      <w:pPr>
        <w:pStyle w:val="Web"/>
        <w:spacing w:after="120"/>
        <w:jc w:val="both"/>
      </w:pPr>
      <w:r>
        <w:rPr>
          <w:b/>
          <w:bCs/>
        </w:rPr>
        <w:t>7</w:t>
      </w:r>
      <w:r w:rsidR="00EE292B" w:rsidRPr="005D4C7C">
        <w:rPr>
          <w:b/>
          <w:bCs/>
        </w:rPr>
        <w:t>. Απόφαση του Δικαστηρίου (τμήμα μείζονος συνθέσεως) της 13ης Μαΐου 2015.</w:t>
      </w:r>
      <w:r w:rsidR="00EE292B" w:rsidRPr="005D4C7C">
        <w:rPr>
          <w:b/>
          <w:bCs/>
        </w:rPr>
        <w:br/>
      </w:r>
      <w:r w:rsidR="00EE292B" w:rsidRPr="002110B4">
        <w:t>"</w:t>
      </w:r>
      <w:r w:rsidR="00EE292B" w:rsidRPr="005D4C7C">
        <w:rPr>
          <w:lang w:val="en-US"/>
        </w:rPr>
        <w:t>Gazprom</w:t>
      </w:r>
      <w:r w:rsidR="00EE292B" w:rsidRPr="002110B4">
        <w:t xml:space="preserve">" </w:t>
      </w:r>
      <w:r w:rsidR="00EE292B" w:rsidRPr="005D4C7C">
        <w:rPr>
          <w:lang w:val="en-US"/>
        </w:rPr>
        <w:t>OAO</w:t>
      </w:r>
      <w:r w:rsidR="00EE292B" w:rsidRPr="002110B4">
        <w:t xml:space="preserve"> </w:t>
      </w:r>
      <w:r w:rsidR="00EE292B" w:rsidRPr="00EE292B">
        <w:t>κατά</w:t>
      </w:r>
      <w:r w:rsidR="00EE292B" w:rsidRPr="002110B4">
        <w:t xml:space="preserve"> </w:t>
      </w:r>
      <w:r w:rsidR="00EE292B" w:rsidRPr="005D4C7C">
        <w:rPr>
          <w:lang w:val="en-US"/>
        </w:rPr>
        <w:t>Lietuvos</w:t>
      </w:r>
      <w:r w:rsidR="00EE292B" w:rsidRPr="002110B4">
        <w:t xml:space="preserve"> </w:t>
      </w:r>
      <w:r w:rsidR="00EE292B" w:rsidRPr="005D4C7C">
        <w:rPr>
          <w:lang w:val="en-US"/>
        </w:rPr>
        <w:t>Respublika</w:t>
      </w:r>
      <w:r w:rsidR="00EE292B" w:rsidRPr="002110B4">
        <w:t>.</w:t>
      </w:r>
      <w:r w:rsidR="00EE292B" w:rsidRPr="002110B4">
        <w:br/>
      </w:r>
      <w:r w:rsidR="00EE292B" w:rsidRPr="00EE292B">
        <w:t xml:space="preserve">Αίτηση του </w:t>
      </w:r>
      <w:proofErr w:type="spellStart"/>
      <w:r w:rsidR="00EE292B" w:rsidRPr="00EE292B">
        <w:t>Lietuvos</w:t>
      </w:r>
      <w:proofErr w:type="spellEnd"/>
      <w:r w:rsidR="00EE292B" w:rsidRPr="00EE292B">
        <w:t xml:space="preserve"> </w:t>
      </w:r>
      <w:proofErr w:type="spellStart"/>
      <w:r w:rsidR="00EE292B" w:rsidRPr="00EE292B">
        <w:t>Aukščiausiasis</w:t>
      </w:r>
      <w:proofErr w:type="spellEnd"/>
      <w:r w:rsidR="00EE292B" w:rsidRPr="00EE292B">
        <w:t xml:space="preserve"> </w:t>
      </w:r>
      <w:proofErr w:type="spellStart"/>
      <w:r w:rsidR="00EE292B" w:rsidRPr="00EE292B">
        <w:t>Teismas</w:t>
      </w:r>
      <w:proofErr w:type="spellEnd"/>
      <w:r w:rsidR="00EE292B" w:rsidRPr="00EE292B">
        <w:t xml:space="preserve"> για την έκδοση προδικαστικής αποφάσεως.</w:t>
      </w:r>
      <w:r w:rsidR="00EE292B" w:rsidRPr="00EE292B">
        <w:br/>
        <w:t xml:space="preserve">Προδικαστική παραπομπή – Χώρος ελευθερίας, ασφάλειας και δικαιοσύνης – Δικαστική συνεργασία σε αστικές υποθέσεις – Κανονισμός (EK) 44/2001 – Πεδίο εφαρμογής – Διαιτησία – Δεν εμπίπτει – Αναγνώριση και εκτέλεση αλλοδαπών διαιτητικών αποφάσεων – Διαταγή εκ μέρους διαιτητικού δικαστηρίου </w:t>
      </w:r>
      <w:proofErr w:type="spellStart"/>
      <w:r w:rsidR="00EE292B" w:rsidRPr="00EE292B">
        <w:t>εδρεύοντος</w:t>
      </w:r>
      <w:proofErr w:type="spellEnd"/>
      <w:r w:rsidR="00EE292B" w:rsidRPr="00EE292B">
        <w:t xml:space="preserve"> σε </w:t>
      </w:r>
    </w:p>
    <w:p w14:paraId="4484C4F9" w14:textId="799D9C82" w:rsidR="00EE292B" w:rsidRPr="00EE292B" w:rsidRDefault="00EE292B" w:rsidP="00EE292B">
      <w:pPr>
        <w:pStyle w:val="Web"/>
        <w:spacing w:after="120"/>
        <w:jc w:val="both"/>
      </w:pPr>
      <w:r w:rsidRPr="00EE292B">
        <w:t>κράτος μέλος – Διαταγή με σκοπό να εμποδιστεί η άσκηση ή η συνέχιση διαδικασίας ενώπιον δικαστηρίου άλλου κράτους μέλους – Εξουσία των δικαστηρίων κράτους μέλους να αρνηθούν την αναγνώριση της διαιτητικής αποφάσεως – Σύμβαση της Νέας Υόρκης.</w:t>
      </w:r>
      <w:r w:rsidRPr="00EE292B">
        <w:br/>
        <w:t>Υπόθεση C-536/13.</w:t>
      </w:r>
    </w:p>
    <w:p w14:paraId="34855F92" w14:textId="77777777" w:rsidR="00EE292B" w:rsidRPr="00EE292B" w:rsidRDefault="00EE292B" w:rsidP="00EE292B">
      <w:pPr>
        <w:pStyle w:val="Web"/>
        <w:spacing w:before="0" w:beforeAutospacing="0" w:after="120" w:afterAutospacing="0"/>
        <w:jc w:val="both"/>
      </w:pPr>
      <w:r w:rsidRPr="00EE292B">
        <w:rPr>
          <w:i/>
          <w:iCs/>
        </w:rPr>
        <w:t>Συλλογή της Νομολογίας — Γενική Συλλογή</w:t>
      </w:r>
      <w:r w:rsidRPr="00EE292B">
        <w:t xml:space="preserve"> </w:t>
      </w:r>
    </w:p>
    <w:p w14:paraId="7BB03914" w14:textId="77777777" w:rsidR="00EE292B" w:rsidRPr="00EE292B" w:rsidRDefault="00EE292B" w:rsidP="00EE292B">
      <w:pPr>
        <w:pStyle w:val="Web"/>
        <w:spacing w:before="0" w:beforeAutospacing="0" w:after="120" w:afterAutospacing="0"/>
        <w:jc w:val="both"/>
      </w:pPr>
      <w:r w:rsidRPr="00EE292B">
        <w:t>Αναγνωριστικό ECLI: ECLI:EU:C:2015:316</w:t>
      </w:r>
    </w:p>
    <w:p w14:paraId="6A32D239" w14:textId="328ABAB0" w:rsidR="000C13C7" w:rsidRDefault="000C13C7" w:rsidP="00EE292B">
      <w:pPr>
        <w:pStyle w:val="Web"/>
        <w:spacing w:before="0" w:beforeAutospacing="0" w:after="120" w:afterAutospacing="0"/>
        <w:jc w:val="both"/>
      </w:pPr>
    </w:p>
    <w:p w14:paraId="6807E6D7" w14:textId="78467FF5" w:rsidR="004F3403" w:rsidRDefault="005D4C7C" w:rsidP="0025064A">
      <w:pPr>
        <w:pStyle w:val="Web"/>
        <w:spacing w:before="0" w:beforeAutospacing="0" w:after="120" w:afterAutospacing="0"/>
        <w:jc w:val="both"/>
      </w:pPr>
      <w:r>
        <w:rPr>
          <w:rStyle w:val="bold"/>
          <w:rFonts w:eastAsiaTheme="majorEastAsia"/>
        </w:rPr>
        <w:t>Ο κανονισμός (EK) 44/2001 του Συμβουλίου, της 22ας Δεκεμβρίου 2000, για τη διεθνή δικαιοδοσία, την αναγνώριση και την εκτέλεση αποφάσεων σε αστικές και εμπορικές υποθέσεις, έχει την έννοια ότι δεν αντιτίθεται στην εκ μέρους δικαστηρίου κράτους μέλους αναγνώριση και εκτέλεση, ή στην άρνηση αναγνωρίσεως και εκτελέσεως, διαιτητικής αποφάσεως η οποία απαγορεύει σε διάδικο να υποβάλει ορισμένα αιτήματα ενώπιον δικαστηρίου του κράτους μέλους αυτού, καθόσον ο ως άνω κανονισμός δεν διέπει την αναγνώριση και εκτέλεση, εντός κράτους μέλους, διαιτητικής αποφάσεως εκδιδόμενης από διαιτητικό δικαστήριο εντός άλλου κράτους μέλους.</w:t>
      </w:r>
    </w:p>
    <w:sectPr w:rsidR="004F3403">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55B3F" w14:textId="77777777" w:rsidR="00114272" w:rsidRDefault="00114272" w:rsidP="000C13C7">
      <w:pPr>
        <w:spacing w:after="0" w:line="240" w:lineRule="auto"/>
      </w:pPr>
      <w:r>
        <w:separator/>
      </w:r>
    </w:p>
  </w:endnote>
  <w:endnote w:type="continuationSeparator" w:id="0">
    <w:p w14:paraId="3D153C0B" w14:textId="77777777" w:rsidR="00114272" w:rsidRDefault="00114272" w:rsidP="000C1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8943874"/>
      <w:docPartObj>
        <w:docPartGallery w:val="Page Numbers (Bottom of Page)"/>
        <w:docPartUnique/>
      </w:docPartObj>
    </w:sdtPr>
    <w:sdtEndPr>
      <w:rPr>
        <w:rFonts w:ascii="Times New Roman" w:hAnsi="Times New Roman" w:cs="Times New Roman"/>
        <w:sz w:val="20"/>
        <w:szCs w:val="20"/>
      </w:rPr>
    </w:sdtEndPr>
    <w:sdtContent>
      <w:p w14:paraId="479FEEFA" w14:textId="2ECF6DC9" w:rsidR="000C13C7" w:rsidRPr="000C13C7" w:rsidRDefault="000C13C7">
        <w:pPr>
          <w:pStyle w:val="ac"/>
          <w:jc w:val="center"/>
          <w:rPr>
            <w:rFonts w:ascii="Times New Roman" w:hAnsi="Times New Roman" w:cs="Times New Roman"/>
            <w:sz w:val="20"/>
            <w:szCs w:val="20"/>
          </w:rPr>
        </w:pPr>
        <w:r w:rsidRPr="000C13C7">
          <w:rPr>
            <w:rFonts w:ascii="Times New Roman" w:hAnsi="Times New Roman" w:cs="Times New Roman"/>
            <w:sz w:val="20"/>
            <w:szCs w:val="20"/>
          </w:rPr>
          <w:fldChar w:fldCharType="begin"/>
        </w:r>
        <w:r w:rsidRPr="000C13C7">
          <w:rPr>
            <w:rFonts w:ascii="Times New Roman" w:hAnsi="Times New Roman" w:cs="Times New Roman"/>
            <w:sz w:val="20"/>
            <w:szCs w:val="20"/>
          </w:rPr>
          <w:instrText>PAGE   \* MERGEFORMAT</w:instrText>
        </w:r>
        <w:r w:rsidRPr="000C13C7">
          <w:rPr>
            <w:rFonts w:ascii="Times New Roman" w:hAnsi="Times New Roman" w:cs="Times New Roman"/>
            <w:sz w:val="20"/>
            <w:szCs w:val="20"/>
          </w:rPr>
          <w:fldChar w:fldCharType="separate"/>
        </w:r>
        <w:r w:rsidRPr="000C13C7">
          <w:rPr>
            <w:rFonts w:ascii="Times New Roman" w:hAnsi="Times New Roman" w:cs="Times New Roman"/>
            <w:sz w:val="20"/>
            <w:szCs w:val="20"/>
          </w:rPr>
          <w:t>2</w:t>
        </w:r>
        <w:r w:rsidRPr="000C13C7">
          <w:rPr>
            <w:rFonts w:ascii="Times New Roman" w:hAnsi="Times New Roman" w:cs="Times New Roman"/>
            <w:sz w:val="20"/>
            <w:szCs w:val="20"/>
          </w:rPr>
          <w:fldChar w:fldCharType="end"/>
        </w:r>
      </w:p>
    </w:sdtContent>
  </w:sdt>
  <w:p w14:paraId="12391361" w14:textId="77777777" w:rsidR="000C13C7" w:rsidRDefault="000C13C7">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3C111F" w14:textId="77777777" w:rsidR="00114272" w:rsidRDefault="00114272" w:rsidP="000C13C7">
      <w:pPr>
        <w:spacing w:after="0" w:line="240" w:lineRule="auto"/>
      </w:pPr>
      <w:r>
        <w:separator/>
      </w:r>
    </w:p>
  </w:footnote>
  <w:footnote w:type="continuationSeparator" w:id="0">
    <w:p w14:paraId="7E0A66F5" w14:textId="77777777" w:rsidR="00114272" w:rsidRDefault="00114272" w:rsidP="000C13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861F4C"/>
    <w:multiLevelType w:val="hybridMultilevel"/>
    <w:tmpl w:val="AC20D59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70768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3C7"/>
    <w:rsid w:val="0008163D"/>
    <w:rsid w:val="000C13C7"/>
    <w:rsid w:val="00110800"/>
    <w:rsid w:val="00114272"/>
    <w:rsid w:val="001261B6"/>
    <w:rsid w:val="0014462F"/>
    <w:rsid w:val="00173AFD"/>
    <w:rsid w:val="002110B4"/>
    <w:rsid w:val="00214347"/>
    <w:rsid w:val="0025064A"/>
    <w:rsid w:val="002637A7"/>
    <w:rsid w:val="00283DF2"/>
    <w:rsid w:val="00430FB2"/>
    <w:rsid w:val="004347AD"/>
    <w:rsid w:val="00452D65"/>
    <w:rsid w:val="00474463"/>
    <w:rsid w:val="004D39D3"/>
    <w:rsid w:val="004F3403"/>
    <w:rsid w:val="005D4C7C"/>
    <w:rsid w:val="00722F3C"/>
    <w:rsid w:val="007704BC"/>
    <w:rsid w:val="00862D51"/>
    <w:rsid w:val="008A5AC1"/>
    <w:rsid w:val="00A056E1"/>
    <w:rsid w:val="00A25138"/>
    <w:rsid w:val="00A46F6E"/>
    <w:rsid w:val="00A76D9F"/>
    <w:rsid w:val="00CB41C6"/>
    <w:rsid w:val="00CD4265"/>
    <w:rsid w:val="00D516A4"/>
    <w:rsid w:val="00DC1489"/>
    <w:rsid w:val="00E570E5"/>
    <w:rsid w:val="00E97CA0"/>
    <w:rsid w:val="00EE292B"/>
    <w:rsid w:val="00F21AC6"/>
    <w:rsid w:val="00F459A8"/>
    <w:rsid w:val="00F538B0"/>
    <w:rsid w:val="00F938A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EA1C"/>
  <w15:chartTrackingRefBased/>
  <w15:docId w15:val="{AF94A093-950D-451F-85DC-FFFD53D9D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0C13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C13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C13C7"/>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C13C7"/>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C13C7"/>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C13C7"/>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C13C7"/>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C13C7"/>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C13C7"/>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C13C7"/>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C13C7"/>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C13C7"/>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C13C7"/>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C13C7"/>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C13C7"/>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C13C7"/>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C13C7"/>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C13C7"/>
    <w:rPr>
      <w:rFonts w:eastAsiaTheme="majorEastAsia" w:cstheme="majorBidi"/>
      <w:color w:val="272727" w:themeColor="text1" w:themeTint="D8"/>
    </w:rPr>
  </w:style>
  <w:style w:type="paragraph" w:styleId="a3">
    <w:name w:val="Title"/>
    <w:basedOn w:val="a"/>
    <w:next w:val="a"/>
    <w:link w:val="Char"/>
    <w:uiPriority w:val="10"/>
    <w:qFormat/>
    <w:rsid w:val="000C13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C13C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13C7"/>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C13C7"/>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13C7"/>
    <w:pPr>
      <w:spacing w:before="160"/>
      <w:jc w:val="center"/>
    </w:pPr>
    <w:rPr>
      <w:i/>
      <w:iCs/>
      <w:color w:val="404040" w:themeColor="text1" w:themeTint="BF"/>
    </w:rPr>
  </w:style>
  <w:style w:type="character" w:customStyle="1" w:styleId="Char1">
    <w:name w:val="Απόσπασμα Char"/>
    <w:basedOn w:val="a0"/>
    <w:link w:val="a5"/>
    <w:uiPriority w:val="29"/>
    <w:rsid w:val="000C13C7"/>
    <w:rPr>
      <w:i/>
      <w:iCs/>
      <w:color w:val="404040" w:themeColor="text1" w:themeTint="BF"/>
    </w:rPr>
  </w:style>
  <w:style w:type="paragraph" w:styleId="a6">
    <w:name w:val="List Paragraph"/>
    <w:basedOn w:val="a"/>
    <w:uiPriority w:val="34"/>
    <w:qFormat/>
    <w:rsid w:val="000C13C7"/>
    <w:pPr>
      <w:ind w:left="720"/>
      <w:contextualSpacing/>
    </w:pPr>
  </w:style>
  <w:style w:type="character" w:styleId="a7">
    <w:name w:val="Intense Emphasis"/>
    <w:basedOn w:val="a0"/>
    <w:uiPriority w:val="21"/>
    <w:qFormat/>
    <w:rsid w:val="000C13C7"/>
    <w:rPr>
      <w:i/>
      <w:iCs/>
      <w:color w:val="0F4761" w:themeColor="accent1" w:themeShade="BF"/>
    </w:rPr>
  </w:style>
  <w:style w:type="paragraph" w:styleId="a8">
    <w:name w:val="Intense Quote"/>
    <w:basedOn w:val="a"/>
    <w:next w:val="a"/>
    <w:link w:val="Char2"/>
    <w:uiPriority w:val="30"/>
    <w:qFormat/>
    <w:rsid w:val="000C13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0C13C7"/>
    <w:rPr>
      <w:i/>
      <w:iCs/>
      <w:color w:val="0F4761" w:themeColor="accent1" w:themeShade="BF"/>
    </w:rPr>
  </w:style>
  <w:style w:type="character" w:styleId="a9">
    <w:name w:val="Intense Reference"/>
    <w:basedOn w:val="a0"/>
    <w:uiPriority w:val="32"/>
    <w:qFormat/>
    <w:rsid w:val="000C13C7"/>
    <w:rPr>
      <w:b/>
      <w:bCs/>
      <w:smallCaps/>
      <w:color w:val="0F4761" w:themeColor="accent1" w:themeShade="BF"/>
      <w:spacing w:val="5"/>
    </w:rPr>
  </w:style>
  <w:style w:type="paragraph" w:customStyle="1" w:styleId="title-bold">
    <w:name w:val="title-bold"/>
    <w:basedOn w:val="a"/>
    <w:rsid w:val="000C13C7"/>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paragraph" w:styleId="Web">
    <w:name w:val="Normal (Web)"/>
    <w:basedOn w:val="a"/>
    <w:uiPriority w:val="99"/>
    <w:unhideWhenUsed/>
    <w:rsid w:val="000C13C7"/>
    <w:pPr>
      <w:spacing w:before="100" w:beforeAutospacing="1" w:after="100" w:afterAutospacing="1" w:line="240" w:lineRule="auto"/>
    </w:pPr>
    <w:rPr>
      <w:rFonts w:ascii="Times New Roman" w:eastAsia="Times New Roman" w:hAnsi="Times New Roman" w:cs="Times New Roman"/>
      <w:kern w:val="0"/>
      <w:lang w:eastAsia="el-GR"/>
      <w14:ligatures w14:val="none"/>
    </w:rPr>
  </w:style>
  <w:style w:type="character" w:styleId="aa">
    <w:name w:val="Emphasis"/>
    <w:basedOn w:val="a0"/>
    <w:uiPriority w:val="20"/>
    <w:qFormat/>
    <w:rsid w:val="000C13C7"/>
    <w:rPr>
      <w:i/>
      <w:iCs/>
    </w:rPr>
  </w:style>
  <w:style w:type="paragraph" w:styleId="ab">
    <w:name w:val="header"/>
    <w:basedOn w:val="a"/>
    <w:link w:val="Char3"/>
    <w:uiPriority w:val="99"/>
    <w:unhideWhenUsed/>
    <w:rsid w:val="000C13C7"/>
    <w:pPr>
      <w:tabs>
        <w:tab w:val="center" w:pos="4153"/>
        <w:tab w:val="right" w:pos="8306"/>
      </w:tabs>
      <w:spacing w:after="0" w:line="240" w:lineRule="auto"/>
    </w:pPr>
  </w:style>
  <w:style w:type="character" w:customStyle="1" w:styleId="Char3">
    <w:name w:val="Κεφαλίδα Char"/>
    <w:basedOn w:val="a0"/>
    <w:link w:val="ab"/>
    <w:uiPriority w:val="99"/>
    <w:rsid w:val="000C13C7"/>
  </w:style>
  <w:style w:type="paragraph" w:styleId="ac">
    <w:name w:val="footer"/>
    <w:basedOn w:val="a"/>
    <w:link w:val="Char4"/>
    <w:uiPriority w:val="99"/>
    <w:unhideWhenUsed/>
    <w:rsid w:val="000C13C7"/>
    <w:pPr>
      <w:tabs>
        <w:tab w:val="center" w:pos="4153"/>
        <w:tab w:val="right" w:pos="8306"/>
      </w:tabs>
      <w:spacing w:after="0" w:line="240" w:lineRule="auto"/>
    </w:pPr>
  </w:style>
  <w:style w:type="character" w:customStyle="1" w:styleId="Char4">
    <w:name w:val="Υποσέλιδο Char"/>
    <w:basedOn w:val="a0"/>
    <w:link w:val="ac"/>
    <w:uiPriority w:val="99"/>
    <w:rsid w:val="000C13C7"/>
  </w:style>
  <w:style w:type="character" w:customStyle="1" w:styleId="bold">
    <w:name w:val="bold"/>
    <w:basedOn w:val="a0"/>
    <w:rsid w:val="005D4C7C"/>
  </w:style>
  <w:style w:type="character" w:styleId="ad">
    <w:name w:val="annotation reference"/>
    <w:basedOn w:val="a0"/>
    <w:uiPriority w:val="99"/>
    <w:semiHidden/>
    <w:unhideWhenUsed/>
    <w:rsid w:val="005D4C7C"/>
    <w:rPr>
      <w:sz w:val="16"/>
      <w:szCs w:val="16"/>
    </w:rPr>
  </w:style>
  <w:style w:type="paragraph" w:styleId="ae">
    <w:name w:val="annotation text"/>
    <w:basedOn w:val="a"/>
    <w:link w:val="Char5"/>
    <w:uiPriority w:val="99"/>
    <w:unhideWhenUsed/>
    <w:rsid w:val="005D4C7C"/>
    <w:pPr>
      <w:spacing w:line="240" w:lineRule="auto"/>
    </w:pPr>
    <w:rPr>
      <w:sz w:val="20"/>
      <w:szCs w:val="20"/>
    </w:rPr>
  </w:style>
  <w:style w:type="character" w:customStyle="1" w:styleId="Char5">
    <w:name w:val="Κείμενο σχολίου Char"/>
    <w:basedOn w:val="a0"/>
    <w:link w:val="ae"/>
    <w:uiPriority w:val="99"/>
    <w:rsid w:val="005D4C7C"/>
    <w:rPr>
      <w:sz w:val="20"/>
      <w:szCs w:val="20"/>
    </w:rPr>
  </w:style>
  <w:style w:type="paragraph" w:styleId="af">
    <w:name w:val="annotation subject"/>
    <w:basedOn w:val="ae"/>
    <w:next w:val="ae"/>
    <w:link w:val="Char6"/>
    <w:uiPriority w:val="99"/>
    <w:semiHidden/>
    <w:unhideWhenUsed/>
    <w:rsid w:val="005D4C7C"/>
    <w:rPr>
      <w:b/>
      <w:bCs/>
    </w:rPr>
  </w:style>
  <w:style w:type="character" w:customStyle="1" w:styleId="Char6">
    <w:name w:val="Θέμα σχολίου Char"/>
    <w:basedOn w:val="Char5"/>
    <w:link w:val="af"/>
    <w:uiPriority w:val="99"/>
    <w:semiHidden/>
    <w:rsid w:val="005D4C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82714">
      <w:bodyDiv w:val="1"/>
      <w:marLeft w:val="0"/>
      <w:marRight w:val="0"/>
      <w:marTop w:val="0"/>
      <w:marBottom w:val="0"/>
      <w:divBdr>
        <w:top w:val="none" w:sz="0" w:space="0" w:color="auto"/>
        <w:left w:val="none" w:sz="0" w:space="0" w:color="auto"/>
        <w:bottom w:val="none" w:sz="0" w:space="0" w:color="auto"/>
        <w:right w:val="none" w:sz="0" w:space="0" w:color="auto"/>
      </w:divBdr>
    </w:div>
    <w:div w:id="215169528">
      <w:bodyDiv w:val="1"/>
      <w:marLeft w:val="0"/>
      <w:marRight w:val="0"/>
      <w:marTop w:val="0"/>
      <w:marBottom w:val="0"/>
      <w:divBdr>
        <w:top w:val="none" w:sz="0" w:space="0" w:color="auto"/>
        <w:left w:val="none" w:sz="0" w:space="0" w:color="auto"/>
        <w:bottom w:val="none" w:sz="0" w:space="0" w:color="auto"/>
        <w:right w:val="none" w:sz="0" w:space="0" w:color="auto"/>
      </w:divBdr>
    </w:div>
    <w:div w:id="327442311">
      <w:bodyDiv w:val="1"/>
      <w:marLeft w:val="0"/>
      <w:marRight w:val="0"/>
      <w:marTop w:val="0"/>
      <w:marBottom w:val="0"/>
      <w:divBdr>
        <w:top w:val="none" w:sz="0" w:space="0" w:color="auto"/>
        <w:left w:val="none" w:sz="0" w:space="0" w:color="auto"/>
        <w:bottom w:val="none" w:sz="0" w:space="0" w:color="auto"/>
        <w:right w:val="none" w:sz="0" w:space="0" w:color="auto"/>
      </w:divBdr>
    </w:div>
    <w:div w:id="426926802">
      <w:bodyDiv w:val="1"/>
      <w:marLeft w:val="0"/>
      <w:marRight w:val="0"/>
      <w:marTop w:val="0"/>
      <w:marBottom w:val="0"/>
      <w:divBdr>
        <w:top w:val="none" w:sz="0" w:space="0" w:color="auto"/>
        <w:left w:val="none" w:sz="0" w:space="0" w:color="auto"/>
        <w:bottom w:val="none" w:sz="0" w:space="0" w:color="auto"/>
        <w:right w:val="none" w:sz="0" w:space="0" w:color="auto"/>
      </w:divBdr>
    </w:div>
    <w:div w:id="445543326">
      <w:bodyDiv w:val="1"/>
      <w:marLeft w:val="0"/>
      <w:marRight w:val="0"/>
      <w:marTop w:val="0"/>
      <w:marBottom w:val="0"/>
      <w:divBdr>
        <w:top w:val="none" w:sz="0" w:space="0" w:color="auto"/>
        <w:left w:val="none" w:sz="0" w:space="0" w:color="auto"/>
        <w:bottom w:val="none" w:sz="0" w:space="0" w:color="auto"/>
        <w:right w:val="none" w:sz="0" w:space="0" w:color="auto"/>
      </w:divBdr>
    </w:div>
    <w:div w:id="514997031">
      <w:bodyDiv w:val="1"/>
      <w:marLeft w:val="0"/>
      <w:marRight w:val="0"/>
      <w:marTop w:val="0"/>
      <w:marBottom w:val="0"/>
      <w:divBdr>
        <w:top w:val="none" w:sz="0" w:space="0" w:color="auto"/>
        <w:left w:val="none" w:sz="0" w:space="0" w:color="auto"/>
        <w:bottom w:val="none" w:sz="0" w:space="0" w:color="auto"/>
        <w:right w:val="none" w:sz="0" w:space="0" w:color="auto"/>
      </w:divBdr>
    </w:div>
    <w:div w:id="679698552">
      <w:bodyDiv w:val="1"/>
      <w:marLeft w:val="0"/>
      <w:marRight w:val="0"/>
      <w:marTop w:val="0"/>
      <w:marBottom w:val="0"/>
      <w:divBdr>
        <w:top w:val="none" w:sz="0" w:space="0" w:color="auto"/>
        <w:left w:val="none" w:sz="0" w:space="0" w:color="auto"/>
        <w:bottom w:val="none" w:sz="0" w:space="0" w:color="auto"/>
        <w:right w:val="none" w:sz="0" w:space="0" w:color="auto"/>
      </w:divBdr>
    </w:div>
    <w:div w:id="748892243">
      <w:bodyDiv w:val="1"/>
      <w:marLeft w:val="0"/>
      <w:marRight w:val="0"/>
      <w:marTop w:val="0"/>
      <w:marBottom w:val="0"/>
      <w:divBdr>
        <w:top w:val="none" w:sz="0" w:space="0" w:color="auto"/>
        <w:left w:val="none" w:sz="0" w:space="0" w:color="auto"/>
        <w:bottom w:val="none" w:sz="0" w:space="0" w:color="auto"/>
        <w:right w:val="none" w:sz="0" w:space="0" w:color="auto"/>
      </w:divBdr>
    </w:div>
    <w:div w:id="874269380">
      <w:bodyDiv w:val="1"/>
      <w:marLeft w:val="0"/>
      <w:marRight w:val="0"/>
      <w:marTop w:val="0"/>
      <w:marBottom w:val="0"/>
      <w:divBdr>
        <w:top w:val="none" w:sz="0" w:space="0" w:color="auto"/>
        <w:left w:val="none" w:sz="0" w:space="0" w:color="auto"/>
        <w:bottom w:val="none" w:sz="0" w:space="0" w:color="auto"/>
        <w:right w:val="none" w:sz="0" w:space="0" w:color="auto"/>
      </w:divBdr>
    </w:div>
    <w:div w:id="1237209648">
      <w:bodyDiv w:val="1"/>
      <w:marLeft w:val="0"/>
      <w:marRight w:val="0"/>
      <w:marTop w:val="0"/>
      <w:marBottom w:val="0"/>
      <w:divBdr>
        <w:top w:val="none" w:sz="0" w:space="0" w:color="auto"/>
        <w:left w:val="none" w:sz="0" w:space="0" w:color="auto"/>
        <w:bottom w:val="none" w:sz="0" w:space="0" w:color="auto"/>
        <w:right w:val="none" w:sz="0" w:space="0" w:color="auto"/>
      </w:divBdr>
    </w:div>
    <w:div w:id="1277525162">
      <w:bodyDiv w:val="1"/>
      <w:marLeft w:val="0"/>
      <w:marRight w:val="0"/>
      <w:marTop w:val="0"/>
      <w:marBottom w:val="0"/>
      <w:divBdr>
        <w:top w:val="none" w:sz="0" w:space="0" w:color="auto"/>
        <w:left w:val="none" w:sz="0" w:space="0" w:color="auto"/>
        <w:bottom w:val="none" w:sz="0" w:space="0" w:color="auto"/>
        <w:right w:val="none" w:sz="0" w:space="0" w:color="auto"/>
      </w:divBdr>
    </w:div>
    <w:div w:id="1304240793">
      <w:bodyDiv w:val="1"/>
      <w:marLeft w:val="0"/>
      <w:marRight w:val="0"/>
      <w:marTop w:val="0"/>
      <w:marBottom w:val="0"/>
      <w:divBdr>
        <w:top w:val="none" w:sz="0" w:space="0" w:color="auto"/>
        <w:left w:val="none" w:sz="0" w:space="0" w:color="auto"/>
        <w:bottom w:val="none" w:sz="0" w:space="0" w:color="auto"/>
        <w:right w:val="none" w:sz="0" w:space="0" w:color="auto"/>
      </w:divBdr>
    </w:div>
    <w:div w:id="1338313875">
      <w:bodyDiv w:val="1"/>
      <w:marLeft w:val="0"/>
      <w:marRight w:val="0"/>
      <w:marTop w:val="0"/>
      <w:marBottom w:val="0"/>
      <w:divBdr>
        <w:top w:val="none" w:sz="0" w:space="0" w:color="auto"/>
        <w:left w:val="none" w:sz="0" w:space="0" w:color="auto"/>
        <w:bottom w:val="none" w:sz="0" w:space="0" w:color="auto"/>
        <w:right w:val="none" w:sz="0" w:space="0" w:color="auto"/>
      </w:divBdr>
      <w:divsChild>
        <w:div w:id="379866817">
          <w:marLeft w:val="0"/>
          <w:marRight w:val="0"/>
          <w:marTop w:val="0"/>
          <w:marBottom w:val="0"/>
          <w:divBdr>
            <w:top w:val="none" w:sz="0" w:space="0" w:color="auto"/>
            <w:left w:val="none" w:sz="0" w:space="0" w:color="auto"/>
            <w:bottom w:val="none" w:sz="0" w:space="0" w:color="auto"/>
            <w:right w:val="none" w:sz="0" w:space="0" w:color="auto"/>
          </w:divBdr>
        </w:div>
      </w:divsChild>
    </w:div>
    <w:div w:id="1397360876">
      <w:bodyDiv w:val="1"/>
      <w:marLeft w:val="0"/>
      <w:marRight w:val="0"/>
      <w:marTop w:val="0"/>
      <w:marBottom w:val="0"/>
      <w:divBdr>
        <w:top w:val="none" w:sz="0" w:space="0" w:color="auto"/>
        <w:left w:val="none" w:sz="0" w:space="0" w:color="auto"/>
        <w:bottom w:val="none" w:sz="0" w:space="0" w:color="auto"/>
        <w:right w:val="none" w:sz="0" w:space="0" w:color="auto"/>
      </w:divBdr>
    </w:div>
    <w:div w:id="1697149352">
      <w:bodyDiv w:val="1"/>
      <w:marLeft w:val="0"/>
      <w:marRight w:val="0"/>
      <w:marTop w:val="0"/>
      <w:marBottom w:val="0"/>
      <w:divBdr>
        <w:top w:val="none" w:sz="0" w:space="0" w:color="auto"/>
        <w:left w:val="none" w:sz="0" w:space="0" w:color="auto"/>
        <w:bottom w:val="none" w:sz="0" w:space="0" w:color="auto"/>
        <w:right w:val="none" w:sz="0" w:space="0" w:color="auto"/>
      </w:divBdr>
    </w:div>
    <w:div w:id="2041390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FFFFFF"/>
      </a:dk1>
      <a:lt1>
        <a:sysClr val="window" lastClr="000000"/>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2139</Words>
  <Characters>11556</Characters>
  <Application>Microsoft Office Word</Application>
  <DocSecurity>0</DocSecurity>
  <Lines>96</Lines>
  <Paragraphs>27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Chrysafo Tsouka</dc:creator>
  <cp:keywords/>
  <dc:description/>
  <cp:lastModifiedBy>Chrysafo Tsouka</cp:lastModifiedBy>
  <cp:revision>2</cp:revision>
  <dcterms:created xsi:type="dcterms:W3CDTF">2025-04-10T10:34:00Z</dcterms:created>
  <dcterms:modified xsi:type="dcterms:W3CDTF">2025-04-10T10:34:00Z</dcterms:modified>
</cp:coreProperties>
</file>