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72" w:rsidRDefault="00002272" w:rsidP="00002272">
      <w:pPr>
        <w:spacing w:line="320" w:lineRule="exact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7A178D">
        <w:rPr>
          <w:rFonts w:cstheme="minorHAnsi"/>
          <w:b/>
          <w:bCs/>
          <w:color w:val="000000" w:themeColor="text1"/>
          <w:sz w:val="24"/>
          <w:szCs w:val="24"/>
        </w:rPr>
        <w:t>Ο κύριος Βαγγέλης εκθρέφει 70 κουτιά κουκούλια (σπόρου) και χρειάζεται να εξασφαλίσει  τα απαραίτητα φύλλα. Ο κύριος Νίκος που τον βοηθ</w:t>
      </w:r>
      <w:r>
        <w:rPr>
          <w:rFonts w:cstheme="minorHAnsi"/>
          <w:b/>
          <w:bCs/>
          <w:color w:val="000000" w:themeColor="text1"/>
          <w:sz w:val="24"/>
          <w:szCs w:val="24"/>
        </w:rPr>
        <w:t>άει, του είπε ότι για ένα κουτί</w:t>
      </w:r>
      <w:r w:rsidRPr="007A178D">
        <w:rPr>
          <w:rFonts w:cstheme="minorHAnsi"/>
          <w:b/>
          <w:bCs/>
          <w:color w:val="000000" w:themeColor="text1"/>
          <w:sz w:val="24"/>
          <w:szCs w:val="24"/>
        </w:rPr>
        <w:t xml:space="preserve">, χρειάζεται περίπου 500kg φύλλα ως το τέλος της 5ης ηλικίας. O ίδιος γνωρίζει ότι έως τώρα, που έχει ολοκληρωθεί η 4η ηλικία εκτροφής, έχει ήδη καταναλώσει   92kg φύλλα για κάθε κουτί. Πώς θα του προτείνατε να διαχειριστεί  την εκτροφή του από δω και πέρα; </w:t>
      </w:r>
    </w:p>
    <w:p w:rsidR="008753CB" w:rsidRDefault="008753CB" w:rsidP="0086531B">
      <w:pPr>
        <w:spacing w:line="320" w:lineRule="exact"/>
        <w:jc w:val="both"/>
        <w:rPr>
          <w:rFonts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</w:rPr>
        <w:t>ΑΠΟΤΕΛΕΣΜΑΤΑ ΕΦΑΡΜΟΓΗΣ ΣΤΗΝ Α’ ΛΥΚΕΙΟΥ στο ΣΟΥΦΛΙ</w:t>
      </w:r>
    </w:p>
    <w:p w:rsidR="0086531B" w:rsidRPr="007A178D" w:rsidRDefault="008753CB" w:rsidP="0086531B">
      <w:pPr>
        <w:spacing w:line="320" w:lineRule="exact"/>
        <w:jc w:val="both"/>
        <w:rPr>
          <w:rFonts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Ποσοτικά στοιχεία απαντήσεων </w:t>
      </w:r>
      <w:bookmarkStart w:id="0" w:name="_GoBack"/>
      <w:bookmarkEnd w:id="0"/>
      <w:r w:rsidR="0086531B">
        <w:rPr>
          <w:rFonts w:cstheme="minorHAnsi"/>
          <w:b/>
          <w:bCs/>
          <w:iCs/>
          <w:color w:val="000000" w:themeColor="text1"/>
          <w:sz w:val="24"/>
          <w:szCs w:val="24"/>
        </w:rPr>
        <w:t>των μαθητών στο  πρόβλημα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570"/>
        <w:gridCol w:w="1592"/>
        <w:gridCol w:w="1570"/>
        <w:gridCol w:w="1409"/>
      </w:tblGrid>
      <w:tr w:rsidR="0086531B" w:rsidRPr="007A178D" w:rsidTr="0086531B">
        <w:tc>
          <w:tcPr>
            <w:tcW w:w="2155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Ομάδες μαθητών</w:t>
            </w:r>
          </w:p>
        </w:tc>
        <w:tc>
          <w:tcPr>
            <w:tcW w:w="1570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Ενδείξεις κατανόησης του πλαισίου έλλειψη μαθηματικής διαχείρισης</w:t>
            </w:r>
          </w:p>
        </w:tc>
        <w:tc>
          <w:tcPr>
            <w:tcW w:w="1592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Ενδείξεις κατανόησης του πλαισίου και μερική μαθηματική διαχείριση</w:t>
            </w:r>
          </w:p>
        </w:tc>
        <w:tc>
          <w:tcPr>
            <w:tcW w:w="1570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Πλήρης κατανόηση πλαισίου και μαθηματικής διαχείρισης</w:t>
            </w:r>
            <w:r w:rsidRPr="007A178D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Σύνολο</w:t>
            </w:r>
          </w:p>
        </w:tc>
      </w:tr>
      <w:tr w:rsidR="0086531B" w:rsidRPr="007A178D" w:rsidTr="0086531B">
        <w:tc>
          <w:tcPr>
            <w:tcW w:w="2155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vertAlign w:val="subscript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ΓΣΜ</w:t>
            </w: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vertAlign w:val="subscript"/>
              </w:rPr>
              <w:t>Χ</w:t>
            </w:r>
          </w:p>
        </w:tc>
        <w:tc>
          <w:tcPr>
            <w:tcW w:w="1570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2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86531B" w:rsidRPr="007A178D" w:rsidTr="0086531B">
        <w:tc>
          <w:tcPr>
            <w:tcW w:w="2155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vertAlign w:val="subscript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Μ</w:t>
            </w: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vertAlign w:val="subscript"/>
              </w:rPr>
              <w:t>Χ</w:t>
            </w:r>
          </w:p>
        </w:tc>
        <w:tc>
          <w:tcPr>
            <w:tcW w:w="1570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86531B" w:rsidRPr="007A178D" w:rsidTr="0086531B">
        <w:tc>
          <w:tcPr>
            <w:tcW w:w="2155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Σύνολο</w:t>
            </w:r>
          </w:p>
        </w:tc>
        <w:tc>
          <w:tcPr>
            <w:tcW w:w="1570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92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A178D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86531B" w:rsidRPr="007A178D" w:rsidRDefault="0086531B" w:rsidP="002951A1">
            <w:pPr>
              <w:spacing w:line="320" w:lineRule="exact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86531B" w:rsidRPr="007A178D" w:rsidRDefault="0086531B" w:rsidP="0086531B">
      <w:pPr>
        <w:spacing w:line="320" w:lineRule="exact"/>
        <w:jc w:val="both"/>
        <w:rPr>
          <w:rFonts w:cstheme="minorHAnsi"/>
          <w:b/>
          <w:bCs/>
          <w:iCs/>
          <w:color w:val="000000" w:themeColor="text1"/>
          <w:sz w:val="24"/>
          <w:szCs w:val="24"/>
        </w:rPr>
      </w:pPr>
    </w:p>
    <w:p w:rsidR="0086531B" w:rsidRDefault="0086531B" w:rsidP="0086531B">
      <w:pPr>
        <w:spacing w:line="320" w:lineRule="exact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7A178D">
        <w:rPr>
          <w:rFonts w:cstheme="minorHAnsi"/>
          <w:b/>
          <w:bCs/>
          <w:iCs/>
          <w:color w:val="000000" w:themeColor="text1"/>
          <w:sz w:val="24"/>
          <w:szCs w:val="24"/>
        </w:rPr>
        <w:t>Ενδείξεις κατανόησης του πλαισίου έλλειψη μαθηματικής διαχείρισης</w:t>
      </w:r>
    </w:p>
    <w:p w:rsidR="00002272" w:rsidRPr="007A178D" w:rsidRDefault="0086531B" w:rsidP="00002272">
      <w:pPr>
        <w:spacing w:line="320" w:lineRule="exact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7A178D">
        <w:rPr>
          <w:rFonts w:cstheme="minorHAnsi"/>
          <w:iCs/>
          <w:color w:val="000000" w:themeColor="text1"/>
          <w:sz w:val="24"/>
          <w:szCs w:val="24"/>
        </w:rPr>
        <w:t>ΓΣΜ13</w:t>
      </w:r>
      <w:r w:rsidRPr="007A17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002272" w:rsidRPr="007A178D">
        <w:rPr>
          <w:rFonts w:cstheme="minorHAnsi"/>
          <w:iCs/>
          <w:color w:val="000000" w:themeColor="text1"/>
          <w:sz w:val="24"/>
          <w:szCs w:val="24"/>
        </w:rPr>
        <w:t>«</w:t>
      </w:r>
      <w:r w:rsidR="00002272" w:rsidRPr="007A178D">
        <w:rPr>
          <w:rFonts w:cstheme="minorHAnsi"/>
          <w:i/>
          <w:iCs/>
          <w:color w:val="000000" w:themeColor="text1"/>
          <w:sz w:val="24"/>
          <w:szCs w:val="24"/>
        </w:rPr>
        <w:t xml:space="preserve">Για την 5ο στάδιο της ζωής του </w:t>
      </w:r>
      <w:r w:rsidRPr="007A178D">
        <w:rPr>
          <w:rFonts w:cstheme="minorHAnsi"/>
          <w:i/>
          <w:iCs/>
          <w:color w:val="000000" w:themeColor="text1"/>
          <w:sz w:val="24"/>
          <w:szCs w:val="24"/>
        </w:rPr>
        <w:t>μεταξοσκώληκα</w:t>
      </w:r>
      <w:r w:rsidR="00002272" w:rsidRPr="007A178D">
        <w:rPr>
          <w:rFonts w:cstheme="minorHAnsi"/>
          <w:i/>
          <w:iCs/>
          <w:color w:val="000000" w:themeColor="text1"/>
          <w:sz w:val="24"/>
          <w:szCs w:val="24"/>
        </w:rPr>
        <w:t xml:space="preserve"> θα χρειαστεί πολύ πιο συστηματικό τάισμα διότι οι </w:t>
      </w:r>
      <w:r w:rsidRPr="007A178D">
        <w:rPr>
          <w:rFonts w:cstheme="minorHAnsi"/>
          <w:i/>
          <w:iCs/>
          <w:color w:val="000000" w:themeColor="text1"/>
          <w:sz w:val="24"/>
          <w:szCs w:val="24"/>
        </w:rPr>
        <w:t>απαιτήσεις</w:t>
      </w:r>
      <w:r w:rsidR="00002272" w:rsidRPr="007A178D">
        <w:rPr>
          <w:rFonts w:cstheme="minorHAnsi"/>
          <w:i/>
          <w:iCs/>
          <w:color w:val="000000" w:themeColor="text1"/>
          <w:sz w:val="24"/>
          <w:szCs w:val="24"/>
        </w:rPr>
        <w:t xml:space="preserve"> τους σε τροφή είναι πολύ </w:t>
      </w:r>
      <w:r w:rsidR="00002272" w:rsidRPr="007A178D">
        <w:rPr>
          <w:rFonts w:cstheme="minorHAnsi"/>
          <w:i/>
          <w:iCs/>
          <w:color w:val="000000" w:themeColor="text1"/>
          <w:sz w:val="24"/>
          <w:szCs w:val="24"/>
        </w:rPr>
        <w:t>μεγαλύτερες</w:t>
      </w:r>
      <w:r w:rsidR="00002272" w:rsidRPr="007A178D">
        <w:rPr>
          <w:rFonts w:cstheme="minorHAnsi"/>
          <w:i/>
          <w:iCs/>
          <w:color w:val="000000" w:themeColor="text1"/>
          <w:sz w:val="24"/>
          <w:szCs w:val="24"/>
        </w:rPr>
        <w:t xml:space="preserve">. Εάν για κάθε κουτί χρειάζεται 500 κιλά και έχει </w:t>
      </w:r>
      <w:r w:rsidR="00002272" w:rsidRPr="007A178D">
        <w:rPr>
          <w:rFonts w:cstheme="minorHAnsi"/>
          <w:i/>
          <w:iCs/>
          <w:color w:val="000000" w:themeColor="text1"/>
          <w:sz w:val="24"/>
          <w:szCs w:val="24"/>
        </w:rPr>
        <w:t>χρησιμοποιήσει</w:t>
      </w:r>
      <w:r w:rsidR="00002272" w:rsidRPr="007A178D">
        <w:rPr>
          <w:rFonts w:cstheme="minorHAnsi"/>
          <w:i/>
          <w:iCs/>
          <w:color w:val="000000" w:themeColor="text1"/>
          <w:sz w:val="24"/>
          <w:szCs w:val="24"/>
        </w:rPr>
        <w:t xml:space="preserve"> μέχρι τώρα μόνο 92 κιλά φύλλα. Οπότε το τάισμα θα πρέπει να αυξηθεί κατά πολύ». </w:t>
      </w:r>
    </w:p>
    <w:p w:rsidR="0086531B" w:rsidRDefault="0086531B" w:rsidP="0086531B">
      <w:pPr>
        <w:spacing w:line="320" w:lineRule="exact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7A178D">
        <w:rPr>
          <w:rFonts w:cstheme="minorHAnsi"/>
          <w:b/>
          <w:bCs/>
          <w:iCs/>
          <w:color w:val="000000" w:themeColor="text1"/>
          <w:sz w:val="24"/>
          <w:szCs w:val="24"/>
        </w:rPr>
        <w:t>Ενδείξεις κατανόησης του πλαισίου και μερική μαθηματική διαχείριση</w:t>
      </w:r>
    </w:p>
    <w:p w:rsidR="0086531B" w:rsidRPr="007A178D" w:rsidRDefault="0086531B" w:rsidP="0086531B">
      <w:pPr>
        <w:spacing w:line="320" w:lineRule="exact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7A178D">
        <w:rPr>
          <w:rFonts w:cstheme="minorHAnsi"/>
          <w:iCs/>
          <w:color w:val="000000" w:themeColor="text1"/>
          <w:sz w:val="24"/>
          <w:szCs w:val="24"/>
        </w:rPr>
        <w:t>Μ</w:t>
      </w:r>
      <w:r>
        <w:rPr>
          <w:rFonts w:cstheme="minorHAnsi"/>
          <w:iCs/>
          <w:color w:val="000000" w:themeColor="text1"/>
          <w:sz w:val="24"/>
          <w:szCs w:val="24"/>
          <w:vertAlign w:val="subscript"/>
        </w:rPr>
        <w:t>1</w:t>
      </w:r>
      <w:r w:rsidRPr="007A178D">
        <w:rPr>
          <w:rFonts w:cstheme="minorHAnsi"/>
          <w:iCs/>
          <w:color w:val="000000" w:themeColor="text1"/>
          <w:sz w:val="24"/>
          <w:szCs w:val="24"/>
        </w:rPr>
        <w:t>: «</w:t>
      </w:r>
      <w:r w:rsidRPr="007A178D">
        <w:rPr>
          <w:rFonts w:cstheme="minorHAnsi"/>
          <w:i/>
          <w:iCs/>
          <w:color w:val="000000" w:themeColor="text1"/>
          <w:sz w:val="24"/>
          <w:szCs w:val="24"/>
        </w:rPr>
        <w:t>Φαίνεται λοιπόν ότι χρειάζονται πολλά περισσότερα φύλλα για το τελευταίο στάδιο. Ας πούμε 400</w:t>
      </w:r>
      <w:r w:rsidRPr="007A178D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kg</w:t>
      </w:r>
      <w:r w:rsidRPr="007A178D">
        <w:rPr>
          <w:rFonts w:cstheme="minorHAnsi"/>
          <w:i/>
          <w:iCs/>
          <w:color w:val="000000" w:themeColor="text1"/>
          <w:sz w:val="24"/>
          <w:szCs w:val="24"/>
        </w:rPr>
        <w:t xml:space="preserve"> φύλλα για κάθε κουτί ακόμη. Με 70 κουτιά κουκούλια αυτό θα είναι28.000 φύλλα. Καλύτερα να ξεκινήσει να τα μαζεύει από τώρα».</w:t>
      </w:r>
    </w:p>
    <w:p w:rsidR="0086531B" w:rsidRPr="007A178D" w:rsidRDefault="0086531B" w:rsidP="0086531B">
      <w:pPr>
        <w:spacing w:line="320" w:lineRule="exact"/>
        <w:jc w:val="both"/>
        <w:rPr>
          <w:rFonts w:cstheme="minorHAnsi"/>
          <w:b/>
          <w:bCs/>
          <w:iCs/>
          <w:color w:val="000000" w:themeColor="text1"/>
          <w:sz w:val="24"/>
          <w:szCs w:val="24"/>
        </w:rPr>
      </w:pPr>
      <w:r w:rsidRPr="007A178D">
        <w:rPr>
          <w:rFonts w:cstheme="minorHAnsi"/>
          <w:b/>
          <w:bCs/>
          <w:iCs/>
          <w:color w:val="000000" w:themeColor="text1"/>
          <w:sz w:val="24"/>
          <w:szCs w:val="24"/>
        </w:rPr>
        <w:t>Πλήρης κατανόηση πλαισίου και μαθηματικής διαχείρισης</w:t>
      </w:r>
      <w:r w:rsidRPr="007A178D">
        <w:rPr>
          <w:rFonts w:cstheme="minorHAnsi"/>
          <w:iCs/>
          <w:color w:val="000000" w:themeColor="text1"/>
          <w:sz w:val="24"/>
          <w:szCs w:val="24"/>
        </w:rPr>
        <w:t xml:space="preserve"> </w:t>
      </w:r>
    </w:p>
    <w:p w:rsidR="00002272" w:rsidRPr="007A178D" w:rsidRDefault="00002272" w:rsidP="00002272">
      <w:pPr>
        <w:spacing w:line="320" w:lineRule="exact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7A178D">
        <w:rPr>
          <w:rFonts w:cstheme="minorHAnsi"/>
          <w:iCs/>
          <w:color w:val="000000" w:themeColor="text1"/>
          <w:sz w:val="24"/>
          <w:szCs w:val="24"/>
        </w:rPr>
        <w:t>ΓΣΜ</w:t>
      </w:r>
      <w:r w:rsidRPr="007A178D">
        <w:rPr>
          <w:rFonts w:cstheme="minorHAnsi"/>
          <w:iCs/>
          <w:color w:val="000000" w:themeColor="text1"/>
          <w:sz w:val="24"/>
          <w:szCs w:val="24"/>
          <w:vertAlign w:val="subscript"/>
        </w:rPr>
        <w:t xml:space="preserve">2 </w:t>
      </w:r>
      <w:r w:rsidRPr="007A178D">
        <w:rPr>
          <w:rFonts w:cstheme="minorHAnsi"/>
          <w:iCs/>
          <w:color w:val="000000" w:themeColor="text1"/>
          <w:sz w:val="24"/>
          <w:szCs w:val="24"/>
        </w:rPr>
        <w:t>αναφέρει</w:t>
      </w:r>
      <w:r w:rsidRPr="007A178D">
        <w:rPr>
          <w:rFonts w:cstheme="minorHAnsi"/>
          <w:i/>
          <w:iCs/>
          <w:color w:val="000000" w:themeColor="text1"/>
          <w:sz w:val="24"/>
          <w:szCs w:val="24"/>
        </w:rPr>
        <w:t xml:space="preserve">:« 70·500 = 35.000kg          70·92 = 6.440kg           35.000-6.440 = 28.560kg        500-92 = 408kg         </w:t>
      </w:r>
      <w:bookmarkStart w:id="1" w:name="_Hlk46567978"/>
      <w:r w:rsidRPr="007A178D">
        <w:rPr>
          <w:rFonts w:cstheme="minorHAnsi"/>
          <w:i/>
          <w:iCs/>
          <w:color w:val="000000" w:themeColor="text1"/>
          <w:sz w:val="24"/>
          <w:szCs w:val="24"/>
        </w:rPr>
        <w:t>για το 5ο στάδιο της εκτροφής θα χρειαστεί άλλα 28.560kg φύλλα συνολικά, 408kg για κάθε κουτί</w:t>
      </w:r>
      <w:bookmarkStart w:id="2" w:name="_Hlk46567842"/>
      <w:bookmarkEnd w:id="1"/>
      <w:r w:rsidRPr="007A178D">
        <w:rPr>
          <w:rFonts w:cstheme="minorHAnsi"/>
          <w:i/>
          <w:iCs/>
          <w:color w:val="000000" w:themeColor="text1"/>
          <w:sz w:val="24"/>
          <w:szCs w:val="24"/>
        </w:rPr>
        <w:t xml:space="preserve">, άρα θα πρέπει να ταΐζει περισσότερες φορές την ημέρα και μεγαλύτερη ποσότητα». </w:t>
      </w:r>
      <w:bookmarkEnd w:id="2"/>
    </w:p>
    <w:sectPr w:rsidR="00002272" w:rsidRPr="007A1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72"/>
    <w:rsid w:val="00002272"/>
    <w:rsid w:val="0086531B"/>
    <w:rsid w:val="008753CB"/>
    <w:rsid w:val="009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8528-4A60-40CF-B7E4-17A61802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Chr. Triantafillou</dc:creator>
  <cp:keywords/>
  <dc:description/>
  <cp:lastModifiedBy>Chr. Triantafillou</cp:lastModifiedBy>
  <cp:revision>4</cp:revision>
  <dcterms:created xsi:type="dcterms:W3CDTF">2021-03-31T12:14:00Z</dcterms:created>
  <dcterms:modified xsi:type="dcterms:W3CDTF">2021-03-31T12:15:00Z</dcterms:modified>
</cp:coreProperties>
</file>