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9356" w:type="dxa"/>
        <w:tblLayout w:type="fixed"/>
        <w:tblCellMar>
          <w:left w:w="163" w:type="dxa"/>
        </w:tblCellMar>
        <w:tblLook w:val="04A0" w:firstRow="1" w:lastRow="0" w:firstColumn="1" w:lastColumn="0" w:noHBand="0" w:noVBand="1"/>
      </w:tblPr>
      <w:tblGrid>
        <w:gridCol w:w="366"/>
        <w:gridCol w:w="2072"/>
        <w:gridCol w:w="2807"/>
        <w:gridCol w:w="4111"/>
      </w:tblGrid>
      <w:tr w:rsidR="00C825C9" w14:paraId="372169F9" w14:textId="7777777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527F7" w14:textId="77777777" w:rsidR="00C825C9" w:rsidRDefault="00000000">
            <w:pPr>
              <w:widowControl w:val="0"/>
            </w:pPr>
            <w:r>
              <w:rPr>
                <w:noProof/>
                <w:lang w:eastAsia="el-GR"/>
              </w:rPr>
              <w:drawing>
                <wp:inline distT="0" distB="0" distL="0" distR="0" wp14:anchorId="1F17AF62" wp14:editId="6AB00A02">
                  <wp:extent cx="2879725" cy="795655"/>
                  <wp:effectExtent l="0" t="0" r="0" b="0"/>
                  <wp:docPr id="1" name="Picture 2" descr="http://share.uoa.gr/public/Documents/new-logo-2018/bw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http://share.uoa.gr/public/Documents/new-logo-2018/bw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AFFBB" w14:textId="77777777" w:rsidR="00C825C9" w:rsidRDefault="00C825C9">
            <w:pPr>
              <w:widowControl w:val="0"/>
              <w:rPr>
                <w:sz w:val="22"/>
              </w:rPr>
            </w:pPr>
          </w:p>
        </w:tc>
      </w:tr>
      <w:tr w:rsidR="00C825C9" w14:paraId="5D633A74" w14:textId="77777777"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B4269" w14:textId="77777777" w:rsidR="00C825C9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ΓΕΝ. Δ/ΝΣΗ ΕΚΠΑΙΔΕΥΣΗΣ</w:t>
            </w:r>
          </w:p>
          <w:p w14:paraId="375F7E87" w14:textId="77777777" w:rsidR="00C825C9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Δ/ΝΣΗ ΦΟΙΤΗΤΙΚΗΣ ΜΕΡΙΜΝΑΣ</w:t>
            </w:r>
          </w:p>
          <w:p w14:paraId="6585C65A" w14:textId="77777777" w:rsidR="00C825C9" w:rsidRDefault="00000000">
            <w:pPr>
              <w:widowControl w:val="0"/>
              <w:ind w:firstLine="26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ΜΕΓΑΡΟ ΑΝΤ. Φ. ΠΑΠΑΔΑΚΗ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74535" w14:textId="77777777" w:rsidR="00C825C9" w:rsidRDefault="00C825C9">
            <w:pPr>
              <w:widowControl w:val="0"/>
              <w:rPr>
                <w:sz w:val="22"/>
              </w:rPr>
            </w:pPr>
          </w:p>
          <w:p w14:paraId="0FC6EC48" w14:textId="77777777" w:rsidR="00C825C9" w:rsidRDefault="00C825C9">
            <w:pPr>
              <w:widowControl w:val="0"/>
              <w:rPr>
                <w:sz w:val="22"/>
              </w:rPr>
            </w:pPr>
          </w:p>
        </w:tc>
      </w:tr>
      <w:tr w:rsidR="00C825C9" w14:paraId="0EF320C0" w14:textId="77777777">
        <w:trPr>
          <w:trHeight w:val="882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66C1A" w14:textId="77777777" w:rsidR="00C825C9" w:rsidRDefault="00C825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4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DF3DE" w14:textId="77777777" w:rsidR="00C825C9" w:rsidRDefault="00000000">
            <w:pPr>
              <w:widowControl w:val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Τμήμα Σίτισης - Στέγασης</w:t>
            </w:r>
          </w:p>
          <w:p w14:paraId="6AF15DFE" w14:textId="77777777" w:rsidR="00C825C9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Διεύθυνση: Ιπποκράτους 15</w:t>
            </w:r>
          </w:p>
          <w:p w14:paraId="48AFCB04" w14:textId="77777777" w:rsidR="00C825C9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Πληροφορίες: </w:t>
            </w:r>
          </w:p>
          <w:p w14:paraId="1B0C281B" w14:textId="77777777" w:rsidR="00C825C9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Τηλέφωνο: 210 368 8216</w:t>
            </w:r>
          </w:p>
          <w:p w14:paraId="3C6B4A82" w14:textId="77777777" w:rsidR="00C825C9" w:rsidRDefault="0000000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210 368 8253</w:t>
            </w:r>
          </w:p>
          <w:p w14:paraId="7B1627A1" w14:textId="77777777" w:rsidR="00C825C9" w:rsidRDefault="00C825C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B337E" w14:textId="77777777" w:rsidR="00C825C9" w:rsidRDefault="00C825C9">
            <w:pPr>
              <w:widowControl w:val="0"/>
              <w:rPr>
                <w:sz w:val="22"/>
              </w:rPr>
            </w:pPr>
          </w:p>
        </w:tc>
      </w:tr>
      <w:tr w:rsidR="00C825C9" w14:paraId="2EA1D3C4" w14:textId="77777777">
        <w:trPr>
          <w:trHeight w:val="807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C0D2A" w14:textId="77777777" w:rsidR="00C825C9" w:rsidRDefault="00C825C9">
            <w:pPr>
              <w:widowControl w:val="0"/>
              <w:rPr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1CC90" w14:textId="77777777" w:rsidR="00C825C9" w:rsidRDefault="00C825C9">
            <w:pPr>
              <w:widowControl w:val="0"/>
              <w:rPr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19505" w14:textId="77777777" w:rsidR="00C825C9" w:rsidRDefault="00000000">
            <w:pPr>
              <w:widowControl w:val="0"/>
              <w:jc w:val="left"/>
              <w:rPr>
                <w:sz w:val="22"/>
              </w:rPr>
            </w:pPr>
            <w:r>
              <w:rPr>
                <w:sz w:val="22"/>
              </w:rPr>
              <w:t>Αθήνα, 27/</w:t>
            </w:r>
            <w:r>
              <w:rPr>
                <w:sz w:val="22"/>
                <w:lang w:val="en-US"/>
              </w:rPr>
              <w:t>0</w:t>
            </w:r>
            <w:r>
              <w:rPr>
                <w:sz w:val="22"/>
              </w:rPr>
              <w:t>2/</w:t>
            </w:r>
            <w:r>
              <w:rPr>
                <w:sz w:val="22"/>
                <w:lang w:val="en-US"/>
              </w:rPr>
              <w:t>2025</w:t>
            </w:r>
          </w:p>
          <w:p w14:paraId="5ADE9916" w14:textId="77777777" w:rsidR="00C825C9" w:rsidRDefault="00000000">
            <w:pPr>
              <w:widowControl w:val="0"/>
              <w:jc w:val="left"/>
            </w:pPr>
            <w:r>
              <w:rPr>
                <w:sz w:val="22"/>
              </w:rPr>
              <w:t xml:space="preserve">Αρ. Πρωτ.: </w:t>
            </w:r>
          </w:p>
          <w:p w14:paraId="28A3CAA5" w14:textId="77777777" w:rsidR="00C825C9" w:rsidRDefault="00C825C9">
            <w:pPr>
              <w:widowControl w:val="0"/>
              <w:jc w:val="left"/>
              <w:rPr>
                <w:sz w:val="22"/>
              </w:rPr>
            </w:pPr>
          </w:p>
        </w:tc>
      </w:tr>
      <w:tr w:rsidR="00C825C9" w14:paraId="487AF158" w14:textId="77777777">
        <w:trPr>
          <w:trHeight w:val="3689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5C60C" w14:textId="77777777" w:rsidR="00C825C9" w:rsidRDefault="00C825C9">
            <w:pPr>
              <w:widowControl w:val="0"/>
              <w:rPr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B648B" w14:textId="77777777" w:rsidR="00C825C9" w:rsidRDefault="00000000">
            <w:pPr>
              <w:widowControl w:val="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ΠΡΟΣ:</w:t>
            </w:r>
          </w:p>
          <w:p w14:paraId="61DD0C73" w14:textId="77777777" w:rsidR="00C825C9" w:rsidRDefault="00000000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</w:t>
            </w:r>
          </w:p>
          <w:p w14:paraId="78337D74" w14:textId="77777777" w:rsidR="00C825C9" w:rsidRDefault="00C825C9">
            <w:pPr>
              <w:widowControl w:val="0"/>
              <w:jc w:val="right"/>
              <w:rPr>
                <w:b/>
                <w:sz w:val="22"/>
              </w:rPr>
            </w:pPr>
          </w:p>
          <w:p w14:paraId="6A60B7A2" w14:textId="77777777" w:rsidR="00C825C9" w:rsidRDefault="00C825C9">
            <w:pPr>
              <w:widowControl w:val="0"/>
              <w:rPr>
                <w:b/>
                <w:sz w:val="22"/>
              </w:rPr>
            </w:pPr>
          </w:p>
          <w:p w14:paraId="1B71C2A8" w14:textId="77777777" w:rsidR="00C825C9" w:rsidRDefault="00C825C9">
            <w:pPr>
              <w:widowControl w:val="0"/>
              <w:rPr>
                <w:b/>
                <w:sz w:val="22"/>
              </w:rPr>
            </w:pPr>
          </w:p>
          <w:p w14:paraId="764563B8" w14:textId="77777777" w:rsidR="00C825C9" w:rsidRDefault="00C825C9">
            <w:pPr>
              <w:widowControl w:val="0"/>
              <w:rPr>
                <w:b/>
                <w:sz w:val="22"/>
              </w:rPr>
            </w:pPr>
          </w:p>
          <w:p w14:paraId="5F0F8EFD" w14:textId="77777777" w:rsidR="00C825C9" w:rsidRDefault="00C825C9">
            <w:pPr>
              <w:widowControl w:val="0"/>
              <w:rPr>
                <w:b/>
                <w:sz w:val="22"/>
              </w:rPr>
            </w:pPr>
          </w:p>
          <w:p w14:paraId="72ED7791" w14:textId="77777777" w:rsidR="00C825C9" w:rsidRDefault="00C825C9">
            <w:pPr>
              <w:widowControl w:val="0"/>
              <w:rPr>
                <w:b/>
                <w:sz w:val="22"/>
              </w:rPr>
            </w:pPr>
          </w:p>
          <w:p w14:paraId="1B10F8F4" w14:textId="77777777" w:rsidR="00C825C9" w:rsidRDefault="00000000">
            <w:pPr>
              <w:widowControl w:val="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ΚΟΙΝ:</w:t>
            </w:r>
          </w:p>
          <w:p w14:paraId="752B651B" w14:textId="77777777" w:rsidR="00C825C9" w:rsidRDefault="00000000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</w:t>
            </w:r>
          </w:p>
          <w:p w14:paraId="1CD2AD0E" w14:textId="77777777" w:rsidR="00C825C9" w:rsidRDefault="00C825C9">
            <w:pPr>
              <w:widowControl w:val="0"/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5A975" w14:textId="77777777" w:rsidR="00C825C9" w:rsidRDefault="00000000">
            <w:pPr>
              <w:pStyle w:val="ab"/>
              <w:widowControl w:val="0"/>
              <w:numPr>
                <w:ilvl w:val="0"/>
                <w:numId w:val="1"/>
              </w:numPr>
              <w:ind w:left="397"/>
              <w:rPr>
                <w:b/>
                <w:sz w:val="22"/>
              </w:rPr>
            </w:pPr>
            <w:r>
              <w:rPr>
                <w:b/>
                <w:sz w:val="22"/>
              </w:rPr>
              <w:t>Όλες τις Γραμματείες των Σχολών και των Τμημάτων του ΕΚΠΑ (με ευθύνη ανάρτησης στις ιστοσελίδες Σχολών και Τμημάτων)</w:t>
            </w:r>
          </w:p>
          <w:p w14:paraId="6082D042" w14:textId="77777777" w:rsidR="00C825C9" w:rsidRDefault="00000000">
            <w:pPr>
              <w:pStyle w:val="ab"/>
              <w:widowControl w:val="0"/>
              <w:numPr>
                <w:ilvl w:val="0"/>
                <w:numId w:val="1"/>
              </w:numPr>
              <w:ind w:left="39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Τμήμα Φοιτητικής Στήριξης Συγκροτήματος Ευρίπου </w:t>
            </w:r>
          </w:p>
          <w:p w14:paraId="157C5D41" w14:textId="77777777" w:rsidR="00C825C9" w:rsidRDefault="00C825C9">
            <w:pPr>
              <w:pStyle w:val="ab"/>
              <w:widowControl w:val="0"/>
              <w:ind w:left="397"/>
              <w:jc w:val="left"/>
              <w:rPr>
                <w:b/>
                <w:sz w:val="22"/>
              </w:rPr>
            </w:pPr>
          </w:p>
          <w:p w14:paraId="5F1241F4" w14:textId="77777777" w:rsidR="00C825C9" w:rsidRDefault="00000000">
            <w:pPr>
              <w:pStyle w:val="ab"/>
              <w:widowControl w:val="0"/>
              <w:numPr>
                <w:ilvl w:val="0"/>
                <w:numId w:val="2"/>
              </w:numPr>
              <w:ind w:left="39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Αντιπρύτανη </w:t>
            </w:r>
          </w:p>
          <w:p w14:paraId="5A792872" w14:textId="77777777" w:rsidR="00C825C9" w:rsidRDefault="00000000">
            <w:pPr>
              <w:pStyle w:val="ab"/>
              <w:widowControl w:val="0"/>
              <w:ind w:left="39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Διοικητικών Υποθέσεων  Φοιτητικής Μέριμνας &amp;</w:t>
            </w:r>
          </w:p>
          <w:p w14:paraId="75119273" w14:textId="77777777" w:rsidR="00C825C9" w:rsidRDefault="00000000">
            <w:pPr>
              <w:pStyle w:val="ab"/>
              <w:widowControl w:val="0"/>
              <w:ind w:left="39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Δια Βίου Μάθησης</w:t>
            </w:r>
          </w:p>
          <w:p w14:paraId="3E2C3B57" w14:textId="77777777" w:rsidR="00C825C9" w:rsidRDefault="00000000">
            <w:pPr>
              <w:pStyle w:val="ab"/>
              <w:widowControl w:val="0"/>
              <w:numPr>
                <w:ilvl w:val="0"/>
                <w:numId w:val="2"/>
              </w:numPr>
              <w:ind w:left="397"/>
              <w:rPr>
                <w:b/>
                <w:sz w:val="22"/>
              </w:rPr>
            </w:pPr>
            <w:r>
              <w:rPr>
                <w:b/>
                <w:sz w:val="22"/>
              </w:rPr>
              <w:t>Γεν. Δ/νση Εκπαίδευσης</w:t>
            </w:r>
          </w:p>
          <w:p w14:paraId="41ED524B" w14:textId="77777777" w:rsidR="00C825C9" w:rsidRDefault="00C825C9">
            <w:pPr>
              <w:widowControl w:val="0"/>
              <w:ind w:left="37"/>
              <w:jc w:val="left"/>
              <w:rPr>
                <w:b/>
                <w:sz w:val="22"/>
              </w:rPr>
            </w:pPr>
          </w:p>
        </w:tc>
      </w:tr>
    </w:tbl>
    <w:p w14:paraId="2F899E9A" w14:textId="77777777" w:rsidR="00C825C9" w:rsidRDefault="00C825C9">
      <w:pPr>
        <w:rPr>
          <w:szCs w:val="24"/>
        </w:rPr>
      </w:pPr>
    </w:p>
    <w:tbl>
      <w:tblPr>
        <w:tblStyle w:val="a8"/>
        <w:tblW w:w="9355" w:type="dxa"/>
        <w:tblLayout w:type="fixed"/>
        <w:tblCellMar>
          <w:left w:w="168" w:type="dxa"/>
        </w:tblCellMar>
        <w:tblLook w:val="04A0" w:firstRow="1" w:lastRow="0" w:firstColumn="1" w:lastColumn="0" w:noHBand="0" w:noVBand="1"/>
      </w:tblPr>
      <w:tblGrid>
        <w:gridCol w:w="296"/>
        <w:gridCol w:w="1123"/>
        <w:gridCol w:w="7936"/>
      </w:tblGrid>
      <w:tr w:rsidR="00C825C9" w14:paraId="5447F131" w14:textId="77777777"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6476C" w14:textId="77777777" w:rsidR="00C825C9" w:rsidRDefault="00C825C9">
            <w:pPr>
              <w:widowControl w:val="0"/>
              <w:rPr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ECD08" w14:textId="77777777" w:rsidR="00C825C9" w:rsidRDefault="00000000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ΘΕΜΑ:</w:t>
            </w:r>
          </w:p>
          <w:p w14:paraId="194C7ABC" w14:textId="77777777" w:rsidR="00C825C9" w:rsidRDefault="00C825C9">
            <w:pPr>
              <w:widowControl w:val="0"/>
              <w:rPr>
                <w:szCs w:val="24"/>
              </w:rPr>
            </w:pPr>
          </w:p>
          <w:p w14:paraId="260D3512" w14:textId="77777777" w:rsidR="00C825C9" w:rsidRDefault="00C825C9">
            <w:pPr>
              <w:widowControl w:val="0"/>
              <w:rPr>
                <w:szCs w:val="24"/>
              </w:rPr>
            </w:pPr>
          </w:p>
          <w:p w14:paraId="63B9C4E9" w14:textId="77777777" w:rsidR="00C825C9" w:rsidRDefault="00000000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Σχετ: </w:t>
            </w:r>
          </w:p>
        </w:tc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40286" w14:textId="77777777" w:rsidR="00C825C9" w:rsidRDefault="00000000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Νέα περίοδος υποβολής αιτήσεων για τη  σίτιση των φοιτητών (ΠΡΟΠΤΥΧΙΑΚΩΝ -ΜΕΤΑΠΤΥΧΙΑΚΩΝ - ΥΠ. ΔΙΔΑΚΤΟΡΩΝ) για το ακαδημαϊκό έτος 2024 -2025 </w:t>
            </w:r>
          </w:p>
          <w:p w14:paraId="42A1AD64" w14:textId="77777777" w:rsidR="00C825C9" w:rsidRDefault="00000000">
            <w:pPr>
              <w:rPr>
                <w:szCs w:val="24"/>
              </w:rPr>
            </w:pPr>
            <w:r>
              <w:rPr>
                <w:szCs w:val="24"/>
              </w:rPr>
              <w:t>Τα υπ’ αριθ. 78501/14-8-2024, 100187/01-10-2024</w:t>
            </w:r>
            <w:r>
              <w:rPr>
                <w:szCs w:val="24"/>
                <w:lang w:val="en-US"/>
              </w:rPr>
              <w:t>, 115904/31-1</w:t>
            </w:r>
            <w:r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>-2024, 134618/10-12-2024</w:t>
            </w:r>
            <w:r>
              <w:rPr>
                <w:szCs w:val="24"/>
              </w:rPr>
              <w:t>, 2679/13-01-2025 έγγραφα του τμήματος Σίτισης - Στέγασης</w:t>
            </w:r>
          </w:p>
          <w:p w14:paraId="4F859F95" w14:textId="77777777" w:rsidR="00C825C9" w:rsidRDefault="00C825C9">
            <w:pPr>
              <w:ind w:leftChars="-100" w:left="-240"/>
              <w:rPr>
                <w:szCs w:val="24"/>
              </w:rPr>
            </w:pPr>
          </w:p>
        </w:tc>
      </w:tr>
    </w:tbl>
    <w:p w14:paraId="66FCCB60" w14:textId="77777777" w:rsidR="00C825C9" w:rsidRDefault="0000000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0B131545" w14:textId="77777777" w:rsidR="00C825C9" w:rsidRDefault="00000000">
      <w:pPr>
        <w:ind w:firstLine="720"/>
        <w:rPr>
          <w:b/>
          <w:bCs/>
          <w:color w:val="000000"/>
          <w:szCs w:val="24"/>
        </w:rPr>
      </w:pPr>
      <w:r>
        <w:rPr>
          <w:color w:val="000000"/>
          <w:szCs w:val="24"/>
        </w:rPr>
        <w:t xml:space="preserve">Σε συνέχεια των παραπάνω σχετικών εγγράφων ανακοινώνεται ότι οι ηλεκτρονικές αιτήσεις που αφορούν στην παροχή δωρεάν σίτισης </w:t>
      </w:r>
      <w:r>
        <w:rPr>
          <w:b/>
          <w:bCs/>
          <w:color w:val="000000"/>
          <w:szCs w:val="24"/>
        </w:rPr>
        <w:t>για το ακαδημαϊκό έτος 2024 -2025, θα υποβάλλονται από Τρίτη 04</w:t>
      </w:r>
      <w:r>
        <w:rPr>
          <w:b/>
          <w:bCs/>
          <w:color w:val="000000"/>
          <w:szCs w:val="24"/>
          <w:lang w:val="en-US"/>
        </w:rPr>
        <w:t>/0</w:t>
      </w:r>
      <w:r>
        <w:rPr>
          <w:b/>
          <w:bCs/>
          <w:color w:val="000000"/>
          <w:szCs w:val="24"/>
        </w:rPr>
        <w:t>3/202</w:t>
      </w:r>
      <w:r>
        <w:rPr>
          <w:b/>
          <w:bCs/>
          <w:color w:val="000000"/>
          <w:szCs w:val="24"/>
          <w:lang w:val="en-US"/>
        </w:rPr>
        <w:t>5</w:t>
      </w:r>
      <w:r>
        <w:rPr>
          <w:b/>
          <w:bCs/>
          <w:color w:val="000000"/>
          <w:szCs w:val="24"/>
        </w:rPr>
        <w:t xml:space="preserve"> έως και Παρασκευή 04/04</w:t>
      </w:r>
      <w:r>
        <w:rPr>
          <w:b/>
          <w:bCs/>
          <w:color w:val="000000"/>
          <w:szCs w:val="24"/>
          <w:lang w:val="en-US"/>
        </w:rPr>
        <w:t>/2025</w:t>
      </w:r>
      <w:r>
        <w:rPr>
          <w:b/>
          <w:bCs/>
          <w:color w:val="000000"/>
          <w:szCs w:val="24"/>
        </w:rPr>
        <w:t xml:space="preserve">. </w:t>
      </w:r>
    </w:p>
    <w:p w14:paraId="7623A10D" w14:textId="77777777" w:rsidR="00C825C9" w:rsidRDefault="00C825C9">
      <w:pPr>
        <w:rPr>
          <w:b/>
          <w:bCs/>
          <w:color w:val="000000"/>
          <w:szCs w:val="24"/>
          <w:u w:val="single"/>
        </w:rPr>
      </w:pPr>
    </w:p>
    <w:p w14:paraId="4FE65746" w14:textId="77777777" w:rsidR="00C825C9" w:rsidRDefault="00000000">
      <w:pPr>
        <w:rPr>
          <w:color w:val="000000"/>
          <w:szCs w:val="24"/>
        </w:rPr>
      </w:pPr>
      <w:r>
        <w:rPr>
          <w:b/>
          <w:bCs/>
          <w:color w:val="000000"/>
          <w:szCs w:val="24"/>
          <w:u w:val="single"/>
        </w:rPr>
        <w:t xml:space="preserve">Οι προπτυχιακοί και μεταπτυχιακοί φοιτητές </w:t>
      </w:r>
      <w:r>
        <w:rPr>
          <w:color w:val="000000"/>
          <w:szCs w:val="24"/>
        </w:rPr>
        <w:t xml:space="preserve">υποβάλλουν την αίτησή τους, μέσω της ηλεκτρονικής εφαρμογής στην ιστοσελίδα </w:t>
      </w:r>
      <w:r>
        <w:rPr>
          <w:b/>
          <w:bCs/>
          <w:color w:val="000000"/>
          <w:szCs w:val="24"/>
          <w:lang w:val="en-US"/>
        </w:rPr>
        <w:t>sitisi.uoa.gr</w:t>
      </w:r>
      <w:r>
        <w:rPr>
          <w:color w:val="000000"/>
          <w:szCs w:val="24"/>
        </w:rPr>
        <w:t xml:space="preserve"> </w:t>
      </w:r>
    </w:p>
    <w:p w14:paraId="52AEF377" w14:textId="77777777" w:rsidR="00C825C9" w:rsidRDefault="00C825C9">
      <w:pPr>
        <w:rPr>
          <w:color w:val="000000"/>
          <w:szCs w:val="24"/>
          <w:lang w:val="en-US"/>
        </w:rPr>
      </w:pPr>
    </w:p>
    <w:p w14:paraId="1CBF10AC" w14:textId="77777777" w:rsidR="00C825C9" w:rsidRDefault="00000000">
      <w:pPr>
        <w:rPr>
          <w:color w:val="000000"/>
          <w:szCs w:val="24"/>
        </w:rPr>
      </w:pPr>
      <w:r>
        <w:rPr>
          <w:b/>
          <w:bCs/>
          <w:color w:val="000000"/>
          <w:szCs w:val="24"/>
          <w:u w:val="single"/>
        </w:rPr>
        <w:t>Οι υποψήφιοι διδάκτορες</w:t>
      </w:r>
      <w:r>
        <w:rPr>
          <w:color w:val="000000"/>
          <w:szCs w:val="24"/>
        </w:rPr>
        <w:t xml:space="preserve"> υποβάλλουν την αίτησή τους στο </w:t>
      </w:r>
      <w:r>
        <w:rPr>
          <w:b/>
          <w:bCs/>
          <w:color w:val="000000"/>
          <w:szCs w:val="24"/>
          <w:lang w:val="en-US"/>
        </w:rPr>
        <w:t>eprotocol.uoa.gr</w:t>
      </w:r>
      <w:r>
        <w:rPr>
          <w:color w:val="000000"/>
          <w:szCs w:val="24"/>
        </w:rPr>
        <w:tab/>
      </w:r>
    </w:p>
    <w:p w14:paraId="68EF544C" w14:textId="77777777" w:rsidR="00C825C9" w:rsidRDefault="00C825C9">
      <w:pPr>
        <w:rPr>
          <w:color w:val="000000"/>
          <w:szCs w:val="24"/>
        </w:rPr>
      </w:pPr>
    </w:p>
    <w:p w14:paraId="4081E231" w14:textId="77777777" w:rsidR="00C825C9" w:rsidRDefault="00000000">
      <w:pPr>
        <w:rPr>
          <w:color w:val="000000"/>
          <w:szCs w:val="24"/>
        </w:rPr>
      </w:pPr>
      <w:r>
        <w:rPr>
          <w:color w:val="000000"/>
          <w:szCs w:val="24"/>
        </w:rPr>
        <w:t xml:space="preserve">Η διαδικασία υποβολής καθώς και τα απαραίτητα δικαιολογητικά παραμένουν ως έχουν. </w:t>
      </w:r>
    </w:p>
    <w:p w14:paraId="51CF51EF" w14:textId="77777777" w:rsidR="00C825C9" w:rsidRDefault="00C825C9">
      <w:pPr>
        <w:rPr>
          <w:color w:val="000000"/>
          <w:szCs w:val="24"/>
        </w:rPr>
      </w:pPr>
    </w:p>
    <w:p w14:paraId="19871964" w14:textId="77777777" w:rsidR="00C825C9" w:rsidRDefault="00000000">
      <w:pPr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Παρακαλούνται πολύ οι μεταπτυχιακοί φοιτητές που αντιμετωπίζουν πρόβλημα κατά την είσοδό τους στην εφαρμογή </w:t>
      </w:r>
      <w:r>
        <w:rPr>
          <w:b/>
          <w:bCs/>
          <w:color w:val="000000"/>
          <w:szCs w:val="24"/>
          <w:lang w:val="en-US"/>
        </w:rPr>
        <w:t>sitisi.uoa.gr</w:t>
      </w:r>
      <w:r>
        <w:rPr>
          <w:b/>
          <w:bCs/>
          <w:color w:val="000000"/>
          <w:szCs w:val="24"/>
        </w:rPr>
        <w:t xml:space="preserve"> όπως επικοινωνήσουν με τη γραμματεία του ΠΜΣ για να επιβεβαιώσουν ότι το </w:t>
      </w:r>
      <w:r>
        <w:rPr>
          <w:b/>
          <w:bCs/>
          <w:color w:val="000000"/>
          <w:szCs w:val="24"/>
          <w:lang w:val="en-US"/>
        </w:rPr>
        <w:t xml:space="preserve">username </w:t>
      </w:r>
      <w:r>
        <w:rPr>
          <w:b/>
          <w:bCs/>
          <w:color w:val="000000"/>
          <w:szCs w:val="24"/>
        </w:rPr>
        <w:t>τους έχει εισαχθεί στο φοιτητολόγιο. Μόνο τότε έχουν τη δυνατότητα υποβολής της αίτησης.</w:t>
      </w:r>
    </w:p>
    <w:p w14:paraId="6EE5C374" w14:textId="77777777" w:rsidR="00C825C9" w:rsidRDefault="00C825C9">
      <w:pPr>
        <w:rPr>
          <w:b/>
          <w:color w:val="000000"/>
          <w:szCs w:val="24"/>
          <w:u w:val="single"/>
        </w:rPr>
      </w:pPr>
    </w:p>
    <w:p w14:paraId="7F8826D5" w14:textId="77777777" w:rsidR="00C825C9" w:rsidRDefault="00000000">
      <w:pPr>
        <w:suppressAutoHyphens w:val="0"/>
        <w:ind w:firstLine="72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  <w:u w:val="single"/>
        </w:rPr>
        <w:t>ΠΡΟΣΟΧΗ</w:t>
      </w:r>
      <w:r>
        <w:rPr>
          <w:b/>
          <w:bCs/>
          <w:color w:val="000000"/>
          <w:szCs w:val="24"/>
        </w:rPr>
        <w:t xml:space="preserve">! </w:t>
      </w:r>
    </w:p>
    <w:p w14:paraId="2546B696" w14:textId="77777777" w:rsidR="00C825C9" w:rsidRDefault="00C825C9">
      <w:pPr>
        <w:suppressAutoHyphens w:val="0"/>
        <w:ind w:firstLine="720"/>
        <w:rPr>
          <w:b/>
          <w:bCs/>
          <w:color w:val="000000"/>
          <w:szCs w:val="24"/>
        </w:rPr>
      </w:pPr>
    </w:p>
    <w:p w14:paraId="24D7600D" w14:textId="77777777" w:rsidR="00C825C9" w:rsidRDefault="00000000">
      <w:pPr>
        <w:suppressAutoHyphens w:val="0"/>
        <w:ind w:firstLine="72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Είναι απαραίτητο να υποβληθεί η αίτηση </w:t>
      </w:r>
      <w:r>
        <w:rPr>
          <w:bCs/>
          <w:color w:val="000000"/>
          <w:szCs w:val="24"/>
        </w:rPr>
        <w:t>για να ενεργοποιηθεί η διαδικασία επεξεργασίας της από την αρμόδια υπηρεσία (κατάσταση αίτησης</w:t>
      </w:r>
      <w:r>
        <w:rPr>
          <w:b/>
          <w:bCs/>
          <w:color w:val="000000"/>
          <w:szCs w:val="24"/>
        </w:rPr>
        <w:t xml:space="preserve">: «Οριστικοποιημένο από φοιτητή») Αιτήσεις που παραμένουν σε κατάσταση «Πρόχειρο» </w:t>
      </w:r>
      <w:r>
        <w:rPr>
          <w:bCs/>
          <w:color w:val="000000"/>
          <w:szCs w:val="24"/>
        </w:rPr>
        <w:t>και δεν έχουν υποβληθεί εντός των καθορισμένων ημερομηνιών</w:t>
      </w:r>
      <w:r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  <w:u w:val="single"/>
        </w:rPr>
        <w:t>δεν λαμβάνονται υπόψη</w:t>
      </w:r>
      <w:r>
        <w:rPr>
          <w:b/>
          <w:bCs/>
          <w:color w:val="000000"/>
          <w:szCs w:val="24"/>
        </w:rPr>
        <w:t xml:space="preserve">. </w:t>
      </w:r>
    </w:p>
    <w:p w14:paraId="758C981A" w14:textId="77777777" w:rsidR="00C825C9" w:rsidRDefault="00000000">
      <w:pPr>
        <w:suppressAutoHyphens w:val="0"/>
        <w:ind w:firstLine="720"/>
        <w:rPr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Oι </w:t>
      </w:r>
      <w:r>
        <w:rPr>
          <w:b/>
          <w:bCs/>
        </w:rPr>
        <w:t xml:space="preserve">προπτυχιακοί / μεταπτυχιακοί </w:t>
      </w:r>
      <w:r>
        <w:rPr>
          <w:color w:val="000000"/>
          <w:szCs w:val="24"/>
        </w:rPr>
        <w:t>φοιτητές/τριες που υποβάλουν  αίτηση  μπορούν να</w:t>
      </w:r>
      <w:r>
        <w:rPr>
          <w:b/>
          <w:bCs/>
          <w:color w:val="000000"/>
          <w:szCs w:val="24"/>
        </w:rPr>
        <w:t xml:space="preserve"> παρακολουθούν την εξέλιξη της αίτησής τους και το αποτέλεσμα αξιολόγησης</w:t>
      </w:r>
      <w:r>
        <w:rPr>
          <w:color w:val="000000"/>
          <w:szCs w:val="24"/>
        </w:rPr>
        <w:t xml:space="preserve">, εισερχόμενοι εκ νέου στην ηλεκτρονική πλατφόρμα του Τμήματος Σίτισης στη σελίδα sitisi.uoa.gr με τους κωδικούς του ιδρυματικού τους λογαριασμού. Οι φοιτητές/τριες των οποίων οι αιτήσεις βρίσκονται σε κατάσταση </w:t>
      </w:r>
      <w:r>
        <w:rPr>
          <w:b/>
          <w:bCs/>
          <w:color w:val="000000"/>
          <w:szCs w:val="24"/>
        </w:rPr>
        <w:t>«Εγκρίθηκε»</w:t>
      </w:r>
      <w:r>
        <w:rPr>
          <w:color w:val="000000"/>
          <w:szCs w:val="24"/>
        </w:rPr>
        <w:t xml:space="preserve">, μπορούν να σιτίζονται δωρεάν στα φοιτητικά εστιατόρια του ΕΚΠΑ στην περιοχή των Αθηνών και στα Ψαχνά Ευβοίας για το ακαδημαϊκό έτος 2024-2025 </w:t>
      </w:r>
      <w:r>
        <w:rPr>
          <w:b/>
          <w:bCs/>
          <w:color w:val="000000"/>
          <w:szCs w:val="24"/>
        </w:rPr>
        <w:t xml:space="preserve">με επίδειξη της ακαδημαϊκής τους ταυτότητας </w:t>
      </w:r>
      <w:r>
        <w:rPr>
          <w:color w:val="000000"/>
          <w:szCs w:val="24"/>
        </w:rPr>
        <w:t>η οποία και θα σαρώνεται από αναγνώστη γραμμωτού κώδικα, ο οποίος είναι εγκατεστημένος στα ταμεία των φοιτητικών εστιατορίων.</w:t>
      </w:r>
    </w:p>
    <w:p w14:paraId="2DB4254B" w14:textId="77777777" w:rsidR="00C825C9" w:rsidRDefault="00000000">
      <w:pPr>
        <w:suppressAutoHyphens w:val="0"/>
        <w:ind w:firstLine="72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Στην περίπτωση που ζητηθεί διόρθωση/προσθήκη δικαιολογητικών (κατάσταση αίτησης: «Επανυποβολή με δικαιολογητικά σε ηλεκτρονική μορφή») θα πρέπει οι φοιτητές να προβούν σε άμεση διόρθωση της αίτησης επισυνάπτοντας τα απαιτούμενα δικαιολογητικά, να κάνουν προεπισκόπηση της αίτησης και στη συνέχεια ΥΠΟΒΟΛΗ.</w:t>
      </w:r>
    </w:p>
    <w:p w14:paraId="73076DDC" w14:textId="77777777" w:rsidR="00C825C9" w:rsidRDefault="00000000">
      <w:pPr>
        <w:suppressAutoHyphens w:val="0"/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Οι αιτούντες </w:t>
      </w:r>
      <w:r>
        <w:rPr>
          <w:b/>
          <w:bCs/>
          <w:color w:val="000000"/>
          <w:szCs w:val="24"/>
        </w:rPr>
        <w:t>υποψήφιοι διδάκτορες</w:t>
      </w:r>
      <w:r>
        <w:rPr>
          <w:color w:val="000000"/>
          <w:szCs w:val="24"/>
        </w:rPr>
        <w:t xml:space="preserve"> καλούνται όπως παρακολουθούν στην περιοχή "Ανακοινώσεις και Εκδηλώσεις" της ιστοσελίδας της Φοιτητικής Μέριμνας, καταστάσεις με τα στοιχεία των φοιτητών των οποίων οι αιτήσεις εγκρίθηκαν.</w:t>
      </w:r>
    </w:p>
    <w:p w14:paraId="7F0E72ED" w14:textId="77777777" w:rsidR="00C825C9" w:rsidRDefault="00C825C9">
      <w:pPr>
        <w:suppressAutoHyphens w:val="0"/>
        <w:ind w:firstLine="720"/>
        <w:rPr>
          <w:color w:val="000000"/>
          <w:szCs w:val="24"/>
        </w:rPr>
      </w:pPr>
    </w:p>
    <w:p w14:paraId="685BDE6A" w14:textId="77777777" w:rsidR="00C825C9" w:rsidRDefault="00000000">
      <w:pPr>
        <w:suppressAutoHyphens w:val="0"/>
        <w:ind w:firstLine="720"/>
        <w:rPr>
          <w:bCs/>
          <w:color w:val="000000"/>
          <w:szCs w:val="24"/>
        </w:rPr>
      </w:pPr>
      <w:r>
        <w:rPr>
          <w:b/>
          <w:bCs/>
          <w:noProof/>
          <w:color w:val="000000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7CCC89" wp14:editId="14BF8D7F">
                <wp:simplePos x="0" y="0"/>
                <wp:positionH relativeFrom="margin">
                  <wp:posOffset>2952750</wp:posOffset>
                </wp:positionH>
                <wp:positionV relativeFrom="paragraph">
                  <wp:posOffset>151765</wp:posOffset>
                </wp:positionV>
                <wp:extent cx="2962275" cy="1390650"/>
                <wp:effectExtent l="0" t="0" r="9525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5A0E90D" w14:textId="77777777" w:rsidR="00C825C9" w:rsidRDefault="00C825C9">
                            <w:pPr>
                              <w:jc w:val="center"/>
                            </w:pPr>
                          </w:p>
                          <w:p w14:paraId="59196486" w14:textId="77777777" w:rsidR="00C825C9" w:rsidRDefault="00000000">
                            <w:pPr>
                              <w:jc w:val="center"/>
                            </w:pPr>
                            <w:r>
                              <w:t xml:space="preserve">Η Προϊσταμένη </w:t>
                            </w:r>
                          </w:p>
                          <w:p w14:paraId="3E32497D" w14:textId="77777777" w:rsidR="00C825C9" w:rsidRDefault="00C825C9"/>
                          <w:p w14:paraId="2A3A0DF6" w14:textId="77777777" w:rsidR="00C825C9" w:rsidRDefault="00C825C9"/>
                          <w:p w14:paraId="10367022" w14:textId="77777777" w:rsidR="00C825C9" w:rsidRDefault="00C825C9"/>
                          <w:p w14:paraId="1378930F" w14:textId="77777777" w:rsidR="00C825C9" w:rsidRDefault="00000000">
                            <w:pPr>
                              <w:jc w:val="center"/>
                            </w:pPr>
                            <w:r>
                              <w:t>Μαριάννα Μπεκέ</w:t>
                            </w:r>
                          </w:p>
                          <w:p w14:paraId="13AE5D99" w14:textId="77777777" w:rsidR="00C825C9" w:rsidRDefault="00C825C9"/>
                          <w:p w14:paraId="2349846F" w14:textId="77777777" w:rsidR="00C825C9" w:rsidRDefault="00C825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7CCC8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32.5pt;margin-top:11.95pt;width:233.25pt;height:109.5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" stroked="f">
                <v:textbox>
                  <w:txbxContent>
                    <w:p w14:paraId="15A0E90D" w14:textId="77777777" w:rsidR="00C825C9" w:rsidRDefault="00C825C9">
                      <w:pPr>
                        <w:jc w:val="center"/>
                      </w:pPr>
                    </w:p>
                    <w:p w14:paraId="59196486" w14:textId="77777777" w:rsidR="00C825C9" w:rsidRDefault="00000000">
                      <w:pPr>
                        <w:jc w:val="center"/>
                      </w:pPr>
                      <w:r>
                        <w:t xml:space="preserve">Η Προϊσταμένη </w:t>
                      </w:r>
                    </w:p>
                    <w:p w14:paraId="3E32497D" w14:textId="77777777" w:rsidR="00C825C9" w:rsidRDefault="00C825C9"/>
                    <w:p w14:paraId="2A3A0DF6" w14:textId="77777777" w:rsidR="00C825C9" w:rsidRDefault="00C825C9"/>
                    <w:p w14:paraId="10367022" w14:textId="77777777" w:rsidR="00C825C9" w:rsidRDefault="00C825C9"/>
                    <w:p w14:paraId="1378930F" w14:textId="77777777" w:rsidR="00C825C9" w:rsidRDefault="00000000">
                      <w:pPr>
                        <w:jc w:val="center"/>
                      </w:pPr>
                      <w:r>
                        <w:t>Μαριάννα Μπεκέ</w:t>
                      </w:r>
                    </w:p>
                    <w:p w14:paraId="13AE5D99" w14:textId="77777777" w:rsidR="00C825C9" w:rsidRDefault="00C825C9"/>
                    <w:p w14:paraId="2349846F" w14:textId="77777777" w:rsidR="00C825C9" w:rsidRDefault="00C825C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Cs/>
          <w:color w:val="000000"/>
          <w:szCs w:val="24"/>
        </w:rPr>
        <w:tab/>
      </w:r>
    </w:p>
    <w:p w14:paraId="27706D23" w14:textId="77777777" w:rsidR="00C825C9" w:rsidRDefault="00000000">
      <w:pPr>
        <w:suppressAutoHyphens w:val="0"/>
        <w:ind w:firstLine="72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ab/>
        <w:t xml:space="preserve"> </w:t>
      </w:r>
    </w:p>
    <w:sectPr w:rsidR="00C825C9">
      <w:pgSz w:w="11906" w:h="16838"/>
      <w:pgMar w:top="1418" w:right="1226" w:bottom="780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A1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14185"/>
    <w:multiLevelType w:val="multilevel"/>
    <w:tmpl w:val="28714185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5D5A7F96"/>
    <w:multiLevelType w:val="multilevel"/>
    <w:tmpl w:val="5D5A7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5316929">
    <w:abstractNumId w:val="1"/>
  </w:num>
  <w:num w:numId="2" w16cid:durableId="42423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56"/>
    <w:rsid w:val="00005470"/>
    <w:rsid w:val="00040AE6"/>
    <w:rsid w:val="000D515F"/>
    <w:rsid w:val="00163F44"/>
    <w:rsid w:val="002043C0"/>
    <w:rsid w:val="003114AB"/>
    <w:rsid w:val="00365BF3"/>
    <w:rsid w:val="00371853"/>
    <w:rsid w:val="00455256"/>
    <w:rsid w:val="00487ADC"/>
    <w:rsid w:val="0049053C"/>
    <w:rsid w:val="00491021"/>
    <w:rsid w:val="004B0C15"/>
    <w:rsid w:val="00532FE4"/>
    <w:rsid w:val="0054789D"/>
    <w:rsid w:val="00612A96"/>
    <w:rsid w:val="0067558A"/>
    <w:rsid w:val="006E2DE5"/>
    <w:rsid w:val="006E540F"/>
    <w:rsid w:val="006F0A75"/>
    <w:rsid w:val="00740BD0"/>
    <w:rsid w:val="00753485"/>
    <w:rsid w:val="00793467"/>
    <w:rsid w:val="00815488"/>
    <w:rsid w:val="008B2942"/>
    <w:rsid w:val="008B5D00"/>
    <w:rsid w:val="008D66C2"/>
    <w:rsid w:val="00950AAC"/>
    <w:rsid w:val="009B4282"/>
    <w:rsid w:val="009F61C8"/>
    <w:rsid w:val="00A001E8"/>
    <w:rsid w:val="00A365A5"/>
    <w:rsid w:val="00A81F49"/>
    <w:rsid w:val="00AC77BB"/>
    <w:rsid w:val="00AD5678"/>
    <w:rsid w:val="00AE60FB"/>
    <w:rsid w:val="00B4533C"/>
    <w:rsid w:val="00BE2566"/>
    <w:rsid w:val="00BF427E"/>
    <w:rsid w:val="00C71AD5"/>
    <w:rsid w:val="00C81C3B"/>
    <w:rsid w:val="00C825C9"/>
    <w:rsid w:val="00CA3264"/>
    <w:rsid w:val="00CC356B"/>
    <w:rsid w:val="00CD6A19"/>
    <w:rsid w:val="00D24D36"/>
    <w:rsid w:val="00D25517"/>
    <w:rsid w:val="00D75972"/>
    <w:rsid w:val="00E32429"/>
    <w:rsid w:val="00EA7473"/>
    <w:rsid w:val="00EB6904"/>
    <w:rsid w:val="00ED492B"/>
    <w:rsid w:val="00F53E9D"/>
    <w:rsid w:val="00F600CF"/>
    <w:rsid w:val="00FA3C14"/>
    <w:rsid w:val="00FC0E8D"/>
    <w:rsid w:val="042D55F9"/>
    <w:rsid w:val="06355BAD"/>
    <w:rsid w:val="0BA32BBF"/>
    <w:rsid w:val="0E524DAC"/>
    <w:rsid w:val="143D23CD"/>
    <w:rsid w:val="23601B01"/>
    <w:rsid w:val="37233E03"/>
    <w:rsid w:val="38253B1D"/>
    <w:rsid w:val="42330D55"/>
    <w:rsid w:val="45C42933"/>
    <w:rsid w:val="45E33D01"/>
    <w:rsid w:val="55964552"/>
    <w:rsid w:val="621F2AFA"/>
    <w:rsid w:val="62420A5A"/>
    <w:rsid w:val="6DCB4BDF"/>
    <w:rsid w:val="76A5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7780FD5"/>
  <w15:docId w15:val="{87BD0E92-B670-4518-BC20-60653F94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  <w:rPr>
      <w:rFonts w:ascii="Katsoulidis" w:eastAsiaTheme="minorHAnsi" w:hAnsi="Katsoulidis" w:cstheme="minorBid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6">
    <w:name w:val="footnote text"/>
    <w:basedOn w:val="a"/>
    <w:link w:val="Char0"/>
    <w:uiPriority w:val="99"/>
    <w:semiHidden/>
    <w:unhideWhenUsed/>
    <w:rPr>
      <w:sz w:val="20"/>
      <w:szCs w:val="20"/>
    </w:rPr>
  </w:style>
  <w:style w:type="character" w:styleId="-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7">
    <w:name w:val="List"/>
    <w:basedOn w:val="a4"/>
    <w:qFormat/>
    <w:rPr>
      <w:rFonts w:cs="Arial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Symbol"/>
      <w:sz w:val="20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Symbol"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  <w:sz w:val="20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customStyle="1" w:styleId="a9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a">
    <w:name w:val="Ευρετήριο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Char0">
    <w:name w:val="Κείμενο υποσημείωσης Char"/>
    <w:basedOn w:val="a0"/>
    <w:link w:val="a6"/>
    <w:uiPriority w:val="99"/>
    <w:semiHidden/>
    <w:qFormat/>
    <w:rPr>
      <w:szCs w:val="20"/>
    </w:rPr>
  </w:style>
  <w:style w:type="character" w:customStyle="1" w:styleId="emailstyle15">
    <w:name w:val="emailstyle15"/>
    <w:qFormat/>
    <w:rPr>
      <w:rFonts w:ascii="Calibri" w:eastAsia="Calibri" w:hAnsi="Calibri" w:cs="Times New Roman"/>
      <w:color w:val="auto"/>
      <w:sz w:val="22"/>
      <w:szCs w:val="22"/>
    </w:rPr>
  </w:style>
  <w:style w:type="table" w:customStyle="1" w:styleId="1">
    <w:name w:val="Κανονικός πίνακας1"/>
    <w:semiHidden/>
    <w:qFormat/>
    <w:rPr>
      <w:rFonts w:ascii="Calibri" w:hAnsi="Calibri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2747</Characters>
  <Application>Microsoft Office Word</Application>
  <DocSecurity>0</DocSecurity>
  <Lines>22</Lines>
  <Paragraphs>6</Paragraphs>
  <ScaleCrop>false</ScaleCrop>
  <Company>National and Kapodistrian University of Athens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Larios</dc:creator>
  <cp:lastModifiedBy>Giannis Drosos</cp:lastModifiedBy>
  <cp:revision>2</cp:revision>
  <cp:lastPrinted>2023-10-13T06:14:00Z</cp:lastPrinted>
  <dcterms:created xsi:type="dcterms:W3CDTF">2025-03-04T07:25:00Z</dcterms:created>
  <dcterms:modified xsi:type="dcterms:W3CDTF">2025-03-04T07:25:00Z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National and Kapodistrian University of Athens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1033-12.2.0.19805</vt:lpwstr>
  </property>
  <property fmtid="{D5CDD505-2E9C-101B-9397-08002B2CF9AE}" pid="10" name="ICV">
    <vt:lpwstr>B503174F6815458D999CA8CD63AC6C3B_13</vt:lpwstr>
  </property>
</Properties>
</file>