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D7" w:rsidRDefault="002B3DD7" w:rsidP="002B3DD7">
      <w:pPr>
        <w:rPr>
          <w:b/>
          <w:sz w:val="28"/>
          <w:szCs w:val="28"/>
          <w:u w:val="single"/>
        </w:rPr>
      </w:pPr>
      <w:r w:rsidRPr="002B3DD7">
        <w:rPr>
          <w:b/>
          <w:sz w:val="28"/>
          <w:szCs w:val="28"/>
          <w:u w:val="single"/>
        </w:rPr>
        <w:t>Στοιχεία από θεωρητικά συγγράμματα του</w:t>
      </w:r>
      <w:r w:rsidR="00637027" w:rsidRPr="00637027">
        <w:rPr>
          <w:b/>
          <w:sz w:val="28"/>
          <w:szCs w:val="28"/>
          <w:u w:val="single"/>
        </w:rPr>
        <w:t xml:space="preserve"> </w:t>
      </w:r>
      <w:r w:rsidR="00637027">
        <w:rPr>
          <w:b/>
          <w:sz w:val="28"/>
          <w:szCs w:val="28"/>
          <w:u w:val="single"/>
        </w:rPr>
        <w:t xml:space="preserve">13ου και </w:t>
      </w:r>
      <w:r w:rsidR="00637027" w:rsidRPr="005F3C07">
        <w:rPr>
          <w:b/>
          <w:i/>
          <w:sz w:val="28"/>
          <w:szCs w:val="28"/>
          <w:u w:val="single"/>
        </w:rPr>
        <w:t>κυρίως</w:t>
      </w:r>
      <w:r w:rsidRPr="002B3DD7">
        <w:rPr>
          <w:b/>
          <w:sz w:val="28"/>
          <w:szCs w:val="28"/>
          <w:u w:val="single"/>
        </w:rPr>
        <w:t xml:space="preserve"> </w:t>
      </w:r>
      <w:r w:rsidR="00637027">
        <w:rPr>
          <w:b/>
          <w:sz w:val="28"/>
          <w:szCs w:val="28"/>
          <w:u w:val="single"/>
        </w:rPr>
        <w:t xml:space="preserve">του </w:t>
      </w:r>
      <w:r w:rsidRPr="002B3DD7">
        <w:rPr>
          <w:b/>
          <w:sz w:val="28"/>
          <w:szCs w:val="28"/>
          <w:u w:val="single"/>
        </w:rPr>
        <w:t>14ου αιώνα</w:t>
      </w:r>
      <w:r w:rsidR="008615D2">
        <w:rPr>
          <w:b/>
          <w:sz w:val="28"/>
          <w:szCs w:val="28"/>
          <w:u w:val="single"/>
        </w:rPr>
        <w:t>. Κανόνες διαδοχής διαστημάτων – η “αναζήτηση του τέλους”: τα πρώτα πτωτικά σχήματα</w:t>
      </w:r>
    </w:p>
    <w:p w:rsidR="002B3DD7" w:rsidRDefault="002B3DD7" w:rsidP="002B3DD7">
      <w:pPr>
        <w:rPr>
          <w:b/>
          <w:sz w:val="28"/>
          <w:szCs w:val="28"/>
          <w:u w:val="single"/>
        </w:rPr>
      </w:pPr>
    </w:p>
    <w:p w:rsidR="002B3DD7" w:rsidRPr="002B3DD7" w:rsidRDefault="002B3DD7" w:rsidP="002B3DD7">
      <w:pPr>
        <w:rPr>
          <w:b/>
          <w:sz w:val="28"/>
          <w:szCs w:val="28"/>
          <w:u w:val="single"/>
        </w:rPr>
      </w:pPr>
    </w:p>
    <w:p w:rsidR="00DD6A65" w:rsidRDefault="00B07847" w:rsidP="00DD6A65">
      <w:pPr>
        <w:pStyle w:val="a3"/>
        <w:numPr>
          <w:ilvl w:val="0"/>
          <w:numId w:val="1"/>
        </w:numPr>
      </w:pPr>
      <w:r w:rsidRPr="00B07847">
        <w:rPr>
          <w:b/>
          <w:u w:val="single"/>
        </w:rPr>
        <w:t>Διάκριση τέλειων και ατελών συμφωνιών</w:t>
      </w:r>
      <w:r>
        <w:t xml:space="preserve">: γίνεται </w:t>
      </w:r>
      <w:r w:rsidR="00003206">
        <w:t xml:space="preserve">για πρώτη φορά </w:t>
      </w:r>
      <w:r>
        <w:t xml:space="preserve">στο σύγγραμμα </w:t>
      </w:r>
      <w:r w:rsidRPr="00B07847">
        <w:rPr>
          <w:i/>
          <w:lang w:val="en-US"/>
        </w:rPr>
        <w:t>De</w:t>
      </w:r>
      <w:r w:rsidRPr="00B07847">
        <w:rPr>
          <w:i/>
        </w:rPr>
        <w:t xml:space="preserve"> </w:t>
      </w:r>
      <w:r w:rsidRPr="00B07847">
        <w:rPr>
          <w:i/>
          <w:lang w:val="en-US"/>
        </w:rPr>
        <w:t>mensurabili</w:t>
      </w:r>
      <w:r w:rsidRPr="00B07847">
        <w:rPr>
          <w:i/>
        </w:rPr>
        <w:t xml:space="preserve"> </w:t>
      </w:r>
      <w:r w:rsidRPr="00B07847">
        <w:rPr>
          <w:i/>
          <w:lang w:val="en-US"/>
        </w:rPr>
        <w:t>musica</w:t>
      </w:r>
      <w:r>
        <w:t xml:space="preserve"> που αποδίδεται  στον </w:t>
      </w:r>
      <w:r w:rsidRPr="00B07847">
        <w:rPr>
          <w:lang w:val="en-US"/>
        </w:rPr>
        <w:t>Johannes</w:t>
      </w:r>
      <w:r w:rsidRPr="00B07847">
        <w:t xml:space="preserve"> </w:t>
      </w:r>
      <w:r w:rsidRPr="00B07847">
        <w:rPr>
          <w:lang w:val="en-US"/>
        </w:rPr>
        <w:t>de</w:t>
      </w:r>
      <w:r w:rsidRPr="00B07847">
        <w:t xml:space="preserve"> </w:t>
      </w:r>
      <w:r w:rsidRPr="00B07847">
        <w:rPr>
          <w:lang w:val="en-US"/>
        </w:rPr>
        <w:t>Garlandia</w:t>
      </w:r>
      <w:r w:rsidR="00003206">
        <w:t xml:space="preserve"> (;)</w:t>
      </w:r>
      <w:r>
        <w:t>,</w:t>
      </w:r>
      <w:r w:rsidRPr="00B07847">
        <w:t xml:space="preserve"> </w:t>
      </w:r>
      <w:r>
        <w:t>στο δεύτερο μισό του 13</w:t>
      </w:r>
      <w:r w:rsidRPr="00B07847">
        <w:rPr>
          <w:vertAlign w:val="superscript"/>
        </w:rPr>
        <w:t>ου</w:t>
      </w:r>
      <w:r>
        <w:t xml:space="preserve"> αιώνα. Η καθαρή 4η συγκαταλέγεται ακόμα στα σύμφωνα διαστήματα.</w:t>
      </w:r>
      <w:r w:rsidR="00637027" w:rsidRPr="00637027">
        <w:t xml:space="preserve"> </w:t>
      </w:r>
      <w:r w:rsidR="00637027" w:rsidRPr="00C90B31">
        <w:t xml:space="preserve">Βρισκόμαστε ήδη σε μία εποχή κατά την οποία οι θεωρητικές </w:t>
      </w:r>
      <w:r w:rsidR="00637027" w:rsidRPr="00DD6A65">
        <w:rPr>
          <w:b/>
          <w:i/>
        </w:rPr>
        <w:t xml:space="preserve">πραγματείες </w:t>
      </w:r>
      <w:r w:rsidR="00637027" w:rsidRPr="00637027">
        <w:rPr>
          <w:b/>
          <w:i/>
        </w:rPr>
        <w:t>discant</w:t>
      </w:r>
      <w:r w:rsidR="00637027" w:rsidRPr="00637027">
        <w:rPr>
          <w:i/>
        </w:rPr>
        <w:t xml:space="preserve"> </w:t>
      </w:r>
      <w:r w:rsidR="00637027" w:rsidRPr="00C90B31">
        <w:t>επιχειρούσαν να κατατάξουν και να συστηματοποιήσουν τις επιτρεπόμενες διαστηματικές σχέσεις</w:t>
      </w:r>
      <w:r w:rsidR="00637027">
        <w:t xml:space="preserve"> ανάμεσα σε έναν τενόρο και μία</w:t>
      </w:r>
      <w:r w:rsidR="00637027" w:rsidRPr="00C90B31">
        <w:t xml:space="preserve"> προστιθέμενη σε αυτόν ψηλότερη φωνή (duplum).</w:t>
      </w:r>
      <w:r w:rsidR="00DD6A65">
        <w:t xml:space="preserve"> Οι </w:t>
      </w:r>
      <w:r w:rsidR="00DD6A65" w:rsidRPr="00DD6A65">
        <w:rPr>
          <w:b/>
          <w:i/>
        </w:rPr>
        <w:t xml:space="preserve">πραγματείες </w:t>
      </w:r>
      <w:r w:rsidR="00DD6A65" w:rsidRPr="00DD6A65">
        <w:rPr>
          <w:b/>
          <w:i/>
          <w:lang w:val="en-US"/>
        </w:rPr>
        <w:t>discant</w:t>
      </w:r>
      <w:r w:rsidR="00DD6A65" w:rsidRPr="00DD6A65">
        <w:t xml:space="preserve"> </w:t>
      </w:r>
      <w:r w:rsidR="00DD6A65">
        <w:t xml:space="preserve">παρουσιάζουν, δηλαδή, </w:t>
      </w:r>
      <w:r w:rsidR="00DD6A65" w:rsidRPr="00C90B31">
        <w:t>ένα σύστημα διδασκαλίας της δίφωνης σύνθεσης</w:t>
      </w:r>
      <w:r w:rsidR="00DD6A65">
        <w:t xml:space="preserve">, δείχνουν </w:t>
      </w:r>
      <w:r w:rsidR="00DD6A65" w:rsidRPr="00C90B31">
        <w:t>πώς μπορεί να συνδυάσει κανείς έναν (</w:t>
      </w:r>
      <w:r w:rsidR="00DD6A65" w:rsidRPr="00C90B31">
        <w:rPr>
          <w:i/>
        </w:rPr>
        <w:t>και μόνον έναν</w:t>
      </w:r>
      <w:r w:rsidR="00DD6A65" w:rsidRPr="00C90B31">
        <w:t xml:space="preserve">) φθόγγο με κάθε φθόγγο μιας </w:t>
      </w:r>
      <w:r w:rsidR="00DD6A65">
        <w:t>(άλλης)</w:t>
      </w:r>
      <w:r w:rsidR="00DD6A65" w:rsidRPr="00C90B31">
        <w:t xml:space="preserve"> </w:t>
      </w:r>
      <w:r w:rsidR="00DD6A65">
        <w:t>δεδομένης μελωδικής γραμμής.</w:t>
      </w:r>
    </w:p>
    <w:p w:rsidR="00DD6A65" w:rsidRDefault="00DD6A65" w:rsidP="00DD6A65">
      <w:pPr>
        <w:pStyle w:val="a3"/>
      </w:pPr>
    </w:p>
    <w:p w:rsidR="00B07847" w:rsidRPr="002C3AD3" w:rsidRDefault="00DD6A65" w:rsidP="00B07847">
      <w:pPr>
        <w:pStyle w:val="a3"/>
        <w:numPr>
          <w:ilvl w:val="0"/>
          <w:numId w:val="1"/>
        </w:numPr>
      </w:pPr>
      <w:r>
        <w:t xml:space="preserve">Σταδιακά, ο όρος </w:t>
      </w:r>
      <w:r w:rsidRPr="00DD6A65">
        <w:rPr>
          <w:b/>
          <w:i/>
          <w:lang w:val="en-US"/>
        </w:rPr>
        <w:t>discant</w:t>
      </w:r>
      <w:r w:rsidRPr="00DD6A65">
        <w:t xml:space="preserve"> </w:t>
      </w:r>
      <w:r>
        <w:t xml:space="preserve">αντικαθίσταται από τον όρο </w:t>
      </w:r>
      <w:r w:rsidRPr="00DD6A65">
        <w:rPr>
          <w:b/>
          <w:i/>
          <w:lang w:val="en-US"/>
        </w:rPr>
        <w:t>contrapunctus</w:t>
      </w:r>
      <w:r w:rsidRPr="00DD6A65">
        <w:t xml:space="preserve">. </w:t>
      </w:r>
      <w:r w:rsidR="00BD76D0">
        <w:t>Η π</w:t>
      </w:r>
      <w:r w:rsidR="00637027">
        <w:t>ρώτη πραγματεία που εισάγει τον όρο “Αντίστιξη”</w:t>
      </w:r>
      <w:r w:rsidR="00D42BAB">
        <w:t xml:space="preserve"> (</w:t>
      </w:r>
      <w:r w:rsidR="00D42BAB">
        <w:rPr>
          <w:lang w:val="en-US"/>
        </w:rPr>
        <w:t>Contrapunctus</w:t>
      </w:r>
      <w:r w:rsidR="00D42BAB" w:rsidRPr="00D42BAB">
        <w:t>)</w:t>
      </w:r>
      <w:r w:rsidR="00D42BAB">
        <w:t xml:space="preserve"> εμφανίζεται πιθανώς στη δεκαετία του 1320 </w:t>
      </w:r>
      <w:r w:rsidR="00637027">
        <w:t xml:space="preserve">(ανώνυμου) και είναι γνωστή ως </w:t>
      </w:r>
      <w:r w:rsidR="00D42BAB" w:rsidRPr="00D42BAB">
        <w:rPr>
          <w:i/>
          <w:lang w:val="en-US"/>
        </w:rPr>
        <w:t>Volentibus</w:t>
      </w:r>
      <w:r w:rsidR="00D42BAB" w:rsidRPr="00D42BAB">
        <w:rPr>
          <w:i/>
        </w:rPr>
        <w:t xml:space="preserve"> </w:t>
      </w:r>
      <w:r w:rsidR="00D42BAB" w:rsidRPr="00D42BAB">
        <w:rPr>
          <w:i/>
          <w:lang w:val="en-US"/>
        </w:rPr>
        <w:t>Introduci</w:t>
      </w:r>
      <w:r w:rsidR="00637027">
        <w:t xml:space="preserve"> από την αρχική φράση της: «Volentibus</w:t>
      </w:r>
      <w:r w:rsidR="00637027" w:rsidRPr="00060911">
        <w:t xml:space="preserve"> </w:t>
      </w:r>
      <w:r w:rsidR="00637027">
        <w:t>introduci</w:t>
      </w:r>
      <w:r w:rsidR="00637027" w:rsidRPr="00060911">
        <w:t xml:space="preserve"> </w:t>
      </w:r>
      <w:r w:rsidR="00637027">
        <w:t>in</w:t>
      </w:r>
      <w:r w:rsidR="00637027" w:rsidRPr="00060911">
        <w:t xml:space="preserve"> </w:t>
      </w:r>
      <w:r w:rsidR="00637027">
        <w:t>arte</w:t>
      </w:r>
      <w:r w:rsidR="00637027" w:rsidRPr="00060911">
        <w:t xml:space="preserve"> </w:t>
      </w:r>
      <w:r w:rsidR="00637027">
        <w:t>contrapunctus</w:t>
      </w:r>
      <w:r w:rsidR="00637027" w:rsidRPr="00060911">
        <w:t xml:space="preserve">, </w:t>
      </w:r>
      <w:r w:rsidR="00637027">
        <w:t>id</w:t>
      </w:r>
      <w:r w:rsidR="00637027" w:rsidRPr="00060911">
        <w:t xml:space="preserve"> </w:t>
      </w:r>
      <w:r w:rsidR="00637027">
        <w:t>est</w:t>
      </w:r>
      <w:r w:rsidR="00637027" w:rsidRPr="00060911">
        <w:t xml:space="preserve"> </w:t>
      </w:r>
      <w:r w:rsidR="00637027">
        <w:t>notam</w:t>
      </w:r>
      <w:r w:rsidR="00637027" w:rsidRPr="00060911">
        <w:t xml:space="preserve"> </w:t>
      </w:r>
      <w:r w:rsidR="00637027">
        <w:t>contra</w:t>
      </w:r>
      <w:r w:rsidR="00637027" w:rsidRPr="00060911">
        <w:t xml:space="preserve"> </w:t>
      </w:r>
      <w:r w:rsidR="00637027">
        <w:t>notam</w:t>
      </w:r>
      <w:r w:rsidR="00637027" w:rsidRPr="00060911">
        <w:t>…</w:t>
      </w:r>
      <w:r w:rsidR="00637027">
        <w:t>» («Εάν επιθυμεί κανείς να γνωρίσει την τέχνη της αντίστιξης, δηλαδή τον φθόγγο έναντι φθόγγου…»)</w:t>
      </w:r>
      <w:r w:rsidR="00D42BAB">
        <w:t>.</w:t>
      </w:r>
      <w:r w:rsidRPr="00DD6A65">
        <w:t xml:space="preserve"> </w:t>
      </w:r>
      <w:r w:rsidRPr="00C90B31">
        <w:t xml:space="preserve">Οι θεωρητικές πραγματείες που καταγράφουν τους αποδεκτούς όρους συνήχησης δύο φωνών θα αρχίσουν να παρουσιάζονται πλέον </w:t>
      </w:r>
      <w:r>
        <w:t xml:space="preserve">ως </w:t>
      </w:r>
      <w:r w:rsidRPr="00DD6A65">
        <w:rPr>
          <w:b/>
          <w:i/>
        </w:rPr>
        <w:t>πραγματείες αντίστιξης</w:t>
      </w:r>
      <w:r w:rsidRPr="00DD6A65">
        <w:t xml:space="preserve">. </w:t>
      </w:r>
    </w:p>
    <w:p w:rsidR="002C3AD3" w:rsidRDefault="002C3AD3" w:rsidP="002C3AD3">
      <w:pPr>
        <w:pStyle w:val="a3"/>
      </w:pPr>
    </w:p>
    <w:p w:rsidR="002C3AD3" w:rsidRDefault="002C3AD3" w:rsidP="002C3AD3">
      <w:pPr>
        <w:pStyle w:val="a3"/>
      </w:pPr>
    </w:p>
    <w:p w:rsidR="00D42BAB" w:rsidRPr="005F3C07" w:rsidRDefault="002C3AD3" w:rsidP="005F3C07">
      <w:pPr>
        <w:pStyle w:val="a3"/>
        <w:numPr>
          <w:ilvl w:val="0"/>
          <w:numId w:val="1"/>
        </w:numPr>
        <w:rPr>
          <w:b/>
        </w:rPr>
      </w:pPr>
      <w:r>
        <w:t xml:space="preserve">Οι </w:t>
      </w:r>
      <w:r w:rsidRPr="002C3AD3">
        <w:rPr>
          <w:b/>
          <w:i/>
        </w:rPr>
        <w:t>πραγματείες αντίστιξης</w:t>
      </w:r>
      <w:r>
        <w:t xml:space="preserve">, όπως και οι προγενέστερες </w:t>
      </w:r>
      <w:r w:rsidRPr="002C3AD3">
        <w:rPr>
          <w:b/>
          <w:i/>
        </w:rPr>
        <w:t xml:space="preserve">πραγματείες </w:t>
      </w:r>
      <w:r w:rsidRPr="002C3AD3">
        <w:rPr>
          <w:b/>
          <w:i/>
          <w:lang w:val="en-US"/>
        </w:rPr>
        <w:t>discant</w:t>
      </w:r>
      <w:r w:rsidRPr="002C3AD3">
        <w:t xml:space="preserve"> </w:t>
      </w:r>
      <w:r w:rsidRPr="00C90B31">
        <w:t xml:space="preserve">κατηγοριοποιούν τις διάφορες συνηχήσεις και καταγράφουν </w:t>
      </w:r>
      <w:r>
        <w:t>“</w:t>
      </w:r>
      <w:r w:rsidRPr="00C90B31">
        <w:t>κανόνες</w:t>
      </w:r>
      <w:r>
        <w:t>”</w:t>
      </w:r>
      <w:r w:rsidRPr="00C90B31">
        <w:t xml:space="preserve"> διαδοχής τους.</w:t>
      </w:r>
      <w:r w:rsidRPr="002C3AD3">
        <w:t xml:space="preserve"> </w:t>
      </w:r>
      <w:r w:rsidR="00FD0100">
        <w:t xml:space="preserve">Μια τυπική πραγματεία </w:t>
      </w:r>
      <w:r w:rsidR="00FD0100">
        <w:rPr>
          <w:lang w:val="en-US"/>
        </w:rPr>
        <w:t>Contrapunctus</w:t>
      </w:r>
      <w:r w:rsidR="00FD0100" w:rsidRPr="00FD0100">
        <w:t xml:space="preserve"> </w:t>
      </w:r>
      <w:r w:rsidR="00FD0100">
        <w:t>του 14</w:t>
      </w:r>
      <w:r w:rsidR="00FD0100" w:rsidRPr="00FD0100">
        <w:rPr>
          <w:vertAlign w:val="superscript"/>
        </w:rPr>
        <w:t>ου</w:t>
      </w:r>
      <w:r w:rsidR="00FD0100">
        <w:t xml:space="preserve"> αιώνα περιλαμβάνει (κατ’ ελάχιστον): </w:t>
      </w:r>
      <w:r w:rsidR="00FD0100" w:rsidRPr="00FD0100">
        <w:rPr>
          <w:b/>
        </w:rPr>
        <w:t>1)</w:t>
      </w:r>
      <w:r w:rsidR="00FD0100">
        <w:t xml:space="preserve"> </w:t>
      </w:r>
      <w:r>
        <w:t xml:space="preserve">την </w:t>
      </w:r>
      <w:r w:rsidR="00FD0100">
        <w:t>κατάταξη των συμφωνιών σε τέλ</w:t>
      </w:r>
      <w:r w:rsidR="005F3C07">
        <w:t>ειες και ατελείς (σταδιακά, η 4η</w:t>
      </w:r>
      <w:r w:rsidR="00FD0100">
        <w:t xml:space="preserve"> καθαρή συγκαταλέγεται πλέον στις διαφωνίες</w:t>
      </w:r>
      <w:r w:rsidR="005F3C07" w:rsidRPr="005F3C07">
        <w:t xml:space="preserve">, </w:t>
      </w:r>
      <w:r w:rsidR="005F3C07">
        <w:t xml:space="preserve">ενώ οι </w:t>
      </w:r>
      <w:r w:rsidR="00380382" w:rsidRPr="00380382">
        <w:t>3</w:t>
      </w:r>
      <w:r w:rsidR="005F3C07">
        <w:t xml:space="preserve">ες και </w:t>
      </w:r>
      <w:r w:rsidR="00380382" w:rsidRPr="00380382">
        <w:t>6</w:t>
      </w:r>
      <w:r w:rsidR="005F3C07">
        <w:t>ες στις ατελείς συμφωνίες</w:t>
      </w:r>
      <w:r w:rsidR="00FD0100">
        <w:t xml:space="preserve">), </w:t>
      </w:r>
      <w:r w:rsidR="00FD0100" w:rsidRPr="005F3C07">
        <w:rPr>
          <w:b/>
        </w:rPr>
        <w:t>2)</w:t>
      </w:r>
      <w:r w:rsidR="00FD0100">
        <w:t xml:space="preserve"> </w:t>
      </w:r>
      <w:r>
        <w:t xml:space="preserve">την </w:t>
      </w:r>
      <w:r w:rsidR="00FD0100">
        <w:t xml:space="preserve">περιγραφή της σωστής “λύσης” μιας ατελούς συμφωνίας στην πλησιέστερη τέλεια συμφωνία, και </w:t>
      </w:r>
      <w:r w:rsidR="00FD0100" w:rsidRPr="005F3C07">
        <w:rPr>
          <w:b/>
        </w:rPr>
        <w:t>3)</w:t>
      </w:r>
      <w:r w:rsidR="00FD0100">
        <w:t xml:space="preserve"> ορισμένους βασικούς κανόνες για τη δίφωνη σύνθεση, όπως </w:t>
      </w:r>
      <w:r>
        <w:t xml:space="preserve">η </w:t>
      </w:r>
      <w:r w:rsidR="00FD0100">
        <w:t xml:space="preserve">απαγόρευση </w:t>
      </w:r>
      <w:r>
        <w:t xml:space="preserve">της </w:t>
      </w:r>
      <w:r w:rsidR="00FD0100">
        <w:t>παράλληλης κίνησης τέλειων σύμφωνων διαστημάτων (5</w:t>
      </w:r>
      <w:r w:rsidR="00FD0100" w:rsidRPr="005F3C07">
        <w:rPr>
          <w:vertAlign w:val="superscript"/>
        </w:rPr>
        <w:t>ες</w:t>
      </w:r>
      <w:r w:rsidR="00FD0100">
        <w:t>, 8</w:t>
      </w:r>
      <w:r w:rsidR="00FD0100" w:rsidRPr="005F3C07">
        <w:rPr>
          <w:vertAlign w:val="superscript"/>
        </w:rPr>
        <w:t>ες</w:t>
      </w:r>
      <w:r w:rsidR="008E1468">
        <w:t xml:space="preserve"> παράλληλες)</w:t>
      </w:r>
      <w:r w:rsidR="008E1468" w:rsidRPr="008E1468">
        <w:t xml:space="preserve">, </w:t>
      </w:r>
      <w:r w:rsidR="008E1468">
        <w:t>οι</w:t>
      </w:r>
      <w:r w:rsidR="005A0A3C">
        <w:t xml:space="preserve"> περιορισμοί στον αριθμό των διαδοχικών ατελών συμφωνιών (3</w:t>
      </w:r>
      <w:r w:rsidR="005A0A3C" w:rsidRPr="005F3C07">
        <w:rPr>
          <w:vertAlign w:val="superscript"/>
        </w:rPr>
        <w:t>ες</w:t>
      </w:r>
      <w:r w:rsidR="005A0A3C">
        <w:t>, 6</w:t>
      </w:r>
      <w:r w:rsidR="005A0A3C" w:rsidRPr="005F3C07">
        <w:rPr>
          <w:vertAlign w:val="superscript"/>
        </w:rPr>
        <w:t>ες</w:t>
      </w:r>
      <w:r w:rsidR="005A0A3C">
        <w:t>)</w:t>
      </w:r>
      <w:r w:rsidR="008E1468">
        <w:t>, η απαγόρευση χρήσης του τριτόνου (</w:t>
      </w:r>
      <w:r w:rsidR="008E1468" w:rsidRPr="008E1468">
        <w:rPr>
          <w:i/>
          <w:lang w:val="en-US"/>
        </w:rPr>
        <w:t>mi</w:t>
      </w:r>
      <w:r w:rsidR="008E1468" w:rsidRPr="008E1468">
        <w:rPr>
          <w:i/>
        </w:rPr>
        <w:t xml:space="preserve"> </w:t>
      </w:r>
      <w:r w:rsidR="008E1468" w:rsidRPr="008E1468">
        <w:rPr>
          <w:i/>
          <w:lang w:val="en-US"/>
        </w:rPr>
        <w:t>contra</w:t>
      </w:r>
      <w:r w:rsidR="008E1468" w:rsidRPr="008E1468">
        <w:rPr>
          <w:i/>
        </w:rPr>
        <w:t xml:space="preserve"> </w:t>
      </w:r>
      <w:r w:rsidR="008E1468" w:rsidRPr="008E1468">
        <w:rPr>
          <w:i/>
          <w:lang w:val="en-US"/>
        </w:rPr>
        <w:t>fa</w:t>
      </w:r>
      <w:r w:rsidR="008E1468" w:rsidRPr="008E1468">
        <w:t xml:space="preserve">), </w:t>
      </w:r>
      <w:r w:rsidR="008E1468">
        <w:t>κ.λπ</w:t>
      </w:r>
      <w:r w:rsidR="005A0A3C">
        <w:t>.</w:t>
      </w:r>
    </w:p>
    <w:p w:rsidR="002C3AD3" w:rsidRDefault="002C3AD3" w:rsidP="002C3AD3">
      <w:pPr>
        <w:pStyle w:val="a3"/>
        <w:rPr>
          <w:b/>
        </w:rPr>
      </w:pPr>
    </w:p>
    <w:p w:rsidR="002C3AD3" w:rsidRDefault="002C3AD3" w:rsidP="002C3AD3">
      <w:pPr>
        <w:pStyle w:val="a3"/>
        <w:rPr>
          <w:b/>
        </w:rPr>
      </w:pPr>
    </w:p>
    <w:p w:rsidR="002C3AD3" w:rsidRPr="005A0A3C" w:rsidRDefault="002C3AD3" w:rsidP="002C3AD3">
      <w:pPr>
        <w:pStyle w:val="a3"/>
        <w:rPr>
          <w:b/>
        </w:rPr>
      </w:pPr>
    </w:p>
    <w:p w:rsidR="008615D2" w:rsidRPr="008615D2" w:rsidRDefault="00003206" w:rsidP="00BD76D0">
      <w:pPr>
        <w:pStyle w:val="a3"/>
        <w:numPr>
          <w:ilvl w:val="0"/>
          <w:numId w:val="1"/>
        </w:numPr>
        <w:rPr>
          <w:b/>
        </w:rPr>
      </w:pPr>
      <w:r>
        <w:lastRenderedPageBreak/>
        <w:t xml:space="preserve">Ως πιο ισχυρές διαστηματικές διαδοχές θεωρούνται </w:t>
      </w:r>
      <w:r w:rsidR="007C3B9B">
        <w:t xml:space="preserve">από τους θεωρητικούς της εποχής </w:t>
      </w:r>
      <w:r>
        <w:t xml:space="preserve">αυτές που οδηγούν από μια ατελή </w:t>
      </w:r>
      <w:r w:rsidR="008E1468">
        <w:t xml:space="preserve">(3η, 6η) </w:t>
      </w:r>
      <w:r>
        <w:t xml:space="preserve">προς μια </w:t>
      </w:r>
      <w:r w:rsidR="00BD76D0">
        <w:t xml:space="preserve">τέλεια </w:t>
      </w:r>
      <w:r w:rsidR="008E1468">
        <w:t xml:space="preserve">(8η, ταυτοφωνία, 5η) </w:t>
      </w:r>
      <w:r w:rsidR="00BD76D0">
        <w:t xml:space="preserve">συμφωνία. </w:t>
      </w:r>
      <w:r w:rsidR="007C3B9B">
        <w:t>Όπως γράφουν</w:t>
      </w:r>
      <w:r w:rsidR="007C3B9B" w:rsidRPr="008E1468">
        <w:t xml:space="preserve"> </w:t>
      </w:r>
      <w:r w:rsidR="007C3B9B">
        <w:t>ορισμένοι από αυτούς:</w:t>
      </w:r>
    </w:p>
    <w:p w:rsidR="008615D2" w:rsidRDefault="008615D2" w:rsidP="008615D2">
      <w:pPr>
        <w:pStyle w:val="a3"/>
        <w:rPr>
          <w:b/>
        </w:rPr>
      </w:pPr>
    </w:p>
    <w:p w:rsidR="007C3B9B" w:rsidRPr="00C90B31" w:rsidRDefault="007C3B9B" w:rsidP="007C3B9B">
      <w:pPr>
        <w:tabs>
          <w:tab w:val="left" w:pos="720"/>
        </w:tabs>
        <w:spacing w:line="360" w:lineRule="auto"/>
        <w:ind w:left="720"/>
        <w:rPr>
          <w:sz w:val="20"/>
          <w:szCs w:val="20"/>
        </w:rPr>
      </w:pPr>
      <w:r w:rsidRPr="00C90B31">
        <w:rPr>
          <w:sz w:val="20"/>
          <w:szCs w:val="20"/>
        </w:rPr>
        <w:t>… το τέλειο δεν κατευθύνεται φυσιολογικά προς το ατελές … ούτε επιδεικνύει τάση προς αυτό, αλλά μάλλον το αντίθετο συμβαίνει.</w:t>
      </w:r>
      <w:r w:rsidRPr="00C90B31">
        <w:rPr>
          <w:rStyle w:val="a5"/>
          <w:sz w:val="20"/>
          <w:szCs w:val="20"/>
        </w:rPr>
        <w:footnoteReference w:id="1"/>
      </w:r>
      <w:r w:rsidRPr="00C90B31">
        <w:rPr>
          <w:sz w:val="20"/>
          <w:szCs w:val="20"/>
        </w:rPr>
        <w:t xml:space="preserve"> </w:t>
      </w:r>
    </w:p>
    <w:p w:rsidR="007C3B9B" w:rsidRPr="00C90B31" w:rsidRDefault="007C3B9B" w:rsidP="007C3B9B">
      <w:pPr>
        <w:spacing w:line="360" w:lineRule="auto"/>
        <w:ind w:left="720"/>
      </w:pPr>
      <w:r w:rsidRPr="00C90B31">
        <w:t xml:space="preserve">… </w:t>
      </w:r>
      <w:r w:rsidRPr="00C90B31">
        <w:rPr>
          <w:sz w:val="20"/>
          <w:szCs w:val="20"/>
        </w:rPr>
        <w:t>μία διαφωνία είναι ένα ατελές πράγμα που αναζητά ένα τέλειο πράγμα μέσω του οποίου μπορεί να τελειοποιηθεί. Μία συμφωνία αποτελεί την τελειοποίησή του.</w:t>
      </w:r>
      <w:r w:rsidRPr="00C90B31">
        <w:rPr>
          <w:rStyle w:val="a5"/>
          <w:sz w:val="20"/>
          <w:szCs w:val="20"/>
        </w:rPr>
        <w:footnoteReference w:id="2"/>
      </w:r>
    </w:p>
    <w:p w:rsidR="007C3B9B" w:rsidRPr="007C3B9B" w:rsidRDefault="007C3B9B" w:rsidP="007C3B9B">
      <w:pPr>
        <w:spacing w:line="360" w:lineRule="auto"/>
        <w:ind w:left="720"/>
      </w:pPr>
      <w:r w:rsidRPr="00C90B31">
        <w:rPr>
          <w:sz w:val="20"/>
          <w:szCs w:val="20"/>
        </w:rPr>
        <w:t xml:space="preserve">... τρία από αυτά τα διαστήματα [ταυτοφωνία, 8η καθαρή, 5η καθαρή] είναι τέλειες συμφωνίες και δεν έχουν την τάση ούτε να ανέβουν ούτε να κατέβουν … όλα τα υπόλοιπα διαστήματα, δηλαδή η μικρή και η μεγάλη τρίτη καθώς και η μεγάλη έκτη είναι ατελείς συμφωνίες διότι </w:t>
      </w:r>
      <w:r w:rsidRPr="00C90B31">
        <w:rPr>
          <w:i/>
          <w:sz w:val="20"/>
          <w:szCs w:val="20"/>
        </w:rPr>
        <w:t>έχουν την τάση να ανέβουν ή να κατέβουν προς τις προαναφερθείσες τέλειες συμφωνίες</w:t>
      </w:r>
      <w:r w:rsidRPr="00C90B31">
        <w:rPr>
          <w:sz w:val="20"/>
          <w:szCs w:val="20"/>
        </w:rPr>
        <w:t xml:space="preserve">. Δηλαδή </w:t>
      </w:r>
      <w:r w:rsidRPr="003C2668">
        <w:rPr>
          <w:sz w:val="20"/>
          <w:szCs w:val="20"/>
          <w:u w:val="single"/>
        </w:rPr>
        <w:t>η μικρή τρίτη προς την ταυτοφωνία, η μεγάλη τρίτη προς την πέμπτη και η μεγάλη έκτη προς την ογδόη</w:t>
      </w:r>
      <w:r w:rsidRPr="00C90B31">
        <w:rPr>
          <w:sz w:val="20"/>
          <w:szCs w:val="20"/>
        </w:rPr>
        <w:t>…</w:t>
      </w:r>
      <w:r w:rsidRPr="00C90B31">
        <w:rPr>
          <w:rStyle w:val="a5"/>
          <w:sz w:val="20"/>
          <w:szCs w:val="20"/>
        </w:rPr>
        <w:footnoteReference w:id="3"/>
      </w:r>
    </w:p>
    <w:p w:rsidR="0064505E" w:rsidRPr="00C90B31" w:rsidRDefault="00BD76D0" w:rsidP="003C2668">
      <w:pPr>
        <w:spacing w:line="360" w:lineRule="auto"/>
        <w:ind w:left="720"/>
      </w:pPr>
      <w:r>
        <w:t>Πιο συγκεκριμένα, ο</w:t>
      </w:r>
      <w:r w:rsidR="00003206">
        <w:t xml:space="preserve">ι θεωρητικοί της εποχής ισχυρίζονται </w:t>
      </w:r>
      <w:r w:rsidR="00003206" w:rsidRPr="007C3B9B">
        <w:rPr>
          <w:rFonts w:eastAsia="Calibri"/>
        </w:rPr>
        <w:t>ότι</w:t>
      </w:r>
      <w:r w:rsidR="0064505E">
        <w:t xml:space="preserve"> κάθε ατελής συμφωνία </w:t>
      </w:r>
      <w:r w:rsidR="005F3C07">
        <w:t xml:space="preserve">(δηλαδή, η 3η και η 6η) </w:t>
      </w:r>
      <w:r w:rsidR="0064505E" w:rsidRPr="00C90B31">
        <w:t>εμπ</w:t>
      </w:r>
      <w:r w:rsidR="0064505E">
        <w:t>εριέχει από την ίδια τη φύση της</w:t>
      </w:r>
      <w:r w:rsidR="0064505E" w:rsidRPr="00C90B31">
        <w:t xml:space="preserve"> (δηλαδή την </w:t>
      </w:r>
      <w:r w:rsidR="0064505E" w:rsidRPr="00C90B31">
        <w:rPr>
          <w:i/>
        </w:rPr>
        <w:t>ατέλειά</w:t>
      </w:r>
      <w:r w:rsidR="0064505E">
        <w:t xml:space="preserve"> της</w:t>
      </w:r>
      <w:r w:rsidR="0064505E" w:rsidRPr="00C90B31">
        <w:t xml:space="preserve">) </w:t>
      </w:r>
      <w:r w:rsidR="0064505E">
        <w:t xml:space="preserve">την </w:t>
      </w:r>
      <w:r w:rsidR="00003206">
        <w:t xml:space="preserve"> τάση </w:t>
      </w:r>
      <w:r w:rsidR="0064505E">
        <w:t xml:space="preserve">(την επιθυμία, τη λαχτάρα) </w:t>
      </w:r>
      <w:r w:rsidR="00003206">
        <w:t xml:space="preserve">να οδηγηθεί προς μία </w:t>
      </w:r>
      <w:r w:rsidR="00003206" w:rsidRPr="007C3B9B">
        <w:rPr>
          <w:i/>
        </w:rPr>
        <w:t>συγκεκριμένη</w:t>
      </w:r>
      <w:r w:rsidR="003C2668">
        <w:t xml:space="preserve"> τέλεια συμφωνία. </w:t>
      </w:r>
      <w:r w:rsidR="0064505E" w:rsidRPr="00C90B31">
        <w:t xml:space="preserve">Ο Marchetto, ήδη από το </w:t>
      </w:r>
      <w:r w:rsidR="0064505E" w:rsidRPr="00C90B31">
        <w:rPr>
          <w:i/>
        </w:rPr>
        <w:t>Lucidarium in arte musicae planae</w:t>
      </w:r>
      <w:r w:rsidR="0064505E" w:rsidRPr="00C90B31">
        <w:t xml:space="preserve"> του 1318, ήταν αποκαλυπτικός:</w:t>
      </w:r>
    </w:p>
    <w:p w:rsidR="0064505E" w:rsidRPr="00C90B31" w:rsidRDefault="0064505E" w:rsidP="0064505E">
      <w:pPr>
        <w:spacing w:line="360" w:lineRule="auto"/>
        <w:ind w:left="900"/>
      </w:pPr>
      <w:r w:rsidRPr="00C90B31">
        <w:rPr>
          <w:sz w:val="20"/>
          <w:szCs w:val="20"/>
        </w:rPr>
        <w:t xml:space="preserve">Μερικές διαφωνίες είναι αποδεκτές για το αυτί και το μυαλό ενώ άλλες δεν είναι. Οι κύριες </w:t>
      </w:r>
      <w:r w:rsidRPr="0064505E">
        <w:rPr>
          <w:i/>
          <w:sz w:val="20"/>
          <w:szCs w:val="20"/>
        </w:rPr>
        <w:t>αποδεκτές διαφωνίες</w:t>
      </w:r>
      <w:r w:rsidRPr="00C90B31">
        <w:rPr>
          <w:sz w:val="20"/>
          <w:szCs w:val="20"/>
        </w:rPr>
        <w:t xml:space="preserve"> </w:t>
      </w:r>
      <w:r>
        <w:rPr>
          <w:sz w:val="20"/>
          <w:szCs w:val="20"/>
        </w:rPr>
        <w:t xml:space="preserve">[!!!] </w:t>
      </w:r>
      <w:r w:rsidRPr="00C90B31">
        <w:rPr>
          <w:sz w:val="20"/>
          <w:szCs w:val="20"/>
        </w:rPr>
        <w:t>είναι η τρίτη, η έκτη και η δέκατη.</w:t>
      </w:r>
      <w:r>
        <w:rPr>
          <w:rStyle w:val="a5"/>
          <w:sz w:val="20"/>
          <w:szCs w:val="20"/>
        </w:rPr>
        <w:footnoteReference w:id="4"/>
      </w:r>
      <w:r w:rsidRPr="00C90B31">
        <w:rPr>
          <w:sz w:val="20"/>
          <w:szCs w:val="20"/>
        </w:rPr>
        <w:t xml:space="preserve"> Αυτές, και άλλες παρόμοιες, είναι αποδεκτές στο αυτί επειδή, καθώς προσεγγίζουν τις συμφωνίες με αντίθετη κίνηση, βρίσκονται ήδη σε άμεση εγγύτητα με τις συμφωνίες. Όταν δύο φωνές σχηματίζουν μία διαφωνία πρέπει να κινηθούν με </w:t>
      </w:r>
      <w:r w:rsidRPr="00B82820">
        <w:rPr>
          <w:b/>
          <w:i/>
          <w:sz w:val="20"/>
          <w:szCs w:val="20"/>
        </w:rPr>
        <w:t>αντίθετη κίνηση</w:t>
      </w:r>
      <w:r w:rsidRPr="00C90B31">
        <w:rPr>
          <w:sz w:val="20"/>
          <w:szCs w:val="20"/>
        </w:rPr>
        <w:t xml:space="preserve"> προς τη συμφωνία που </w:t>
      </w:r>
      <w:r w:rsidRPr="00C90B31">
        <w:rPr>
          <w:i/>
          <w:sz w:val="20"/>
          <w:szCs w:val="20"/>
        </w:rPr>
        <w:t>αναζητούν</w:t>
      </w:r>
      <w:r w:rsidRPr="00C90B31">
        <w:rPr>
          <w:sz w:val="20"/>
          <w:szCs w:val="20"/>
        </w:rPr>
        <w:t xml:space="preserve">. Και η διαφωνία θα πρέπει να κείται </w:t>
      </w:r>
      <w:r w:rsidRPr="00B82820">
        <w:rPr>
          <w:b/>
          <w:i/>
          <w:sz w:val="20"/>
          <w:szCs w:val="20"/>
        </w:rPr>
        <w:t>όσο το δυνατόν πιο κοντά</w:t>
      </w:r>
      <w:r w:rsidRPr="00C90B31">
        <w:rPr>
          <w:sz w:val="20"/>
          <w:szCs w:val="20"/>
        </w:rPr>
        <w:t xml:space="preserve"> στη συμφωνία προς την οποία κατευθύνονται [οι φωνές].</w:t>
      </w:r>
    </w:p>
    <w:p w:rsidR="00003206" w:rsidRPr="007C3B9B" w:rsidRDefault="003C2668" w:rsidP="007C3B9B">
      <w:pPr>
        <w:spacing w:line="360" w:lineRule="auto"/>
        <w:ind w:left="720"/>
      </w:pPr>
      <w:r>
        <w:t xml:space="preserve">Όπως φαίνεται από την παράθεση αυτή, οι θεωρητικές πραγματείες της εποχής διδάσκουν ότι οι ατελείς συμφωνίες </w:t>
      </w:r>
      <w:r w:rsidR="009D196B">
        <w:t>(δηλαδή, οι «</w:t>
      </w:r>
      <w:r w:rsidR="00380382">
        <w:t>αποδεκτές διαφωνίες» κατά</w:t>
      </w:r>
      <w:r w:rsidR="009D196B">
        <w:t xml:space="preserve"> </w:t>
      </w:r>
      <w:r w:rsidR="009D196B">
        <w:rPr>
          <w:lang w:val="en-US"/>
        </w:rPr>
        <w:t>Marchetto</w:t>
      </w:r>
      <w:r w:rsidR="009D196B" w:rsidRPr="009D196B">
        <w:t xml:space="preserve">) </w:t>
      </w:r>
      <w:r>
        <w:t xml:space="preserve">οφείλουν να “λύνονται ” στις τέλειες συμφωνίες ακολουθώντας την αρχή της </w:t>
      </w:r>
      <w:r w:rsidRPr="007C3B9B">
        <w:rPr>
          <w:b/>
          <w:i/>
          <w:u w:val="single"/>
        </w:rPr>
        <w:t>εγγύτερης προσέγγισης</w:t>
      </w:r>
      <w:r>
        <w:t>· και ότι οι δύο φωνές θα πρέπει να</w:t>
      </w:r>
      <w:r w:rsidRPr="00E86152">
        <w:t xml:space="preserve"> κινούνται με </w:t>
      </w:r>
      <w:r w:rsidRPr="007C3B9B">
        <w:rPr>
          <w:b/>
          <w:u w:val="single"/>
        </w:rPr>
        <w:t>αντίθετη βηματική κίνηση</w:t>
      </w:r>
      <w:r w:rsidRPr="00E86152">
        <w:t xml:space="preserve"> προς την επόμενη τέλεια συμφωνία και, μάλιστα, με μία φωνή (</w:t>
      </w:r>
      <w:r w:rsidRPr="007C3B9B">
        <w:rPr>
          <w:i/>
        </w:rPr>
        <w:t>οποιαδήποτε από τις δύο</w:t>
      </w:r>
      <w:r w:rsidR="00380382">
        <w:t xml:space="preserve">) να κινείται </w:t>
      </w:r>
      <w:r w:rsidRPr="0064505E">
        <w:rPr>
          <w:b/>
          <w:u w:val="single"/>
        </w:rPr>
        <w:t>ημιτονιακά</w:t>
      </w:r>
      <w:r w:rsidRPr="00E86152">
        <w:t>.</w:t>
      </w:r>
    </w:p>
    <w:p w:rsidR="005A0A3C" w:rsidRPr="00003206" w:rsidRDefault="00003206" w:rsidP="00B07847">
      <w:pPr>
        <w:pStyle w:val="a3"/>
        <w:numPr>
          <w:ilvl w:val="0"/>
          <w:numId w:val="1"/>
        </w:numPr>
        <w:rPr>
          <w:b/>
        </w:rPr>
      </w:pPr>
      <w:r>
        <w:t xml:space="preserve">Επομένως, οι διαδοχές διαστημάτων </w:t>
      </w:r>
      <w:r w:rsidR="00BD76D0">
        <w:t>που θεωρούντο ως</w:t>
      </w:r>
      <w:r>
        <w:t xml:space="preserve"> </w:t>
      </w:r>
      <w:r w:rsidR="003F53D2">
        <w:t xml:space="preserve">οι </w:t>
      </w:r>
      <w:r w:rsidR="00B82820">
        <w:rPr>
          <w:b/>
        </w:rPr>
        <w:t xml:space="preserve">πλέον “ισχυρές” </w:t>
      </w:r>
      <w:r w:rsidR="00380382">
        <w:rPr>
          <w:b/>
        </w:rPr>
        <w:t>διαδοχές</w:t>
      </w:r>
      <w:r w:rsidR="003F53D2">
        <w:t xml:space="preserve">, κυριολεκτικά ως οι </w:t>
      </w:r>
      <w:r>
        <w:t>“</w:t>
      </w:r>
      <w:r w:rsidRPr="003F53D2">
        <w:t>θεμέλιοι λίθοι της αντίστιξης</w:t>
      </w:r>
      <w:r w:rsidR="00BD76D0">
        <w:t>”</w:t>
      </w:r>
      <w:r>
        <w:t xml:space="preserve"> ήταν</w:t>
      </w:r>
      <w:r w:rsidR="003C2668">
        <w:t xml:space="preserve">, </w:t>
      </w:r>
      <w:r w:rsidR="00D2112F">
        <w:t>καθώς</w:t>
      </w:r>
      <w:r w:rsidR="003C2668">
        <w:t xml:space="preserve"> φαίνεται και από </w:t>
      </w:r>
      <w:r w:rsidR="00D2112F">
        <w:t>την 3η κατά σειράν παράθεση</w:t>
      </w:r>
      <w:r w:rsidR="00B82820">
        <w:t xml:space="preserve"> της προηγούμενης σελίδας</w:t>
      </w:r>
      <w:r w:rsidR="00D2112F">
        <w:t>,</w:t>
      </w:r>
      <w:r w:rsidR="00380382">
        <w:t xml:space="preserve"> αυτές που πληρούσαν τις παραπάνω προϋποθέσεις. Δηλαδή, οι εξής διαδοχές διαστημάτων</w:t>
      </w:r>
      <w:r w:rsidR="005A0A3C">
        <w:t>:</w:t>
      </w:r>
    </w:p>
    <w:p w:rsidR="00D2112F" w:rsidRDefault="00D2112F" w:rsidP="005A0A3C">
      <w:pPr>
        <w:pStyle w:val="a3"/>
        <w:ind w:left="1440"/>
        <w:rPr>
          <w:b/>
        </w:rPr>
      </w:pPr>
    </w:p>
    <w:p w:rsidR="005A0A3C" w:rsidRPr="006C2437" w:rsidRDefault="005A0A3C" w:rsidP="005A0A3C">
      <w:pPr>
        <w:pStyle w:val="a3"/>
        <w:ind w:left="1440"/>
        <w:rPr>
          <w:b/>
          <w:sz w:val="28"/>
          <w:szCs w:val="28"/>
        </w:rPr>
      </w:pPr>
      <w:r w:rsidRPr="006C2437">
        <w:rPr>
          <w:b/>
          <w:sz w:val="28"/>
          <w:szCs w:val="28"/>
        </w:rPr>
        <w:t>Μεγάλη 6</w:t>
      </w:r>
      <w:r w:rsidRPr="006C2437">
        <w:rPr>
          <w:b/>
          <w:sz w:val="28"/>
          <w:szCs w:val="28"/>
          <w:vertAlign w:val="superscript"/>
        </w:rPr>
        <w:t>η</w:t>
      </w:r>
      <w:r w:rsidR="006C2437">
        <w:rPr>
          <w:b/>
          <w:sz w:val="28"/>
          <w:szCs w:val="28"/>
          <w:vertAlign w:val="superscript"/>
        </w:rPr>
        <w:tab/>
      </w:r>
      <w:r w:rsidRPr="006C2437">
        <w:rPr>
          <w:b/>
          <w:sz w:val="28"/>
          <w:szCs w:val="28"/>
        </w:rPr>
        <w:t xml:space="preserve"> → Καθαρή 8</w:t>
      </w:r>
      <w:r w:rsidRPr="006C2437">
        <w:rPr>
          <w:b/>
          <w:sz w:val="28"/>
          <w:szCs w:val="28"/>
          <w:vertAlign w:val="superscript"/>
        </w:rPr>
        <w:t>η</w:t>
      </w:r>
    </w:p>
    <w:p w:rsidR="005A0A3C" w:rsidRPr="006C2437" w:rsidRDefault="005A0A3C" w:rsidP="005A0A3C">
      <w:pPr>
        <w:pStyle w:val="a3"/>
        <w:ind w:left="1440"/>
        <w:rPr>
          <w:b/>
          <w:sz w:val="28"/>
          <w:szCs w:val="28"/>
        </w:rPr>
      </w:pPr>
      <w:r w:rsidRPr="006C2437">
        <w:rPr>
          <w:b/>
          <w:sz w:val="28"/>
          <w:szCs w:val="28"/>
        </w:rPr>
        <w:t>Μεγάλη 3</w:t>
      </w:r>
      <w:r w:rsidRPr="006C2437">
        <w:rPr>
          <w:b/>
          <w:sz w:val="28"/>
          <w:szCs w:val="28"/>
          <w:vertAlign w:val="superscript"/>
        </w:rPr>
        <w:t>η</w:t>
      </w:r>
      <w:r w:rsidR="006C2437">
        <w:rPr>
          <w:b/>
          <w:sz w:val="28"/>
          <w:szCs w:val="28"/>
          <w:vertAlign w:val="superscript"/>
        </w:rPr>
        <w:tab/>
      </w:r>
      <w:r w:rsidRPr="006C2437">
        <w:rPr>
          <w:b/>
          <w:sz w:val="28"/>
          <w:szCs w:val="28"/>
        </w:rPr>
        <w:t xml:space="preserve"> → Καθαρή 5</w:t>
      </w:r>
      <w:r w:rsidRPr="006C2437">
        <w:rPr>
          <w:b/>
          <w:sz w:val="28"/>
          <w:szCs w:val="28"/>
          <w:vertAlign w:val="superscript"/>
        </w:rPr>
        <w:t>η</w:t>
      </w:r>
    </w:p>
    <w:p w:rsidR="005A0A3C" w:rsidRPr="006C2437" w:rsidRDefault="005A0A3C" w:rsidP="005A0A3C">
      <w:pPr>
        <w:pStyle w:val="a3"/>
        <w:ind w:left="1440"/>
        <w:rPr>
          <w:b/>
          <w:sz w:val="28"/>
          <w:szCs w:val="28"/>
        </w:rPr>
      </w:pPr>
      <w:r w:rsidRPr="006C2437">
        <w:rPr>
          <w:b/>
          <w:sz w:val="28"/>
          <w:szCs w:val="28"/>
        </w:rPr>
        <w:t>μικρή 3</w:t>
      </w:r>
      <w:r w:rsidRPr="006C2437">
        <w:rPr>
          <w:b/>
          <w:sz w:val="28"/>
          <w:szCs w:val="28"/>
          <w:vertAlign w:val="superscript"/>
        </w:rPr>
        <w:t>η</w:t>
      </w:r>
      <w:r w:rsidR="006C2437">
        <w:rPr>
          <w:b/>
          <w:sz w:val="28"/>
          <w:szCs w:val="28"/>
          <w:vertAlign w:val="superscript"/>
        </w:rPr>
        <w:tab/>
      </w:r>
      <w:r w:rsidRPr="006C2437">
        <w:rPr>
          <w:b/>
          <w:sz w:val="28"/>
          <w:szCs w:val="28"/>
        </w:rPr>
        <w:t xml:space="preserve"> → Ταυτοφωνία</w:t>
      </w:r>
    </w:p>
    <w:p w:rsidR="00D2112F" w:rsidRDefault="00D2112F" w:rsidP="005A0A3C">
      <w:pPr>
        <w:pStyle w:val="a3"/>
        <w:ind w:left="1440"/>
        <w:rPr>
          <w:b/>
        </w:rPr>
      </w:pPr>
    </w:p>
    <w:p w:rsidR="00D2112F" w:rsidRDefault="003F53D2" w:rsidP="005A0A3C">
      <w:pPr>
        <w:pStyle w:val="a3"/>
        <w:ind w:left="1440"/>
      </w:pPr>
      <w:r>
        <w:t>και, δευτερευόντως</w:t>
      </w:r>
      <w:r w:rsidR="00D2112F">
        <w:t xml:space="preserve"> </w:t>
      </w:r>
      <w:r>
        <w:t>(</w:t>
      </w:r>
      <w:r w:rsidR="00D2112F">
        <w:t xml:space="preserve">διότι </w:t>
      </w:r>
      <w:r w:rsidR="00D2112F" w:rsidRPr="003B2F61">
        <w:rPr>
          <w:i/>
        </w:rPr>
        <w:t>μόνον μία φωνή</w:t>
      </w:r>
      <w:r w:rsidR="00D2112F">
        <w:t xml:space="preserve"> κινείται βηματικά</w:t>
      </w:r>
      <w:r>
        <w:t>)</w:t>
      </w:r>
    </w:p>
    <w:p w:rsidR="00D2112F" w:rsidRDefault="00D2112F" w:rsidP="005A0A3C">
      <w:pPr>
        <w:pStyle w:val="a3"/>
        <w:ind w:left="1440"/>
      </w:pPr>
    </w:p>
    <w:p w:rsidR="00D2112F" w:rsidRDefault="00D2112F" w:rsidP="005A0A3C">
      <w:pPr>
        <w:pStyle w:val="a3"/>
        <w:ind w:left="1440"/>
      </w:pPr>
      <w:r>
        <w:t>μικρή 6</w:t>
      </w:r>
      <w:r w:rsidRPr="00D2112F">
        <w:rPr>
          <w:vertAlign w:val="superscript"/>
        </w:rPr>
        <w:t>η</w:t>
      </w:r>
      <w:r>
        <w:t xml:space="preserve"> → Καθαρή 5</w:t>
      </w:r>
      <w:r w:rsidRPr="00D2112F">
        <w:rPr>
          <w:vertAlign w:val="superscript"/>
        </w:rPr>
        <w:t>η</w:t>
      </w:r>
      <w:r>
        <w:t xml:space="preserve"> </w:t>
      </w:r>
    </w:p>
    <w:p w:rsidR="00DD1B9A" w:rsidRDefault="00DD1B9A" w:rsidP="00DD1B9A"/>
    <w:p w:rsidR="00DD1B9A" w:rsidRPr="00DD1B9A" w:rsidRDefault="00DD1B9A" w:rsidP="00DD1B9A">
      <w:pPr>
        <w:rPr>
          <w:u w:val="single"/>
        </w:rPr>
      </w:pPr>
      <w:r w:rsidRPr="00DD1B9A">
        <w:rPr>
          <w:u w:val="single"/>
        </w:rPr>
        <w:t>Παράδειγμα 1</w:t>
      </w:r>
      <w:r w:rsidR="003F53D2">
        <w:rPr>
          <w:u w:val="single"/>
        </w:rPr>
        <w:t>: Ισχυρές διαδοχές διαστημάτων</w:t>
      </w:r>
    </w:p>
    <w:p w:rsidR="00D2112F" w:rsidRDefault="00D2112F" w:rsidP="00003206">
      <w:pPr>
        <w:ind w:left="720"/>
      </w:pPr>
      <w:r>
        <w:rPr>
          <w:noProof/>
          <w:lang w:eastAsia="el-GR"/>
        </w:rPr>
        <w:drawing>
          <wp:inline distT="0" distB="0" distL="0" distR="0">
            <wp:extent cx="4406900" cy="924781"/>
            <wp:effectExtent l="19050" t="0" r="0" b="0"/>
            <wp:docPr id="1" name="0 - Εικόνα" descr="Example 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 1.2.TIF"/>
                    <pic:cNvPicPr/>
                  </pic:nvPicPr>
                  <pic:blipFill>
                    <a:blip r:embed="rId8" cstate="print"/>
                    <a:stretch>
                      <a:fillRect/>
                    </a:stretch>
                  </pic:blipFill>
                  <pic:spPr>
                    <a:xfrm>
                      <a:off x="0" y="0"/>
                      <a:ext cx="4414321" cy="926338"/>
                    </a:xfrm>
                    <a:prstGeom prst="rect">
                      <a:avLst/>
                    </a:prstGeom>
                  </pic:spPr>
                </pic:pic>
              </a:graphicData>
            </a:graphic>
          </wp:inline>
        </w:drawing>
      </w:r>
    </w:p>
    <w:p w:rsidR="00D2112F" w:rsidRDefault="00D2112F" w:rsidP="00003206">
      <w:pPr>
        <w:ind w:left="720"/>
      </w:pPr>
    </w:p>
    <w:p w:rsidR="006C2437" w:rsidRDefault="0095335E" w:rsidP="006C2437">
      <w:pPr>
        <w:pStyle w:val="a3"/>
        <w:numPr>
          <w:ilvl w:val="0"/>
          <w:numId w:val="1"/>
        </w:numPr>
      </w:pPr>
      <w:r>
        <w:t>Όπως είναι γνωστό, οι φωνητικές συνθέσεις του όψιμου μεσαίωνα και της αναγέννησης μελοποιούν κοσμικά ή εκκλησιαστικά κείμενα. Καθώς οι νοηματικές ενότητες</w:t>
      </w:r>
      <w:r w:rsidR="006C2437">
        <w:t xml:space="preserve"> έφθαναν</w:t>
      </w:r>
      <w:r>
        <w:t xml:space="preserve"> σε ένα τέλος, έτσι και οι αντίστοιχες μουσικές ενότητες </w:t>
      </w:r>
      <w:r w:rsidR="006C2437">
        <w:t>όφειλαν</w:t>
      </w:r>
      <w:r>
        <w:t xml:space="preserve"> να ολοκληρώνονται, να </w:t>
      </w:r>
      <w:r w:rsidRPr="006C2437">
        <w:rPr>
          <w:i/>
        </w:rPr>
        <w:t>καταλήγουν</w:t>
      </w:r>
      <w:r>
        <w:t xml:space="preserve"> σε ένα εξ ίσου αναμφισβήτητο “</w:t>
      </w:r>
      <w:r w:rsidR="009D196B">
        <w:t xml:space="preserve">μουσικό </w:t>
      </w:r>
      <w:r>
        <w:t xml:space="preserve">τέλος”, σε μία </w:t>
      </w:r>
      <w:r w:rsidRPr="00C90B31">
        <w:rPr>
          <w:i/>
        </w:rPr>
        <w:t>perfectio</w:t>
      </w:r>
      <w:r w:rsidRPr="00C90B31">
        <w:t xml:space="preserve"> ή </w:t>
      </w:r>
      <w:r w:rsidRPr="00C90B31">
        <w:rPr>
          <w:i/>
        </w:rPr>
        <w:t>conclusio</w:t>
      </w:r>
      <w:r w:rsidR="006C2437">
        <w:t xml:space="preserve">, όπως έλεγαν τότε. Τα μόνα διαστήματα που μπορούσαν να παίξουν αυτό το ρόλο </w:t>
      </w:r>
      <w:r w:rsidR="003F53D2">
        <w:t xml:space="preserve">(της </w:t>
      </w:r>
      <w:r w:rsidR="003F53D2" w:rsidRPr="00C90B31">
        <w:rPr>
          <w:i/>
        </w:rPr>
        <w:t>perfectio</w:t>
      </w:r>
      <w:r w:rsidR="003F53D2" w:rsidRPr="00C90B31">
        <w:t xml:space="preserve"> ή </w:t>
      </w:r>
      <w:r w:rsidR="003F53D2" w:rsidRPr="00C90B31">
        <w:rPr>
          <w:i/>
        </w:rPr>
        <w:t>conclusio</w:t>
      </w:r>
      <w:r w:rsidR="003F53D2">
        <w:t xml:space="preserve">) </w:t>
      </w:r>
      <w:r w:rsidR="006C2437">
        <w:t>ήταν,</w:t>
      </w:r>
      <w:r w:rsidR="00B82820">
        <w:t xml:space="preserve"> βέβαια, οι τέλειες συμφωνίες: 8η</w:t>
      </w:r>
      <w:r w:rsidR="006C2437">
        <w:t xml:space="preserve">, </w:t>
      </w:r>
      <w:r w:rsidR="00B82820">
        <w:t xml:space="preserve">ταυτοφωνία, 5η </w:t>
      </w:r>
      <w:r w:rsidR="006C2437">
        <w:t xml:space="preserve">καθαρή, </w:t>
      </w:r>
      <w:r w:rsidR="00DD1B9A">
        <w:t>καθώς</w:t>
      </w:r>
      <w:r w:rsidR="003F53D2">
        <w:t xml:space="preserve"> επισημαίνει και </w:t>
      </w:r>
      <w:r w:rsidR="00DD1B9A" w:rsidRPr="00C90B31">
        <w:t xml:space="preserve">ο ανώνυμος συγγραφέας της πραγματείας </w:t>
      </w:r>
      <w:r w:rsidR="00DD1B9A" w:rsidRPr="00C90B31">
        <w:rPr>
          <w:i/>
        </w:rPr>
        <w:t>Cum notum sit</w:t>
      </w:r>
      <w:r w:rsidR="00DD1B9A">
        <w:t xml:space="preserve"> περί τα μέσα του 14ου αιώνα:</w:t>
      </w:r>
    </w:p>
    <w:p w:rsidR="006C2437" w:rsidRDefault="006C2437" w:rsidP="00DD1B9A">
      <w:pPr>
        <w:pStyle w:val="a3"/>
      </w:pPr>
    </w:p>
    <w:p w:rsidR="00DD1B9A" w:rsidRDefault="00DD1B9A" w:rsidP="00DD1B9A">
      <w:pPr>
        <w:pStyle w:val="a3"/>
      </w:pPr>
      <w:r>
        <w:rPr>
          <w:sz w:val="20"/>
          <w:szCs w:val="20"/>
        </w:rPr>
        <w:t xml:space="preserve">  </w:t>
      </w:r>
      <w:r w:rsidRPr="00C90B31">
        <w:rPr>
          <w:sz w:val="20"/>
          <w:szCs w:val="20"/>
        </w:rPr>
        <w:t>Ακριβώς όπως μια αντίστιξη [</w:t>
      </w:r>
      <w:r w:rsidRPr="00C90B31">
        <w:rPr>
          <w:i/>
          <w:sz w:val="20"/>
          <w:szCs w:val="20"/>
        </w:rPr>
        <w:t>contrapunctus</w:t>
      </w:r>
      <w:r w:rsidRPr="00C90B31">
        <w:rPr>
          <w:sz w:val="20"/>
          <w:szCs w:val="20"/>
        </w:rPr>
        <w:t xml:space="preserve">] αρχίζει με μία τέλεια συμφωνία, έτσι θα πρέπει </w:t>
      </w:r>
      <w:r>
        <w:rPr>
          <w:sz w:val="20"/>
          <w:szCs w:val="20"/>
        </w:rPr>
        <w:t xml:space="preserve">  </w:t>
      </w:r>
      <w:r w:rsidRPr="00C90B31">
        <w:rPr>
          <w:sz w:val="20"/>
          <w:szCs w:val="20"/>
        </w:rPr>
        <w:t>και να τελειώνει. Ο λόγος θα μπορούσε να είναι πως εάν το τραγούδι τελείωνε με μία ατελή συμφωνία, τότε το μυαλό [του ακροατή] θα παρέμενε σε αβεβαιότητα [</w:t>
      </w:r>
      <w:r w:rsidRPr="00C90B31">
        <w:rPr>
          <w:i/>
          <w:sz w:val="20"/>
          <w:szCs w:val="20"/>
        </w:rPr>
        <w:t>suspensus</w:t>
      </w:r>
      <w:r w:rsidRPr="00C90B31">
        <w:rPr>
          <w:sz w:val="20"/>
          <w:szCs w:val="20"/>
        </w:rPr>
        <w:t>, αναμονή, αγωνία], μη βρίσκοντας ακόμα ηρεμία (γαλήνη), δεδομένου ότι δεν θα είχε ακούσει έναν τέλειο ήχο και ούτε, επομένως, θα του είχε δηλωθεί σαφώς ότι το τραγούδι τελειώνει εκεί.</w:t>
      </w:r>
    </w:p>
    <w:p w:rsidR="00DD1B9A" w:rsidRDefault="00DD1B9A" w:rsidP="00DD1B9A">
      <w:pPr>
        <w:pStyle w:val="a3"/>
      </w:pPr>
    </w:p>
    <w:p w:rsidR="005A0A3C" w:rsidRDefault="006C2437" w:rsidP="00DD1B9A">
      <w:pPr>
        <w:pStyle w:val="a3"/>
      </w:pPr>
      <w:r>
        <w:t>Επομένως, ε</w:t>
      </w:r>
      <w:r w:rsidR="00BD76D0">
        <w:t xml:space="preserve">ίναι </w:t>
      </w:r>
      <w:r w:rsidR="00003206">
        <w:t xml:space="preserve">προφανές πως </w:t>
      </w:r>
      <w:r w:rsidR="00003206" w:rsidRPr="00DD1B9A">
        <w:rPr>
          <w:i/>
        </w:rPr>
        <w:t>ακριβώς</w:t>
      </w:r>
      <w:r>
        <w:t xml:space="preserve"> </w:t>
      </w:r>
      <w:r w:rsidR="00003206">
        <w:t xml:space="preserve">οι </w:t>
      </w:r>
      <w:r w:rsidR="00D2112F">
        <w:t xml:space="preserve">(τρεις πρώτες) </w:t>
      </w:r>
      <w:r>
        <w:t xml:space="preserve">ισχυρές </w:t>
      </w:r>
      <w:r w:rsidR="00003206">
        <w:t>ακολουθίες διαστημάτων</w:t>
      </w:r>
      <w:r>
        <w:t xml:space="preserve"> που αναφέρθηκαν προηγουμένως</w:t>
      </w:r>
      <w:r w:rsidR="00003206">
        <w:t xml:space="preserve">, όντας οι μόνες που οδηγούν </w:t>
      </w:r>
      <w:r>
        <w:t xml:space="preserve">κατηγορηματικά </w:t>
      </w:r>
      <w:r w:rsidR="00003206">
        <w:t>προς μία τέλει</w:t>
      </w:r>
      <w:r>
        <w:t>α συμφωνία</w:t>
      </w:r>
      <w:r w:rsidR="00003206">
        <w:t>, λειτουργούσαν</w:t>
      </w:r>
      <w:r w:rsidR="00003206" w:rsidRPr="008C5378">
        <w:t xml:space="preserve"> ιδιαίτερα αποτελεσματικά ως </w:t>
      </w:r>
      <w:r w:rsidR="00003206" w:rsidRPr="00DD1B9A">
        <w:rPr>
          <w:i/>
        </w:rPr>
        <w:t>καταλήξεις</w:t>
      </w:r>
      <w:r>
        <w:t xml:space="preserve"> μουσικών </w:t>
      </w:r>
      <w:r w:rsidR="00003206" w:rsidRPr="008C5378">
        <w:t>ενοτήτων</w:t>
      </w:r>
      <w:r w:rsidR="00003206">
        <w:t xml:space="preserve">. Αποτελούσαν, δηλαδή, </w:t>
      </w:r>
      <w:r w:rsidR="00003206" w:rsidRPr="00DD1B9A">
        <w:rPr>
          <w:b/>
        </w:rPr>
        <w:t xml:space="preserve">πανίσχυρες </w:t>
      </w:r>
      <w:r w:rsidR="00003206" w:rsidRPr="00DD1B9A">
        <w:rPr>
          <w:b/>
          <w:i/>
        </w:rPr>
        <w:t>δίφωνες πτωτικές φόρμουλες</w:t>
      </w:r>
      <w:r w:rsidR="00003206" w:rsidRPr="008C5378">
        <w:t xml:space="preserve"> για τη μουσική του ύστερου μεσαίωνα.</w:t>
      </w:r>
    </w:p>
    <w:p w:rsidR="00DD1B9A" w:rsidRDefault="00DD1B9A" w:rsidP="00DD1B9A">
      <w:pPr>
        <w:pStyle w:val="a3"/>
      </w:pPr>
    </w:p>
    <w:p w:rsidR="00DD1B9A" w:rsidRPr="00C90B31" w:rsidRDefault="00DD1B9A" w:rsidP="003B2F61">
      <w:pPr>
        <w:pStyle w:val="a3"/>
        <w:numPr>
          <w:ilvl w:val="0"/>
          <w:numId w:val="1"/>
        </w:numPr>
      </w:pPr>
      <w:r w:rsidRPr="00C90B31">
        <w:t xml:space="preserve">Τα παραδειγματικά πτωτικά σχήματα που </w:t>
      </w:r>
      <w:r>
        <w:t xml:space="preserve">εμφανίζονται στο </w:t>
      </w:r>
      <w:r w:rsidRPr="00DD1B9A">
        <w:rPr>
          <w:u w:val="single"/>
        </w:rPr>
        <w:t>Παράδειγμα 1</w:t>
      </w:r>
      <w:r>
        <w:t xml:space="preserve"> μπορούσαν</w:t>
      </w:r>
      <w:r w:rsidRPr="00C90B31">
        <w:t xml:space="preserve">, φυσικά, να καταλήγουν και σε άλλους φθόγγους. Για μία </w:t>
      </w:r>
      <w:r w:rsidR="003B2F61" w:rsidRPr="003B2F61">
        <w:rPr>
          <w:i/>
          <w:lang w:val="en-US"/>
        </w:rPr>
        <w:t>conclusio</w:t>
      </w:r>
      <w:r w:rsidR="003B2F61" w:rsidRPr="003B2F61">
        <w:rPr>
          <w:i/>
        </w:rPr>
        <w:t xml:space="preserve"> </w:t>
      </w:r>
      <w:r w:rsidR="003B2F61" w:rsidRPr="003B2F61">
        <w:t>(</w:t>
      </w:r>
      <w:r w:rsidRPr="00C90B31">
        <w:t>πτώση</w:t>
      </w:r>
      <w:r w:rsidR="003B2F61" w:rsidRPr="003B2F61">
        <w:t>)</w:t>
      </w:r>
      <w:r w:rsidRPr="00C90B31">
        <w:t xml:space="preserve"> σε </w:t>
      </w:r>
      <w:r>
        <w:t xml:space="preserve">ταυτοφωνία </w:t>
      </w:r>
      <w:r w:rsidRPr="00C90B31">
        <w:t xml:space="preserve">λα, λόγου χάριν, η μεγάλη τρίτη σολ – σι θα μπορούσε να μετατραπεί σε μικρή με την προσθήκη ενός b rotundum </w:t>
      </w:r>
      <w:r w:rsidRPr="00C56547">
        <w:t>(σι</w:t>
      </w:r>
      <w:r w:rsidRPr="00DD1B9A">
        <w:rPr>
          <w:rFonts w:ascii="Arial Unicode MS" w:eastAsia="Arial Unicode MS" w:hAnsi="Arial Unicode MS" w:cs="Arial Unicode MS"/>
          <w:sz w:val="20"/>
          <w:szCs w:val="20"/>
        </w:rPr>
        <w:t>♭</w:t>
      </w:r>
      <w:r w:rsidRPr="00C56547">
        <w:t>)</w:t>
      </w:r>
      <w:r>
        <w:t xml:space="preserve"> ─του μοναδικού “χρωματικού φθόγγου”</w:t>
      </w:r>
      <w:r w:rsidRPr="00C90B31">
        <w:t xml:space="preserve"> που συμπεριλαμβάνεται στο </w:t>
      </w:r>
      <w:r w:rsidRPr="00DD1B9A">
        <w:rPr>
          <w:i/>
        </w:rPr>
        <w:t>Gamut</w:t>
      </w:r>
      <w:r w:rsidRPr="00C90B31">
        <w:t xml:space="preserve"> του Guido─ και να οδηγήσει στην ταυτοφωνία λα – λα.</w:t>
      </w:r>
      <w:r w:rsidR="003B2F61">
        <w:rPr>
          <w:rStyle w:val="a5"/>
        </w:rPr>
        <w:footnoteReference w:id="5"/>
      </w:r>
      <w:r w:rsidRPr="00C90B31">
        <w:t xml:space="preserve"> Για άλλες περιπτώσεις, όμως, απαιτείται η χρήση </w:t>
      </w:r>
      <w:r w:rsidRPr="00DD1B9A">
        <w:rPr>
          <w:b/>
          <w:i/>
        </w:rPr>
        <w:t>musica ficta</w:t>
      </w:r>
      <w:r w:rsidRPr="00C90B31">
        <w:t xml:space="preserve"> (</w:t>
      </w:r>
      <w:r w:rsidRPr="00DD1B9A">
        <w:rPr>
          <w:b/>
          <w:i/>
        </w:rPr>
        <w:t>falsa</w:t>
      </w:r>
      <w:r w:rsidRPr="00C90B31">
        <w:t xml:space="preserve">, </w:t>
      </w:r>
      <w:r w:rsidRPr="00DD1B9A">
        <w:rPr>
          <w:b/>
          <w:i/>
        </w:rPr>
        <w:t>colorata</w:t>
      </w:r>
      <w:r w:rsidRPr="00C90B31">
        <w:t>). Μία πτώση σε σολ απαιτεί όξυνση του φα σε φα#</w:t>
      </w:r>
      <w:r w:rsidR="003F53D2">
        <w:t xml:space="preserve"> από τους εκτελεστές</w:t>
      </w:r>
      <w:r w:rsidRPr="00C90B31">
        <w:t xml:space="preserve">· μία πτώση σε ρε την όξυνση του ντο σε ντο#· κ.ο.κ. Ιδού μεσαιωνικές </w:t>
      </w:r>
      <w:r w:rsidRPr="00806072">
        <w:rPr>
          <w:b/>
          <w:u w:val="single"/>
        </w:rPr>
        <w:t>δίφωνες πτωτικές φόρμουλες</w:t>
      </w:r>
      <w:r w:rsidRPr="00C90B31">
        <w:t xml:space="preserve"> που καταλήγουν σε διαφορετικούς φθόγγους </w:t>
      </w:r>
      <w:r>
        <w:t>από αυτούς του Παραδείγματος 1</w:t>
      </w:r>
      <w:r w:rsidRPr="00C90B31">
        <w:t>:</w:t>
      </w:r>
    </w:p>
    <w:p w:rsidR="00DD1B9A" w:rsidRDefault="00DD1B9A" w:rsidP="00DD1B9A">
      <w:pPr>
        <w:spacing w:line="360" w:lineRule="auto"/>
      </w:pPr>
    </w:p>
    <w:p w:rsidR="00DD1B9A" w:rsidRPr="00DD1B9A" w:rsidRDefault="00DD1B9A" w:rsidP="00DD1B9A">
      <w:pPr>
        <w:spacing w:line="360" w:lineRule="auto"/>
        <w:rPr>
          <w:u w:val="single"/>
        </w:rPr>
      </w:pPr>
      <w:r w:rsidRPr="00DD1B9A">
        <w:rPr>
          <w:u w:val="single"/>
        </w:rPr>
        <w:t>Παράδειγμα 2</w:t>
      </w:r>
      <w:r w:rsidR="003F53D2">
        <w:rPr>
          <w:u w:val="single"/>
        </w:rPr>
        <w:t>: δίφωνες πτωτικές φόρμουλες</w:t>
      </w:r>
    </w:p>
    <w:p w:rsidR="001A0DD3" w:rsidRDefault="00DD1B9A" w:rsidP="00DD1B9A">
      <w:pPr>
        <w:pStyle w:val="a3"/>
      </w:pPr>
      <w:r>
        <w:rPr>
          <w:noProof/>
          <w:lang w:eastAsia="el-GR"/>
        </w:rPr>
        <w:drawing>
          <wp:inline distT="0" distB="0" distL="0" distR="0">
            <wp:extent cx="4521200" cy="586243"/>
            <wp:effectExtent l="19050" t="0" r="0" b="0"/>
            <wp:docPr id="2" name="1 - Εικόνα" descr="Example 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 1.3.TIF"/>
                    <pic:cNvPicPr/>
                  </pic:nvPicPr>
                  <pic:blipFill>
                    <a:blip r:embed="rId9" cstate="print"/>
                    <a:stretch>
                      <a:fillRect/>
                    </a:stretch>
                  </pic:blipFill>
                  <pic:spPr>
                    <a:xfrm>
                      <a:off x="0" y="0"/>
                      <a:ext cx="4518830" cy="585936"/>
                    </a:xfrm>
                    <a:prstGeom prst="rect">
                      <a:avLst/>
                    </a:prstGeom>
                  </pic:spPr>
                </pic:pic>
              </a:graphicData>
            </a:graphic>
          </wp:inline>
        </w:drawing>
      </w:r>
    </w:p>
    <w:p w:rsidR="00DD1B9A" w:rsidRDefault="00DD1B9A" w:rsidP="001A0DD3"/>
    <w:p w:rsidR="001A0DD3" w:rsidRDefault="001A0DD3" w:rsidP="001A0DD3">
      <w:pPr>
        <w:pStyle w:val="a3"/>
        <w:numPr>
          <w:ilvl w:val="0"/>
          <w:numId w:val="1"/>
        </w:numPr>
      </w:pPr>
      <w:r w:rsidRPr="00C90B31">
        <w:t>Αυτές οι παραδειγματικές ακολουθίες διαστημάτων αποτελούν τη</w:t>
      </w:r>
      <w:r>
        <w:t xml:space="preserve"> “ραχοκοκαλιά”</w:t>
      </w:r>
      <w:r w:rsidRPr="00C90B31">
        <w:t xml:space="preserve"> κάθε </w:t>
      </w:r>
      <w:r w:rsidRPr="001A0DD3">
        <w:rPr>
          <w:b/>
        </w:rPr>
        <w:t>πτωτικού σχήματος</w:t>
      </w:r>
      <w:r w:rsidRPr="00C90B31">
        <w:t xml:space="preserve"> </w:t>
      </w:r>
      <w:r w:rsidRPr="00C90B31">
        <w:rPr>
          <w:i/>
        </w:rPr>
        <w:t xml:space="preserve">και </w:t>
      </w:r>
      <w:r w:rsidRPr="00C90B31">
        <w:t xml:space="preserve">στην περίπτωση που μία τρίτη φωνή (triplum) προστίθεται συνήθως πάνω από ένα </w:t>
      </w:r>
      <w:r w:rsidRPr="00C90B31">
        <w:rPr>
          <w:i/>
        </w:rPr>
        <w:t>ήδη υπάρχον</w:t>
      </w:r>
      <w:r w:rsidRPr="00C90B31">
        <w:t xml:space="preserve"> δίφωνο πλαίσιο ανάμεσα σε έναν τενόρο και μία ψηλότερη φωνή (motetus, ή duplum, ή discantus).</w:t>
      </w:r>
      <w:r>
        <w:t xml:space="preserve"> Η πλέον διαδεδομένη </w:t>
      </w:r>
      <w:r w:rsidRPr="00806072">
        <w:rPr>
          <w:b/>
          <w:u w:val="single"/>
        </w:rPr>
        <w:t>τρίφωνη πτώση</w:t>
      </w:r>
      <w:r>
        <w:t xml:space="preserve"> σε έργα φωνητικής μουσικής του ύστερου μεσαίωνα και των αρχών της αναγέννησης (</w:t>
      </w:r>
      <w:r>
        <w:rPr>
          <w:lang w:val="en-US"/>
        </w:rPr>
        <w:t>Guillaume</w:t>
      </w:r>
      <w:r w:rsidRPr="001A0DD3">
        <w:t xml:space="preserve"> </w:t>
      </w:r>
      <w:r>
        <w:rPr>
          <w:lang w:val="en-US"/>
        </w:rPr>
        <w:t>de</w:t>
      </w:r>
      <w:r w:rsidRPr="001A0DD3">
        <w:t xml:space="preserve"> </w:t>
      </w:r>
      <w:r>
        <w:rPr>
          <w:lang w:val="en-US"/>
        </w:rPr>
        <w:t>Machaut</w:t>
      </w:r>
      <w:r w:rsidRPr="001A0DD3">
        <w:t xml:space="preserve">, </w:t>
      </w:r>
      <w:r>
        <w:t>Philippe</w:t>
      </w:r>
      <w:r w:rsidRPr="006C3EBC">
        <w:t xml:space="preserve"> </w:t>
      </w:r>
      <w:r>
        <w:t>de</w:t>
      </w:r>
      <w:r w:rsidRPr="006C3EBC">
        <w:t xml:space="preserve"> </w:t>
      </w:r>
      <w:r>
        <w:t>Vitry</w:t>
      </w:r>
      <w:r w:rsidRPr="001A0DD3">
        <w:t xml:space="preserve">, </w:t>
      </w:r>
      <w:r>
        <w:t>Francesco</w:t>
      </w:r>
      <w:r w:rsidRPr="00382C3A">
        <w:t xml:space="preserve"> </w:t>
      </w:r>
      <w:r>
        <w:t>Landini</w:t>
      </w:r>
      <w:r w:rsidRPr="001A0DD3">
        <w:t xml:space="preserve">, </w:t>
      </w:r>
      <w:r>
        <w:t>Johannes</w:t>
      </w:r>
      <w:r w:rsidRPr="00382C3A">
        <w:t xml:space="preserve"> </w:t>
      </w:r>
      <w:r>
        <w:t>Ciconia</w:t>
      </w:r>
      <w:r w:rsidRPr="001A0DD3">
        <w:t>)</w:t>
      </w:r>
      <w:r>
        <w:t xml:space="preserve"> είναι η (κακώς) αποκαλούμενη «</w:t>
      </w:r>
      <w:r w:rsidRPr="00806072">
        <w:rPr>
          <w:b/>
        </w:rPr>
        <w:t>πτώση διπλού προσαγωγέα</w:t>
      </w:r>
      <w:r>
        <w:t>»</w:t>
      </w:r>
      <w:r w:rsidR="00B82820">
        <w:rPr>
          <w:rStyle w:val="a5"/>
        </w:rPr>
        <w:footnoteReference w:id="6"/>
      </w:r>
      <w:r w:rsidR="00806072">
        <w:t xml:space="preserve">, η οποία δεν σχηματίζεται παρά από το </w:t>
      </w:r>
      <w:r w:rsidR="00806072" w:rsidRPr="00806072">
        <w:rPr>
          <w:i/>
        </w:rPr>
        <w:t>συνδυασμό</w:t>
      </w:r>
      <w:r w:rsidR="00806072">
        <w:t xml:space="preserve"> δύο παραδειγματικών δίφωνων διαδοχών. Όπως φαίνεται στο επόμενο Παράδειγμα 3, η ψηλότερη φωνή </w:t>
      </w:r>
      <w:r w:rsidR="00806072" w:rsidRPr="00280580">
        <w:rPr>
          <w:rStyle w:val="apple-style-span"/>
          <w:shd w:val="clear" w:color="auto" w:fill="FFFFFF"/>
        </w:rPr>
        <w:t>σχηματίζει μεγάλη 6η με τον τενόρο που οδηγεί σε καθαρή 8η, ενώ η άλλη σχηματίζει μεγάλη 3η (πάλι με τον τενόρο) που οδηγεί σε καθαρή 5η.</w:t>
      </w:r>
    </w:p>
    <w:p w:rsidR="003D6C79" w:rsidRDefault="003D6C79" w:rsidP="001A0DD3">
      <w:pPr>
        <w:rPr>
          <w:u w:val="single"/>
        </w:rPr>
      </w:pPr>
    </w:p>
    <w:p w:rsidR="001A0DD3" w:rsidRDefault="001A0DD3" w:rsidP="001A0DD3">
      <w:r w:rsidRPr="001A0DD3">
        <w:rPr>
          <w:u w:val="single"/>
        </w:rPr>
        <w:t>Παράδειγμα 3</w:t>
      </w:r>
      <w:r>
        <w:rPr>
          <w:u w:val="single"/>
        </w:rPr>
        <w:t>:</w:t>
      </w:r>
      <w:r>
        <w:t xml:space="preserve"> </w:t>
      </w:r>
      <w:r w:rsidR="003D6C79">
        <w:t xml:space="preserve">τρίφωνη </w:t>
      </w:r>
      <w:r w:rsidR="003D6C79" w:rsidRPr="003D6C79">
        <w:rPr>
          <w:b/>
        </w:rPr>
        <w:t>π</w:t>
      </w:r>
      <w:r w:rsidRPr="003D6C79">
        <w:rPr>
          <w:b/>
        </w:rPr>
        <w:t>τώση «διπλού προσαγωγέα»</w:t>
      </w:r>
    </w:p>
    <w:p w:rsidR="001A0DD3" w:rsidRPr="001A0DD3" w:rsidRDefault="001A0DD3" w:rsidP="001A0DD3">
      <w:r>
        <w:rPr>
          <w:noProof/>
          <w:lang w:eastAsia="el-GR"/>
        </w:rPr>
        <w:drawing>
          <wp:inline distT="0" distB="0" distL="0" distR="0">
            <wp:extent cx="4756150" cy="685994"/>
            <wp:effectExtent l="19050" t="0" r="6350" b="0"/>
            <wp:docPr id="3" name="2 - Εικόνα" descr="Example 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 1.4.TIF"/>
                    <pic:cNvPicPr/>
                  </pic:nvPicPr>
                  <pic:blipFill>
                    <a:blip r:embed="rId10" cstate="print"/>
                    <a:stretch>
                      <a:fillRect/>
                    </a:stretch>
                  </pic:blipFill>
                  <pic:spPr>
                    <a:xfrm>
                      <a:off x="0" y="0"/>
                      <a:ext cx="4756150" cy="685994"/>
                    </a:xfrm>
                    <a:prstGeom prst="rect">
                      <a:avLst/>
                    </a:prstGeom>
                  </pic:spPr>
                </pic:pic>
              </a:graphicData>
            </a:graphic>
          </wp:inline>
        </w:drawing>
      </w:r>
    </w:p>
    <w:sectPr w:rsidR="001A0DD3" w:rsidRPr="001A0DD3" w:rsidSect="00FB62C3">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EE4" w:rsidRDefault="006E1EE4" w:rsidP="007C3B9B">
      <w:pPr>
        <w:spacing w:after="0" w:line="240" w:lineRule="auto"/>
      </w:pPr>
      <w:r>
        <w:separator/>
      </w:r>
    </w:p>
  </w:endnote>
  <w:endnote w:type="continuationSeparator" w:id="0">
    <w:p w:rsidR="006E1EE4" w:rsidRDefault="006E1EE4" w:rsidP="007C3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EE4" w:rsidRDefault="006E1EE4" w:rsidP="007C3B9B">
      <w:pPr>
        <w:spacing w:after="0" w:line="240" w:lineRule="auto"/>
      </w:pPr>
      <w:r>
        <w:separator/>
      </w:r>
    </w:p>
  </w:footnote>
  <w:footnote w:type="continuationSeparator" w:id="0">
    <w:p w:rsidR="006E1EE4" w:rsidRDefault="006E1EE4" w:rsidP="007C3B9B">
      <w:pPr>
        <w:spacing w:after="0" w:line="240" w:lineRule="auto"/>
      </w:pPr>
      <w:r>
        <w:continuationSeparator/>
      </w:r>
    </w:p>
  </w:footnote>
  <w:footnote w:id="1">
    <w:p w:rsidR="00806072" w:rsidRPr="003C2668" w:rsidRDefault="00806072" w:rsidP="007C3B9B">
      <w:pPr>
        <w:pStyle w:val="a4"/>
      </w:pPr>
      <w:r>
        <w:rPr>
          <w:rStyle w:val="a5"/>
        </w:rPr>
        <w:footnoteRef/>
      </w:r>
      <w:r w:rsidRPr="007C3B9B">
        <w:t xml:space="preserve"> </w:t>
      </w:r>
      <w:r>
        <w:t>Jacques</w:t>
      </w:r>
      <w:r w:rsidRPr="007C3B9B">
        <w:t xml:space="preserve"> </w:t>
      </w:r>
      <w:r>
        <w:t>de</w:t>
      </w:r>
      <w:r w:rsidRPr="007C3B9B">
        <w:t xml:space="preserve"> </w:t>
      </w:r>
      <w:r>
        <w:t>Li</w:t>
      </w:r>
      <w:r w:rsidRPr="007C3B9B">
        <w:t>è</w:t>
      </w:r>
      <w:r>
        <w:t>ge.</w:t>
      </w:r>
    </w:p>
  </w:footnote>
  <w:footnote w:id="2">
    <w:p w:rsidR="00806072" w:rsidRPr="003C2668" w:rsidRDefault="00806072" w:rsidP="007C3B9B">
      <w:pPr>
        <w:pStyle w:val="a4"/>
      </w:pPr>
      <w:r>
        <w:rPr>
          <w:rStyle w:val="a5"/>
        </w:rPr>
        <w:footnoteRef/>
      </w:r>
      <w:r w:rsidRPr="007C3B9B">
        <w:t xml:space="preserve"> </w:t>
      </w:r>
      <w:r>
        <w:t>Marchetto</w:t>
      </w:r>
      <w:r w:rsidRPr="007C3B9B">
        <w:t xml:space="preserve"> </w:t>
      </w:r>
      <w:r>
        <w:t>da</w:t>
      </w:r>
      <w:r w:rsidRPr="007C3B9B">
        <w:t xml:space="preserve"> </w:t>
      </w:r>
      <w:r>
        <w:t>Padova.</w:t>
      </w:r>
    </w:p>
  </w:footnote>
  <w:footnote w:id="3">
    <w:p w:rsidR="00806072" w:rsidRPr="003C2668" w:rsidRDefault="00806072" w:rsidP="007C3B9B">
      <w:pPr>
        <w:pStyle w:val="a4"/>
        <w:rPr>
          <w:lang w:val="el-GR"/>
        </w:rPr>
      </w:pPr>
      <w:r>
        <w:rPr>
          <w:rStyle w:val="a5"/>
        </w:rPr>
        <w:footnoteRef/>
      </w:r>
      <w:r w:rsidRPr="001436C3">
        <w:rPr>
          <w:lang w:val="el-GR"/>
        </w:rPr>
        <w:t xml:space="preserve"> </w:t>
      </w:r>
      <w:r>
        <w:rPr>
          <w:lang w:val="el-GR"/>
        </w:rPr>
        <w:t xml:space="preserve">Από δύο διδακτικά εγχειρίδια που, υποτίθεται, απηχούν τις απόψεις του </w:t>
      </w:r>
      <w:r>
        <w:t>Philippe</w:t>
      </w:r>
      <w:r w:rsidRPr="001436C3">
        <w:rPr>
          <w:lang w:val="el-GR"/>
        </w:rPr>
        <w:t xml:space="preserve"> </w:t>
      </w:r>
      <w:r>
        <w:t>de</w:t>
      </w:r>
      <w:r w:rsidRPr="001436C3">
        <w:rPr>
          <w:lang w:val="el-GR"/>
        </w:rPr>
        <w:t xml:space="preserve"> </w:t>
      </w:r>
      <w:r>
        <w:t>Vitry</w:t>
      </w:r>
      <w:r>
        <w:rPr>
          <w:lang w:val="el-GR"/>
        </w:rPr>
        <w:t xml:space="preserve"> (δική μου έμφαση).</w:t>
      </w:r>
      <w:r w:rsidRPr="001436C3">
        <w:rPr>
          <w:lang w:val="el-GR"/>
        </w:rPr>
        <w:t xml:space="preserve"> </w:t>
      </w:r>
      <w:r>
        <w:rPr>
          <w:lang w:val="el-GR"/>
        </w:rPr>
        <w:t>Αντίστοιχες</w:t>
      </w:r>
      <w:r w:rsidRPr="003C2668">
        <w:rPr>
          <w:lang w:val="el-GR"/>
        </w:rPr>
        <w:t xml:space="preserve"> </w:t>
      </w:r>
      <w:r>
        <w:rPr>
          <w:lang w:val="el-GR"/>
        </w:rPr>
        <w:t>απόψεις</w:t>
      </w:r>
      <w:r w:rsidRPr="003C2668">
        <w:rPr>
          <w:lang w:val="el-GR"/>
        </w:rPr>
        <w:t xml:space="preserve"> </w:t>
      </w:r>
      <w:r>
        <w:rPr>
          <w:lang w:val="el-GR"/>
        </w:rPr>
        <w:t>είχε</w:t>
      </w:r>
      <w:r w:rsidRPr="003C2668">
        <w:rPr>
          <w:lang w:val="el-GR"/>
        </w:rPr>
        <w:t xml:space="preserve"> </w:t>
      </w:r>
      <w:r>
        <w:rPr>
          <w:lang w:val="el-GR"/>
        </w:rPr>
        <w:t>εκφράσει</w:t>
      </w:r>
      <w:r w:rsidRPr="003C2668">
        <w:rPr>
          <w:lang w:val="el-GR"/>
        </w:rPr>
        <w:t xml:space="preserve"> </w:t>
      </w:r>
      <w:r>
        <w:rPr>
          <w:lang w:val="el-GR"/>
        </w:rPr>
        <w:t>και</w:t>
      </w:r>
      <w:r w:rsidRPr="003C2668">
        <w:rPr>
          <w:lang w:val="el-GR"/>
        </w:rPr>
        <w:t xml:space="preserve"> </w:t>
      </w:r>
      <w:r>
        <w:rPr>
          <w:lang w:val="el-GR"/>
        </w:rPr>
        <w:t>ο</w:t>
      </w:r>
      <w:r w:rsidRPr="003C2668">
        <w:rPr>
          <w:lang w:val="el-GR"/>
        </w:rPr>
        <w:t xml:space="preserve"> </w:t>
      </w:r>
      <w:r>
        <w:t>Petrus</w:t>
      </w:r>
      <w:r w:rsidRPr="003C2668">
        <w:rPr>
          <w:lang w:val="el-GR"/>
        </w:rPr>
        <w:t xml:space="preserve"> </w:t>
      </w:r>
      <w:r>
        <w:t>palma</w:t>
      </w:r>
      <w:r>
        <w:rPr>
          <w:lang w:val="el-GR"/>
        </w:rPr>
        <w:t xml:space="preserve"> </w:t>
      </w:r>
      <w:r>
        <w:t>ociosa</w:t>
      </w:r>
      <w:r w:rsidRPr="003C2668">
        <w:rPr>
          <w:lang w:val="el-GR"/>
        </w:rPr>
        <w:t xml:space="preserve">. </w:t>
      </w:r>
    </w:p>
  </w:footnote>
  <w:footnote w:id="4">
    <w:p w:rsidR="00806072" w:rsidRPr="00006CED" w:rsidRDefault="00806072" w:rsidP="0064505E">
      <w:pPr>
        <w:pStyle w:val="a4"/>
        <w:rPr>
          <w:lang w:val="el-GR"/>
        </w:rPr>
      </w:pPr>
      <w:r>
        <w:rPr>
          <w:rStyle w:val="a5"/>
        </w:rPr>
        <w:footnoteRef/>
      </w:r>
      <w:r w:rsidRPr="0064505E">
        <w:rPr>
          <w:lang w:val="el-GR"/>
        </w:rPr>
        <w:t xml:space="preserve"> </w:t>
      </w:r>
      <w:r>
        <w:rPr>
          <w:lang w:val="el-GR"/>
        </w:rPr>
        <w:t xml:space="preserve">Όπως βλέπετε, </w:t>
      </w:r>
      <w:r w:rsidR="009D196B">
        <w:rPr>
          <w:lang w:val="el-GR"/>
        </w:rPr>
        <w:t>οι 3ες και οι 6ες χαρακτηρίζονται από</w:t>
      </w:r>
      <w:r>
        <w:rPr>
          <w:lang w:val="el-GR"/>
        </w:rPr>
        <w:t xml:space="preserve"> τον </w:t>
      </w:r>
      <w:r>
        <w:t>Marchetto</w:t>
      </w:r>
      <w:r w:rsidRPr="00006CED">
        <w:rPr>
          <w:lang w:val="el-GR"/>
        </w:rPr>
        <w:t xml:space="preserve"> </w:t>
      </w:r>
      <w:r w:rsidR="009D196B">
        <w:rPr>
          <w:lang w:val="el-GR"/>
        </w:rPr>
        <w:t xml:space="preserve">και </w:t>
      </w:r>
      <w:r w:rsidR="00380382">
        <w:rPr>
          <w:lang w:val="el-GR"/>
        </w:rPr>
        <w:t xml:space="preserve">μερικούς </w:t>
      </w:r>
      <w:r>
        <w:rPr>
          <w:lang w:val="el-GR"/>
        </w:rPr>
        <w:t xml:space="preserve">από τους συγχρόνους του </w:t>
      </w:r>
      <w:r w:rsidR="005F3C07">
        <w:rPr>
          <w:lang w:val="el-GR"/>
        </w:rPr>
        <w:t xml:space="preserve">ακόμα </w:t>
      </w:r>
      <w:r>
        <w:rPr>
          <w:lang w:val="el-GR"/>
        </w:rPr>
        <w:t xml:space="preserve">ως «αποδεκτές» </w:t>
      </w:r>
      <w:r w:rsidRPr="005F3C07">
        <w:rPr>
          <w:i/>
          <w:lang w:val="el-GR"/>
        </w:rPr>
        <w:t>διαφωνίε</w:t>
      </w:r>
      <w:r w:rsidR="005F3C07" w:rsidRPr="005F3C07">
        <w:rPr>
          <w:i/>
          <w:lang w:val="el-GR"/>
        </w:rPr>
        <w:t>ς</w:t>
      </w:r>
      <w:r w:rsidR="00380382">
        <w:rPr>
          <w:lang w:val="el-GR"/>
        </w:rPr>
        <w:t>. Η (τελική) κατάταξη των 3ων και 6ων</w:t>
      </w:r>
      <w:r w:rsidR="005F3C07">
        <w:rPr>
          <w:lang w:val="el-GR"/>
        </w:rPr>
        <w:t xml:space="preserve"> στις ατελείς </w:t>
      </w:r>
      <w:r w:rsidR="005F3C07" w:rsidRPr="00380382">
        <w:rPr>
          <w:i/>
          <w:lang w:val="el-GR"/>
        </w:rPr>
        <w:t>συμφωνίες</w:t>
      </w:r>
      <w:r w:rsidR="005F3C07">
        <w:rPr>
          <w:lang w:val="el-GR"/>
        </w:rPr>
        <w:t xml:space="preserve"> θα γίνει κοινά αποδεκτή μέχρι</w:t>
      </w:r>
      <w:r w:rsidR="00380382">
        <w:rPr>
          <w:lang w:val="el-GR"/>
        </w:rPr>
        <w:t>, περίπου,</w:t>
      </w:r>
      <w:r w:rsidR="005F3C07">
        <w:rPr>
          <w:lang w:val="el-GR"/>
        </w:rPr>
        <w:t xml:space="preserve"> τα μέσα του 14ου αιώνα.</w:t>
      </w:r>
    </w:p>
    <w:p w:rsidR="00806072" w:rsidRPr="0064505E" w:rsidRDefault="00806072">
      <w:pPr>
        <w:pStyle w:val="a4"/>
        <w:rPr>
          <w:lang w:val="el-GR"/>
        </w:rPr>
      </w:pPr>
    </w:p>
  </w:footnote>
  <w:footnote w:id="5">
    <w:p w:rsidR="003B2F61" w:rsidRPr="003B2F61" w:rsidRDefault="003B2F61">
      <w:pPr>
        <w:pStyle w:val="a4"/>
        <w:rPr>
          <w:lang w:val="el-GR"/>
        </w:rPr>
      </w:pPr>
      <w:r>
        <w:rPr>
          <w:rStyle w:val="a5"/>
        </w:rPr>
        <w:footnoteRef/>
      </w:r>
      <w:r w:rsidRPr="003B2F61">
        <w:rPr>
          <w:lang w:val="el-GR"/>
        </w:rPr>
        <w:t xml:space="preserve"> </w:t>
      </w:r>
      <w:r>
        <w:rPr>
          <w:lang w:val="el-GR"/>
        </w:rPr>
        <w:t xml:space="preserve">Πτώσεις σε λα μπορούν να επιτευχθούν εναλλακτικά και με χρήση του σολ#, όπως θα δούμε στα περισσότερα από τα έργα της αναγεννησιακής μουσικής. Στον ύστερο μεσαίωνα, εν τούτοις, για πτώσεις σε λα προτιμάται ακόμα η χρήση του “διατονικού” </w:t>
      </w:r>
      <w:r w:rsidRPr="003F7463">
        <w:rPr>
          <w:lang w:val="el-GR"/>
        </w:rPr>
        <w:t>σι</w:t>
      </w:r>
      <w:r w:rsidRPr="003F7463">
        <w:rPr>
          <w:rFonts w:ascii="Arial Unicode MS" w:eastAsia="Arial Unicode MS" w:hAnsi="Arial Unicode MS" w:cs="Arial Unicode MS" w:hint="eastAsia"/>
          <w:lang w:val="el-GR"/>
        </w:rPr>
        <w:t>♭</w:t>
      </w:r>
      <w:r>
        <w:rPr>
          <w:lang w:val="el-GR"/>
        </w:rPr>
        <w:t xml:space="preserve">. Για περισσότερα πάνω σε αυτό το ζήτημα, βλ. Γιώργος Φιτσιώρης, </w:t>
      </w:r>
      <w:r w:rsidRPr="00135CDA">
        <w:rPr>
          <w:i/>
          <w:lang w:val="el-GR"/>
        </w:rPr>
        <w:t>Τα Χορικά του Μπαχ</w:t>
      </w:r>
      <w:r>
        <w:rPr>
          <w:lang w:val="el-GR"/>
        </w:rPr>
        <w:t>, σ. 151, υποσημείωση αρ. 26.</w:t>
      </w:r>
    </w:p>
  </w:footnote>
  <w:footnote w:id="6">
    <w:p w:rsidR="00B82820" w:rsidRPr="003D6C79" w:rsidRDefault="00B82820" w:rsidP="00B82820">
      <w:pPr>
        <w:pStyle w:val="a4"/>
        <w:rPr>
          <w:lang w:val="el-GR"/>
        </w:rPr>
      </w:pPr>
      <w:r>
        <w:rPr>
          <w:rStyle w:val="a5"/>
        </w:rPr>
        <w:footnoteRef/>
      </w:r>
      <w:r w:rsidRPr="00B82820">
        <w:rPr>
          <w:lang w:val="el-GR"/>
        </w:rPr>
        <w:t xml:space="preserve"> </w:t>
      </w:r>
      <w:r>
        <w:rPr>
          <w:lang w:val="el-GR"/>
        </w:rPr>
        <w:t xml:space="preserve">«Κακώς», διότι συνθέτες και θεωρητικοί της εποχής </w:t>
      </w:r>
      <w:r w:rsidRPr="003D6C79">
        <w:rPr>
          <w:i/>
          <w:lang w:val="el-GR"/>
        </w:rPr>
        <w:t>δεν</w:t>
      </w:r>
      <w:r>
        <w:rPr>
          <w:lang w:val="el-GR"/>
        </w:rPr>
        <w:t xml:space="preserve"> αντιλαμβανόντουσαν αυτή την πτωτική δομή με αυτόν τον τρόπο. Δηλαδή, </w:t>
      </w:r>
      <w:r w:rsidRPr="003D6C79">
        <w:rPr>
          <w:i/>
          <w:lang w:val="el-GR"/>
        </w:rPr>
        <w:t>δεν φανταζόντουσαν “προσαγωγείς”</w:t>
      </w:r>
      <w:r>
        <w:rPr>
          <w:lang w:val="el-GR"/>
        </w:rPr>
        <w:t xml:space="preserve"> (έναν ή δύο) που “λυνόντουσαν” σε αντίστοιχες “τονικές”. </w:t>
      </w:r>
      <w:r w:rsidRPr="003D6C79">
        <w:rPr>
          <w:i/>
          <w:lang w:val="el-GR"/>
        </w:rPr>
        <w:t>Εμείς</w:t>
      </w:r>
      <w:r>
        <w:rPr>
          <w:lang w:val="el-GR"/>
        </w:rPr>
        <w:t xml:space="preserve"> σκεφτόμαστε έτσι, </w:t>
      </w:r>
      <w:r w:rsidRPr="003D6C79">
        <w:rPr>
          <w:lang w:val="el-GR"/>
        </w:rPr>
        <w:t xml:space="preserve">έχουμε, δηλαδή, την τάση να προσλαμβάνουμε τις πτώσεις έργων του 14ου και 15ου αιώνα επί τη βάσει της πανίσχυρης μελωδικής τάσης “προσαγωγέα-τονικής” που αποτελεί το </w:t>
      </w:r>
      <w:r w:rsidRPr="00280580">
        <w:rPr>
          <w:i/>
        </w:rPr>
        <w:t>sine</w:t>
      </w:r>
      <w:r w:rsidRPr="003D6C79">
        <w:rPr>
          <w:i/>
          <w:lang w:val="el-GR"/>
        </w:rPr>
        <w:t xml:space="preserve"> </w:t>
      </w:r>
      <w:r w:rsidRPr="00280580">
        <w:rPr>
          <w:i/>
        </w:rPr>
        <w:t>qua</w:t>
      </w:r>
      <w:r w:rsidRPr="003D6C79">
        <w:rPr>
          <w:i/>
          <w:lang w:val="el-GR"/>
        </w:rPr>
        <w:t xml:space="preserve"> </w:t>
      </w:r>
      <w:r w:rsidRPr="00280580">
        <w:rPr>
          <w:i/>
        </w:rPr>
        <w:t>non</w:t>
      </w:r>
      <w:r>
        <w:rPr>
          <w:lang w:val="el-GR"/>
        </w:rPr>
        <w:t xml:space="preserve"> του τονικού ιδιώματος!</w:t>
      </w:r>
    </w:p>
    <w:p w:rsidR="00B82820" w:rsidRPr="00B82820" w:rsidRDefault="00B82820">
      <w:pPr>
        <w:pStyle w:val="a4"/>
        <w:rPr>
          <w:lang w:val="el-G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9500"/>
      <w:docPartObj>
        <w:docPartGallery w:val="Page Numbers (Top of Page)"/>
        <w:docPartUnique/>
      </w:docPartObj>
    </w:sdtPr>
    <w:sdtContent>
      <w:p w:rsidR="00806072" w:rsidRDefault="0061002A">
        <w:pPr>
          <w:pStyle w:val="a6"/>
          <w:jc w:val="right"/>
        </w:pPr>
        <w:fldSimple w:instr=" PAGE   \* MERGEFORMAT ">
          <w:r w:rsidR="006E1EE4">
            <w:rPr>
              <w:noProof/>
            </w:rPr>
            <w:t>1</w:t>
          </w:r>
        </w:fldSimple>
      </w:p>
    </w:sdtContent>
  </w:sdt>
  <w:p w:rsidR="00806072" w:rsidRDefault="0080607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D0255"/>
    <w:multiLevelType w:val="hybridMultilevel"/>
    <w:tmpl w:val="E2ECF73E"/>
    <w:lvl w:ilvl="0" w:tplc="733C69D0">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1"/>
    <w:footnote w:id="0"/>
  </w:footnotePr>
  <w:endnotePr>
    <w:endnote w:id="-1"/>
    <w:endnote w:id="0"/>
  </w:endnotePr>
  <w:compat/>
  <w:rsids>
    <w:rsidRoot w:val="00B07847"/>
    <w:rsid w:val="00003206"/>
    <w:rsid w:val="000C64FB"/>
    <w:rsid w:val="00116D61"/>
    <w:rsid w:val="001A0C9B"/>
    <w:rsid w:val="001A0DD3"/>
    <w:rsid w:val="002B3DD7"/>
    <w:rsid w:val="002B61F4"/>
    <w:rsid w:val="002C3AD3"/>
    <w:rsid w:val="00301BD7"/>
    <w:rsid w:val="00380382"/>
    <w:rsid w:val="003B2F61"/>
    <w:rsid w:val="003C2668"/>
    <w:rsid w:val="003D2EE3"/>
    <w:rsid w:val="003D6C79"/>
    <w:rsid w:val="003F53D2"/>
    <w:rsid w:val="00475A35"/>
    <w:rsid w:val="00485CDF"/>
    <w:rsid w:val="005565B9"/>
    <w:rsid w:val="005A0A3C"/>
    <w:rsid w:val="005F3C07"/>
    <w:rsid w:val="0061002A"/>
    <w:rsid w:val="00637027"/>
    <w:rsid w:val="0064505E"/>
    <w:rsid w:val="006C2437"/>
    <w:rsid w:val="006E1EE4"/>
    <w:rsid w:val="006E2640"/>
    <w:rsid w:val="0072441E"/>
    <w:rsid w:val="00775530"/>
    <w:rsid w:val="007B23C9"/>
    <w:rsid w:val="007C3B9B"/>
    <w:rsid w:val="00806072"/>
    <w:rsid w:val="008607F2"/>
    <w:rsid w:val="008615D2"/>
    <w:rsid w:val="008A002D"/>
    <w:rsid w:val="008A59E3"/>
    <w:rsid w:val="008E1468"/>
    <w:rsid w:val="00912A5F"/>
    <w:rsid w:val="0095335E"/>
    <w:rsid w:val="00990F79"/>
    <w:rsid w:val="009D196B"/>
    <w:rsid w:val="00A80B54"/>
    <w:rsid w:val="00AE608E"/>
    <w:rsid w:val="00B07847"/>
    <w:rsid w:val="00B82820"/>
    <w:rsid w:val="00BD76D0"/>
    <w:rsid w:val="00C21A28"/>
    <w:rsid w:val="00D2112F"/>
    <w:rsid w:val="00D42BAB"/>
    <w:rsid w:val="00D55401"/>
    <w:rsid w:val="00D92E65"/>
    <w:rsid w:val="00DD1B9A"/>
    <w:rsid w:val="00DD6A65"/>
    <w:rsid w:val="00F379F0"/>
    <w:rsid w:val="00FB62C3"/>
    <w:rsid w:val="00FD01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847"/>
    <w:pPr>
      <w:ind w:left="720"/>
      <w:contextualSpacing/>
    </w:pPr>
  </w:style>
  <w:style w:type="paragraph" w:styleId="a4">
    <w:name w:val="footnote text"/>
    <w:basedOn w:val="a"/>
    <w:link w:val="Char"/>
    <w:semiHidden/>
    <w:rsid w:val="007C3B9B"/>
    <w:pPr>
      <w:spacing w:after="0" w:line="240" w:lineRule="auto"/>
    </w:pPr>
    <w:rPr>
      <w:rFonts w:eastAsia="Times New Roman"/>
      <w:sz w:val="20"/>
      <w:szCs w:val="20"/>
      <w:lang w:val="en-US"/>
    </w:rPr>
  </w:style>
  <w:style w:type="character" w:customStyle="1" w:styleId="Char">
    <w:name w:val="Κείμενο υποσημείωσης Char"/>
    <w:basedOn w:val="a0"/>
    <w:link w:val="a4"/>
    <w:semiHidden/>
    <w:rsid w:val="007C3B9B"/>
    <w:rPr>
      <w:rFonts w:eastAsia="Times New Roman"/>
      <w:sz w:val="20"/>
      <w:szCs w:val="20"/>
      <w:lang w:val="en-US"/>
    </w:rPr>
  </w:style>
  <w:style w:type="character" w:styleId="a5">
    <w:name w:val="footnote reference"/>
    <w:basedOn w:val="a0"/>
    <w:semiHidden/>
    <w:rsid w:val="007C3B9B"/>
    <w:rPr>
      <w:vertAlign w:val="superscript"/>
    </w:rPr>
  </w:style>
  <w:style w:type="paragraph" w:styleId="a6">
    <w:name w:val="header"/>
    <w:basedOn w:val="a"/>
    <w:link w:val="Char0"/>
    <w:uiPriority w:val="99"/>
    <w:unhideWhenUsed/>
    <w:rsid w:val="0064505E"/>
    <w:pPr>
      <w:tabs>
        <w:tab w:val="center" w:pos="4153"/>
        <w:tab w:val="right" w:pos="8306"/>
      </w:tabs>
      <w:spacing w:after="0" w:line="240" w:lineRule="auto"/>
    </w:pPr>
  </w:style>
  <w:style w:type="character" w:customStyle="1" w:styleId="Char0">
    <w:name w:val="Κεφαλίδα Char"/>
    <w:basedOn w:val="a0"/>
    <w:link w:val="a6"/>
    <w:uiPriority w:val="99"/>
    <w:rsid w:val="0064505E"/>
  </w:style>
  <w:style w:type="paragraph" w:styleId="a7">
    <w:name w:val="footer"/>
    <w:basedOn w:val="a"/>
    <w:link w:val="Char1"/>
    <w:uiPriority w:val="99"/>
    <w:semiHidden/>
    <w:unhideWhenUsed/>
    <w:rsid w:val="0064505E"/>
    <w:pPr>
      <w:tabs>
        <w:tab w:val="center" w:pos="4153"/>
        <w:tab w:val="right" w:pos="8306"/>
      </w:tabs>
      <w:spacing w:after="0" w:line="240" w:lineRule="auto"/>
    </w:pPr>
  </w:style>
  <w:style w:type="character" w:customStyle="1" w:styleId="Char1">
    <w:name w:val="Υποσέλιδο Char"/>
    <w:basedOn w:val="a0"/>
    <w:link w:val="a7"/>
    <w:uiPriority w:val="99"/>
    <w:semiHidden/>
    <w:rsid w:val="0064505E"/>
  </w:style>
  <w:style w:type="paragraph" w:styleId="a8">
    <w:name w:val="Balloon Text"/>
    <w:basedOn w:val="a"/>
    <w:link w:val="Char2"/>
    <w:uiPriority w:val="99"/>
    <w:semiHidden/>
    <w:unhideWhenUsed/>
    <w:rsid w:val="00D2112F"/>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2112F"/>
    <w:rPr>
      <w:rFonts w:ascii="Tahoma" w:hAnsi="Tahoma" w:cs="Tahoma"/>
      <w:sz w:val="16"/>
      <w:szCs w:val="16"/>
    </w:rPr>
  </w:style>
  <w:style w:type="character" w:customStyle="1" w:styleId="apple-style-span">
    <w:name w:val="apple-style-span"/>
    <w:basedOn w:val="a0"/>
    <w:rsid w:val="008060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97F25-F99C-4E49-B77C-053CD642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1247</Words>
  <Characters>6740</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Noorg</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21</cp:revision>
  <dcterms:created xsi:type="dcterms:W3CDTF">2011-12-05T09:32:00Z</dcterms:created>
  <dcterms:modified xsi:type="dcterms:W3CDTF">2012-12-01T06:22:00Z</dcterms:modified>
</cp:coreProperties>
</file>