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2F5D9" w14:textId="75C5CAA7" w:rsidR="00AD74F8" w:rsidRPr="00FC5E0A" w:rsidRDefault="008D4789" w:rsidP="00BE2375">
      <w:pPr>
        <w:rPr>
          <w:rFonts w:ascii="Times New Roman" w:hAnsi="Times New Roman"/>
        </w:rPr>
      </w:pPr>
      <w:r w:rsidRPr="00FC5E0A">
        <w:rPr>
          <w:rFonts w:ascii="Times New Roman" w:hAnsi="Times New Roman"/>
          <w:noProof/>
          <w:lang w:val="es-MX" w:eastAsia="es-MX"/>
        </w:rPr>
        <w:drawing>
          <wp:anchor distT="0" distB="382143" distL="136525" distR="136525" simplePos="0" relativeHeight="251659264" behindDoc="0" locked="0" layoutInCell="1" allowOverlap="0" wp14:anchorId="0821C6DB" wp14:editId="4353732A">
            <wp:simplePos x="0" y="0"/>
            <wp:positionH relativeFrom="column">
              <wp:posOffset>-19050</wp:posOffset>
            </wp:positionH>
            <wp:positionV relativeFrom="paragraph">
              <wp:posOffset>119380</wp:posOffset>
            </wp:positionV>
            <wp:extent cx="543560" cy="895985"/>
            <wp:effectExtent l="0" t="0" r="2540" b="5715"/>
            <wp:wrapNone/>
            <wp:docPr id="14" name="Immagine 5" descr="International Journal of Serious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descr="International Journal of Serious Games"/>
                    <pic:cNvPicPr>
                      <a:picLocks noChangeAspect="1" noChangeArrowheads="1"/>
                    </pic:cNvPicPr>
                  </pic:nvPicPr>
                  <pic:blipFill rotWithShape="1">
                    <a:blip r:embed="rId8">
                      <a:extLst>
                        <a:ext uri="{28A0092B-C50C-407E-A947-70E740481C1C}">
                          <a14:useLocalDpi xmlns:a14="http://schemas.microsoft.com/office/drawing/2010/main" val="0"/>
                        </a:ext>
                      </a:extLst>
                    </a:blip>
                    <a:srcRect l="3959" r="84311" b="30519"/>
                    <a:stretch/>
                  </pic:blipFill>
                  <pic:spPr bwMode="auto">
                    <a:xfrm>
                      <a:off x="0" y="0"/>
                      <a:ext cx="543560" cy="89598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D87A20" w14:textId="6CB84F44" w:rsidR="008C4A3A" w:rsidRPr="00FC5E0A" w:rsidRDefault="008C4A3A" w:rsidP="00F7548B">
      <w:pPr>
        <w:pStyle w:val="IJSGTitle"/>
        <w:shd w:val="solid" w:color="2AABE1" w:fill="auto"/>
        <w:ind w:left="1276" w:firstLine="284"/>
        <w:rPr>
          <w:rFonts w:ascii="Times New Roman" w:hAnsi="Times New Roman" w:cs="Times New Roman"/>
          <w:b/>
          <w:bCs/>
          <w:color w:val="auto"/>
          <w:sz w:val="22"/>
          <w:szCs w:val="22"/>
        </w:rPr>
      </w:pPr>
    </w:p>
    <w:p w14:paraId="44C3506C" w14:textId="4D758B67" w:rsidR="009846C5" w:rsidRPr="00FC5E0A" w:rsidRDefault="009846C5" w:rsidP="00F7548B">
      <w:pPr>
        <w:pStyle w:val="IJSGTitle"/>
        <w:shd w:val="solid" w:color="2AABE1" w:fill="auto"/>
        <w:ind w:left="1276" w:firstLine="284"/>
        <w:rPr>
          <w:rFonts w:ascii="Times New Roman" w:hAnsi="Times New Roman" w:cs="Times New Roman"/>
          <w:b/>
          <w:bCs/>
          <w:color w:val="auto"/>
          <w:sz w:val="22"/>
          <w:szCs w:val="22"/>
        </w:rPr>
      </w:pPr>
      <w:r w:rsidRPr="00FC5E0A">
        <w:rPr>
          <w:rFonts w:ascii="Times New Roman" w:hAnsi="Times New Roman" w:cs="Times New Roman"/>
          <w:b/>
          <w:bCs/>
          <w:color w:val="auto"/>
          <w:sz w:val="22"/>
          <w:szCs w:val="22"/>
        </w:rPr>
        <w:t>International Journal of Serious Games</w:t>
      </w:r>
    </w:p>
    <w:p w14:paraId="0B2A33A0" w14:textId="77777777" w:rsidR="003D63B0" w:rsidRPr="00FC5E0A" w:rsidRDefault="003D63B0" w:rsidP="00BC4306">
      <w:pPr>
        <w:pStyle w:val="IJSGTitle"/>
        <w:shd w:val="solid" w:color="2AABE1" w:fill="auto"/>
        <w:ind w:left="1276" w:firstLine="283"/>
        <w:rPr>
          <w:rFonts w:ascii="Times New Roman" w:hAnsi="Times New Roman" w:cs="Times New Roman"/>
          <w:color w:val="auto"/>
          <w:sz w:val="22"/>
          <w:szCs w:val="22"/>
        </w:rPr>
      </w:pPr>
    </w:p>
    <w:p w14:paraId="4E14B08A" w14:textId="0DC64AA4" w:rsidR="00691041" w:rsidRPr="00FC5E0A" w:rsidRDefault="00996EF4" w:rsidP="00BC4306">
      <w:pPr>
        <w:pStyle w:val="IJSGTitle"/>
        <w:shd w:val="solid" w:color="2AABE1" w:fill="auto"/>
        <w:ind w:left="1276" w:firstLine="283"/>
        <w:rPr>
          <w:rFonts w:ascii="Times New Roman" w:hAnsi="Times New Roman" w:cs="Times New Roman"/>
          <w:color w:val="auto"/>
          <w:sz w:val="22"/>
          <w:szCs w:val="22"/>
        </w:rPr>
      </w:pPr>
      <w:r w:rsidRPr="00FC5E0A">
        <w:rPr>
          <w:rFonts w:ascii="Times New Roman" w:hAnsi="Times New Roman" w:cs="Times New Roman"/>
          <w:color w:val="auto"/>
          <w:sz w:val="22"/>
          <w:szCs w:val="22"/>
        </w:rPr>
        <w:t>ISSN: 2384-8766</w:t>
      </w:r>
    </w:p>
    <w:p w14:paraId="67CC144F" w14:textId="772BBCC8" w:rsidR="003648E4" w:rsidRPr="00FC5E0A" w:rsidRDefault="00E1209F" w:rsidP="00BC4306">
      <w:pPr>
        <w:pStyle w:val="IJSGTitle"/>
        <w:shd w:val="solid" w:color="2AABE1" w:fill="auto"/>
        <w:ind w:left="1276" w:firstLine="283"/>
        <w:rPr>
          <w:rFonts w:ascii="Times New Roman" w:hAnsi="Times New Roman" w:cs="Times New Roman"/>
          <w:color w:val="auto"/>
          <w:sz w:val="22"/>
          <w:szCs w:val="22"/>
        </w:rPr>
      </w:pPr>
      <w:r w:rsidRPr="00FC5E0A">
        <w:rPr>
          <w:rFonts w:ascii="Times New Roman" w:hAnsi="Times New Roman" w:cs="Times New Roman"/>
          <w:color w:val="auto"/>
          <w:sz w:val="22"/>
          <w:szCs w:val="22"/>
        </w:rPr>
        <w:t>https://journal.seriousgamessociety.org/</w:t>
      </w:r>
    </w:p>
    <w:p w14:paraId="278B2B10" w14:textId="77777777" w:rsidR="00E1209F" w:rsidRPr="00FC5E0A" w:rsidRDefault="00E1209F" w:rsidP="00BC4306">
      <w:pPr>
        <w:pStyle w:val="IJSGTitle"/>
        <w:shd w:val="solid" w:color="2AABE1" w:fill="auto"/>
        <w:ind w:left="1276" w:firstLine="283"/>
        <w:rPr>
          <w:rFonts w:ascii="Times New Roman" w:hAnsi="Times New Roman" w:cs="Times New Roman"/>
          <w:color w:val="auto"/>
          <w:sz w:val="22"/>
          <w:szCs w:val="22"/>
        </w:rPr>
      </w:pPr>
    </w:p>
    <w:p w14:paraId="5EE02A85" w14:textId="414C2ED4" w:rsidR="003736D2" w:rsidRPr="00FC5E0A" w:rsidRDefault="003736D2" w:rsidP="00BA6E38">
      <w:pPr>
        <w:rPr>
          <w:rFonts w:ascii="Times New Roman" w:hAnsi="Times New Roman"/>
          <w:lang w:val="en-US"/>
        </w:rPr>
      </w:pPr>
    </w:p>
    <w:p w14:paraId="3A185545" w14:textId="77777777" w:rsidR="0002433C" w:rsidRPr="00FC5E0A" w:rsidRDefault="0002433C" w:rsidP="0002433C">
      <w:pPr>
        <w:pStyle w:val="Articletype"/>
        <w:rPr>
          <w:rFonts w:ascii="Times New Roman" w:hAnsi="Times New Roman"/>
        </w:rPr>
      </w:pPr>
      <w:r w:rsidRPr="00FC5E0A">
        <w:rPr>
          <w:rFonts w:ascii="Times New Roman" w:hAnsi="Times New Roman"/>
        </w:rPr>
        <w:t>Article</w:t>
      </w:r>
    </w:p>
    <w:p w14:paraId="7CCAB58C" w14:textId="4C55B97C" w:rsidR="00FD51AE" w:rsidRPr="00FC5E0A" w:rsidRDefault="00A2307D" w:rsidP="00A2307D">
      <w:pPr>
        <w:pStyle w:val="ArticleTitle"/>
        <w:rPr>
          <w:rFonts w:ascii="Times New Roman" w:hAnsi="Times New Roman" w:cs="Times New Roman"/>
          <w:sz w:val="22"/>
          <w:szCs w:val="22"/>
        </w:rPr>
      </w:pPr>
      <w:r w:rsidRPr="00FC5E0A">
        <w:rPr>
          <w:rFonts w:ascii="Times New Roman" w:hAnsi="Times New Roman" w:cs="Times New Roman"/>
          <w:sz w:val="22"/>
          <w:szCs w:val="22"/>
        </w:rPr>
        <w:t>A Hybrid Approach in Teaching and Experiencing Sport Event Management through the Serious Game Top Eleven</w:t>
      </w:r>
    </w:p>
    <w:p w14:paraId="497D4B5B" w14:textId="77777777" w:rsidR="009E7588" w:rsidRPr="00FC5E0A" w:rsidRDefault="009E7588" w:rsidP="00646F70">
      <w:pPr>
        <w:pStyle w:val="Authorsaffiliation"/>
        <w:rPr>
          <w:sz w:val="22"/>
          <w:szCs w:val="22"/>
          <w:lang w:val="en-US"/>
        </w:rPr>
      </w:pPr>
    </w:p>
    <w:p w14:paraId="1E9FCF18" w14:textId="77777777" w:rsidR="00692DEF" w:rsidRPr="00FC5E0A" w:rsidRDefault="00692DEF" w:rsidP="00646F70">
      <w:pPr>
        <w:pStyle w:val="Ligne"/>
        <w:rPr>
          <w:rFonts w:ascii="Times New Roman" w:hAnsi="Times New Roman"/>
          <w:sz w:val="22"/>
          <w:szCs w:val="22"/>
        </w:rPr>
      </w:pPr>
    </w:p>
    <w:p w14:paraId="7D73091A" w14:textId="3A2B37DD" w:rsidR="00450C47" w:rsidRPr="00FC5E0A" w:rsidRDefault="00450C47" w:rsidP="00BA6E38">
      <w:pPr>
        <w:rPr>
          <w:rFonts w:ascii="Times New Roman" w:hAnsi="Times New Roman"/>
          <w:lang w:val="en-US"/>
        </w:rPr>
        <w:sectPr w:rsidR="00450C47" w:rsidRPr="00FC5E0A" w:rsidSect="003617B3">
          <w:footerReference w:type="even" r:id="rId9"/>
          <w:footerReference w:type="default" r:id="rId10"/>
          <w:footerReference w:type="first" r:id="rId11"/>
          <w:pgSz w:w="11906" w:h="16838"/>
          <w:pgMar w:top="1151" w:right="1671" w:bottom="1585" w:left="1587" w:header="709" w:footer="527" w:gutter="0"/>
          <w:pgNumType w:start="1"/>
          <w:cols w:space="708"/>
          <w:titlePg/>
          <w:docGrid w:linePitch="360"/>
        </w:sectPr>
      </w:pPr>
    </w:p>
    <w:p w14:paraId="3656CF98" w14:textId="125A9311" w:rsidR="00B43353" w:rsidRPr="00FC5E0A" w:rsidRDefault="00B43353" w:rsidP="004B6324">
      <w:pPr>
        <w:pStyle w:val="ArticleInfo"/>
        <w:rPr>
          <w:b/>
          <w:bCs/>
          <w:sz w:val="22"/>
          <w:szCs w:val="22"/>
        </w:rPr>
      </w:pPr>
      <w:r w:rsidRPr="00FC5E0A">
        <w:rPr>
          <w:b/>
          <w:bCs/>
          <w:sz w:val="22"/>
          <w:szCs w:val="22"/>
        </w:rPr>
        <w:t>Keywords:</w:t>
      </w:r>
    </w:p>
    <w:p w14:paraId="52175CAD" w14:textId="77777777" w:rsidR="00F86C17" w:rsidRPr="00FC5E0A" w:rsidRDefault="0078092E" w:rsidP="004B6324">
      <w:pPr>
        <w:pStyle w:val="ArticleInfo"/>
        <w:rPr>
          <w:sz w:val="22"/>
          <w:szCs w:val="22"/>
        </w:rPr>
      </w:pPr>
      <w:r w:rsidRPr="00FC5E0A">
        <w:rPr>
          <w:sz w:val="22"/>
          <w:szCs w:val="22"/>
        </w:rPr>
        <w:t>Serious Games</w:t>
      </w:r>
    </w:p>
    <w:p w14:paraId="08DD086A" w14:textId="77777777" w:rsidR="00F86C17" w:rsidRPr="00FC5E0A" w:rsidRDefault="0078092E" w:rsidP="004B6324">
      <w:pPr>
        <w:pStyle w:val="ArticleInfo"/>
        <w:rPr>
          <w:sz w:val="22"/>
          <w:szCs w:val="22"/>
        </w:rPr>
      </w:pPr>
      <w:r w:rsidRPr="00FC5E0A">
        <w:rPr>
          <w:sz w:val="22"/>
          <w:szCs w:val="22"/>
        </w:rPr>
        <w:t>Computer based learning</w:t>
      </w:r>
    </w:p>
    <w:p w14:paraId="0319F1F0" w14:textId="77777777" w:rsidR="007E771F" w:rsidRPr="00FC5E0A" w:rsidRDefault="0078092E" w:rsidP="004B6324">
      <w:pPr>
        <w:pStyle w:val="ArticleInfo"/>
        <w:rPr>
          <w:sz w:val="22"/>
          <w:szCs w:val="22"/>
        </w:rPr>
      </w:pPr>
      <w:r w:rsidRPr="00FC5E0A">
        <w:rPr>
          <w:sz w:val="22"/>
          <w:szCs w:val="22"/>
        </w:rPr>
        <w:t>Virtual sport event</w:t>
      </w:r>
    </w:p>
    <w:p w14:paraId="71928EE6" w14:textId="77777777" w:rsidR="007E771F" w:rsidRPr="00FC5E0A" w:rsidRDefault="0078092E" w:rsidP="004B6324">
      <w:pPr>
        <w:pStyle w:val="ArticleInfo"/>
        <w:rPr>
          <w:sz w:val="22"/>
          <w:szCs w:val="22"/>
        </w:rPr>
      </w:pPr>
      <w:r w:rsidRPr="00FC5E0A">
        <w:rPr>
          <w:sz w:val="22"/>
          <w:szCs w:val="22"/>
        </w:rPr>
        <w:t>Management tools</w:t>
      </w:r>
    </w:p>
    <w:p w14:paraId="40366DE2" w14:textId="34023790" w:rsidR="007E771F" w:rsidRPr="00FC5E0A" w:rsidRDefault="0078092E" w:rsidP="004B6324">
      <w:pPr>
        <w:pStyle w:val="ArticleInfo"/>
        <w:rPr>
          <w:sz w:val="22"/>
          <w:szCs w:val="22"/>
        </w:rPr>
      </w:pPr>
      <w:r w:rsidRPr="00FC5E0A">
        <w:rPr>
          <w:sz w:val="22"/>
          <w:szCs w:val="22"/>
        </w:rPr>
        <w:t>Virtual football tournament</w:t>
      </w:r>
    </w:p>
    <w:p w14:paraId="57683522" w14:textId="1B87DF81" w:rsidR="007E771F" w:rsidRPr="00FC5E0A" w:rsidRDefault="0078092E" w:rsidP="004B6324">
      <w:pPr>
        <w:pStyle w:val="ArticleInfo"/>
        <w:rPr>
          <w:sz w:val="22"/>
          <w:szCs w:val="22"/>
        </w:rPr>
      </w:pPr>
      <w:r w:rsidRPr="00FC5E0A">
        <w:rPr>
          <w:sz w:val="22"/>
          <w:szCs w:val="22"/>
        </w:rPr>
        <w:t xml:space="preserve">Sport </w:t>
      </w:r>
      <w:r w:rsidR="00077D7F" w:rsidRPr="00FC5E0A">
        <w:rPr>
          <w:sz w:val="22"/>
          <w:szCs w:val="22"/>
        </w:rPr>
        <w:t>event m</w:t>
      </w:r>
      <w:r w:rsidRPr="00FC5E0A">
        <w:rPr>
          <w:sz w:val="22"/>
          <w:szCs w:val="22"/>
        </w:rPr>
        <w:t>anagement</w:t>
      </w:r>
    </w:p>
    <w:p w14:paraId="54A12928" w14:textId="77777777" w:rsidR="008D3BDE" w:rsidRPr="00FC5E0A" w:rsidRDefault="0078092E" w:rsidP="004B6324">
      <w:pPr>
        <w:pStyle w:val="ArticleInfo"/>
        <w:rPr>
          <w:sz w:val="22"/>
          <w:szCs w:val="22"/>
        </w:rPr>
      </w:pPr>
      <w:r w:rsidRPr="00FC5E0A">
        <w:rPr>
          <w:sz w:val="22"/>
          <w:szCs w:val="22"/>
        </w:rPr>
        <w:t>Top Eleven</w:t>
      </w:r>
    </w:p>
    <w:p w14:paraId="5A8D4344" w14:textId="785A66C9" w:rsidR="00CD0C7B" w:rsidRPr="00FC5E0A" w:rsidRDefault="00CD0C7B" w:rsidP="004B6324">
      <w:pPr>
        <w:pStyle w:val="ArticleInfo"/>
        <w:rPr>
          <w:sz w:val="22"/>
          <w:szCs w:val="22"/>
        </w:rPr>
      </w:pPr>
    </w:p>
    <w:p w14:paraId="5276ECA6" w14:textId="77777777" w:rsidR="008D3BDE" w:rsidRPr="00FC5E0A" w:rsidRDefault="008D3BDE" w:rsidP="004B6324">
      <w:pPr>
        <w:pStyle w:val="ArticleInfo"/>
        <w:rPr>
          <w:sz w:val="22"/>
          <w:szCs w:val="22"/>
        </w:rPr>
      </w:pPr>
    </w:p>
    <w:p w14:paraId="317135F1" w14:textId="77777777" w:rsidR="008D3BDE" w:rsidRPr="00FC5E0A" w:rsidRDefault="008D3BDE" w:rsidP="004B6324">
      <w:pPr>
        <w:pStyle w:val="ArticleInfo"/>
        <w:rPr>
          <w:sz w:val="22"/>
          <w:szCs w:val="22"/>
        </w:rPr>
      </w:pPr>
    </w:p>
    <w:p w14:paraId="2FCCFA6F" w14:textId="77777777" w:rsidR="008D3BDE" w:rsidRPr="00FC5E0A" w:rsidRDefault="008D3BDE" w:rsidP="004B6324">
      <w:pPr>
        <w:pStyle w:val="ArticleInfo"/>
        <w:rPr>
          <w:sz w:val="22"/>
          <w:szCs w:val="22"/>
        </w:rPr>
      </w:pPr>
    </w:p>
    <w:p w14:paraId="3779F584" w14:textId="77777777" w:rsidR="008D3BDE" w:rsidRPr="00FC5E0A" w:rsidRDefault="008D3BDE" w:rsidP="004B6324">
      <w:pPr>
        <w:pStyle w:val="ArticleInfo"/>
        <w:rPr>
          <w:sz w:val="22"/>
          <w:szCs w:val="22"/>
        </w:rPr>
      </w:pPr>
    </w:p>
    <w:p w14:paraId="32574E5E" w14:textId="77777777" w:rsidR="008D3BDE" w:rsidRPr="00FC5E0A" w:rsidRDefault="008D3BDE" w:rsidP="004B6324">
      <w:pPr>
        <w:pStyle w:val="ArticleInfo"/>
        <w:rPr>
          <w:sz w:val="22"/>
          <w:szCs w:val="22"/>
        </w:rPr>
      </w:pPr>
    </w:p>
    <w:p w14:paraId="1D89EFC3" w14:textId="77777777" w:rsidR="008D3BDE" w:rsidRPr="00FC5E0A" w:rsidRDefault="008D3BDE" w:rsidP="004B6324">
      <w:pPr>
        <w:pStyle w:val="ArticleInfo"/>
        <w:rPr>
          <w:sz w:val="22"/>
          <w:szCs w:val="22"/>
        </w:rPr>
      </w:pPr>
    </w:p>
    <w:p w14:paraId="0B4C0A65" w14:textId="77777777" w:rsidR="008D3BDE" w:rsidRPr="00FC5E0A" w:rsidRDefault="008D3BDE" w:rsidP="004B6324">
      <w:pPr>
        <w:pStyle w:val="ArticleInfo"/>
        <w:rPr>
          <w:sz w:val="22"/>
          <w:szCs w:val="22"/>
        </w:rPr>
      </w:pPr>
    </w:p>
    <w:p w14:paraId="03A198FE" w14:textId="77777777" w:rsidR="004B6324" w:rsidRPr="00FC5E0A" w:rsidRDefault="004B6324" w:rsidP="004B6324">
      <w:pPr>
        <w:pStyle w:val="ArticleInfo"/>
        <w:rPr>
          <w:sz w:val="22"/>
          <w:szCs w:val="22"/>
        </w:rPr>
      </w:pPr>
    </w:p>
    <w:p w14:paraId="0DFE7C42" w14:textId="705CD2F7" w:rsidR="004B6324" w:rsidRPr="00FC5E0A" w:rsidRDefault="00243C1F" w:rsidP="004B6324">
      <w:pPr>
        <w:pStyle w:val="ArticleInfo"/>
        <w:rPr>
          <w:sz w:val="22"/>
          <w:szCs w:val="22"/>
        </w:rPr>
      </w:pPr>
      <w:r w:rsidRPr="00FC5E0A">
        <w:rPr>
          <w:sz w:val="22"/>
          <w:szCs w:val="22"/>
        </w:rPr>
        <w:t>Received</w:t>
      </w:r>
      <w:r w:rsidR="004B6324" w:rsidRPr="00FC5E0A">
        <w:rPr>
          <w:sz w:val="22"/>
          <w:szCs w:val="22"/>
        </w:rPr>
        <w:t xml:space="preserve">: </w:t>
      </w:r>
      <w:r w:rsidR="00DE4C45" w:rsidRPr="00FC5E0A">
        <w:rPr>
          <w:sz w:val="22"/>
          <w:szCs w:val="22"/>
        </w:rPr>
        <w:t>XXXX</w:t>
      </w:r>
    </w:p>
    <w:p w14:paraId="527F9251" w14:textId="395BD04F" w:rsidR="00243C1F" w:rsidRPr="00FC5E0A" w:rsidRDefault="00243C1F" w:rsidP="004B6324">
      <w:pPr>
        <w:pStyle w:val="ArticleInfo"/>
        <w:rPr>
          <w:sz w:val="22"/>
          <w:szCs w:val="22"/>
        </w:rPr>
      </w:pPr>
      <w:r w:rsidRPr="00FC5E0A">
        <w:rPr>
          <w:sz w:val="22"/>
          <w:szCs w:val="22"/>
        </w:rPr>
        <w:t xml:space="preserve">Accepted: </w:t>
      </w:r>
      <w:r w:rsidR="00DE4C45" w:rsidRPr="00FC5E0A">
        <w:rPr>
          <w:sz w:val="22"/>
          <w:szCs w:val="22"/>
        </w:rPr>
        <w:t>XXXX</w:t>
      </w:r>
    </w:p>
    <w:p w14:paraId="553D4DE4" w14:textId="339A8421" w:rsidR="004B6324" w:rsidRPr="00FC5E0A" w:rsidRDefault="004B6324" w:rsidP="004B6324">
      <w:pPr>
        <w:pStyle w:val="ArticleInfo"/>
        <w:rPr>
          <w:sz w:val="22"/>
          <w:szCs w:val="22"/>
        </w:rPr>
      </w:pPr>
      <w:r w:rsidRPr="00FC5E0A">
        <w:rPr>
          <w:sz w:val="22"/>
          <w:szCs w:val="22"/>
        </w:rPr>
        <w:t xml:space="preserve">Published: </w:t>
      </w:r>
      <w:r w:rsidR="00DE4C45" w:rsidRPr="00FC5E0A">
        <w:rPr>
          <w:sz w:val="22"/>
          <w:szCs w:val="22"/>
        </w:rPr>
        <w:t>XXXX</w:t>
      </w:r>
    </w:p>
    <w:p w14:paraId="3F261A1E" w14:textId="57102E4E" w:rsidR="00CD0C7B" w:rsidRPr="00FC5E0A" w:rsidRDefault="00CD0C7B" w:rsidP="004B6324">
      <w:pPr>
        <w:pStyle w:val="ArticleInfo"/>
        <w:rPr>
          <w:sz w:val="22"/>
          <w:szCs w:val="22"/>
        </w:rPr>
      </w:pPr>
      <w:r w:rsidRPr="00FC5E0A">
        <w:rPr>
          <w:sz w:val="22"/>
          <w:szCs w:val="22"/>
        </w:rPr>
        <w:t xml:space="preserve">DOI: </w:t>
      </w:r>
      <w:r w:rsidR="004B7B65" w:rsidRPr="00FC5E0A">
        <w:rPr>
          <w:sz w:val="22"/>
          <w:szCs w:val="22"/>
        </w:rPr>
        <w:t>10.17083/ijsg.</w:t>
      </w:r>
      <w:r w:rsidR="00DE4C45" w:rsidRPr="00FC5E0A">
        <w:rPr>
          <w:sz w:val="22"/>
          <w:szCs w:val="22"/>
        </w:rPr>
        <w:t>XXXX</w:t>
      </w:r>
    </w:p>
    <w:p w14:paraId="019DE32E" w14:textId="58BCA540" w:rsidR="005A758C" w:rsidRPr="00FC5E0A" w:rsidRDefault="00ED5283" w:rsidP="00A918C5">
      <w:pPr>
        <w:pStyle w:val="AbstractTitle"/>
        <w:rPr>
          <w:rFonts w:ascii="Times New Roman" w:hAnsi="Times New Roman" w:cs="Times New Roman"/>
          <w:szCs w:val="22"/>
        </w:rPr>
      </w:pPr>
      <w:r w:rsidRPr="00FC5E0A">
        <w:rPr>
          <w:rFonts w:ascii="Times New Roman" w:hAnsi="Times New Roman" w:cs="Times New Roman"/>
          <w:szCs w:val="22"/>
        </w:rPr>
        <w:br w:type="column"/>
      </w:r>
      <w:r w:rsidR="0038064E" w:rsidRPr="00FC5E0A">
        <w:rPr>
          <w:rFonts w:ascii="Times New Roman" w:hAnsi="Times New Roman" w:cs="Times New Roman"/>
          <w:szCs w:val="22"/>
        </w:rPr>
        <w:t xml:space="preserve">Abstract </w:t>
      </w:r>
    </w:p>
    <w:p w14:paraId="46692187" w14:textId="73976954" w:rsidR="00604968" w:rsidRPr="00FC5E0A" w:rsidRDefault="00D3372E" w:rsidP="00F55129">
      <w:pPr>
        <w:pStyle w:val="AbstractText"/>
        <w:ind w:right="-272"/>
        <w:rPr>
          <w:rStyle w:val="AbstractTextCarattere"/>
          <w:sz w:val="22"/>
          <w:szCs w:val="22"/>
        </w:rPr>
        <w:sectPr w:rsidR="00604968" w:rsidRPr="00FC5E0A" w:rsidSect="003617B3">
          <w:type w:val="continuous"/>
          <w:pgSz w:w="11906" w:h="16838"/>
          <w:pgMar w:top="1151" w:right="1665" w:bottom="1729" w:left="1587" w:header="709" w:footer="527" w:gutter="0"/>
          <w:pgNumType w:start="1"/>
          <w:cols w:num="2" w:space="0" w:equalWidth="0">
            <w:col w:w="2408" w:space="0"/>
            <w:col w:w="5962"/>
          </w:cols>
          <w:titlePg/>
          <w:docGrid w:linePitch="360"/>
        </w:sectPr>
      </w:pPr>
      <w:r w:rsidRPr="00FC5E0A">
        <w:rPr>
          <w:sz w:val="22"/>
          <w:szCs w:val="22"/>
        </w:rPr>
        <w:t xml:space="preserve">The intention of this study was to innovate in teaching and experiencing sport event management. Conventional teaching methods do not meet modern needs. Therefore, we investigated whether a serious game such as Top Eleven can be used as an auxiliary educational tool for sport event management. Following the case study methodology, a virtual football tournament planned, organized, managed, and evaluated by N=44 students who attended Sport Event Management class. In tournament participated N=328 freshmen students. A hybrid process was followed, as part of the tournament </w:t>
      </w:r>
      <w:r w:rsidR="00FC5E0A" w:rsidRPr="00FC5E0A">
        <w:rPr>
          <w:sz w:val="22"/>
          <w:szCs w:val="22"/>
        </w:rPr>
        <w:t>has</w:t>
      </w:r>
      <w:r w:rsidRPr="00FC5E0A">
        <w:rPr>
          <w:sz w:val="22"/>
          <w:szCs w:val="22"/>
        </w:rPr>
        <w:t xml:space="preserve"> been run online, while another part was implemented in real life. Data were collected via a set of deliverables, written test, and a questionnaire. The organizational process was conceptualized by the “Unified Model of Events Management” and the “Scenario Based Education Framework”. The data analysis revealed a satisfactory level of knowledge acquisition</w:t>
      </w:r>
      <w:r w:rsidR="006B72C6" w:rsidRPr="00FC5E0A">
        <w:rPr>
          <w:sz w:val="22"/>
          <w:szCs w:val="22"/>
        </w:rPr>
        <w:t>,</w:t>
      </w:r>
      <w:r w:rsidRPr="00FC5E0A">
        <w:rPr>
          <w:sz w:val="22"/>
          <w:szCs w:val="22"/>
        </w:rPr>
        <w:t xml:space="preserve"> skills development, and experiences gained related to investigated topic. Consequently, it can be argued that </w:t>
      </w:r>
      <w:r w:rsidR="00232EF4" w:rsidRPr="00FC5E0A">
        <w:rPr>
          <w:sz w:val="22"/>
          <w:szCs w:val="22"/>
        </w:rPr>
        <w:t>a Serious Game such as Top Eleven</w:t>
      </w:r>
      <w:r w:rsidRPr="00FC5E0A">
        <w:rPr>
          <w:sz w:val="22"/>
          <w:szCs w:val="22"/>
        </w:rPr>
        <w:t xml:space="preserve"> can be used as an auxiliary educational tool for the above purposes</w:t>
      </w:r>
      <w:r w:rsidR="006D7F44" w:rsidRPr="00FC5E0A">
        <w:rPr>
          <w:sz w:val="22"/>
          <w:szCs w:val="22"/>
        </w:rPr>
        <w:t>, via the implementation of a hybrid approach that is proposed</w:t>
      </w:r>
      <w:r w:rsidRPr="00FC5E0A">
        <w:rPr>
          <w:sz w:val="22"/>
          <w:szCs w:val="22"/>
        </w:rPr>
        <w:t xml:space="preserve">. This study advances </w:t>
      </w:r>
      <w:r w:rsidR="00232EF4" w:rsidRPr="00FC5E0A">
        <w:rPr>
          <w:sz w:val="22"/>
          <w:szCs w:val="22"/>
        </w:rPr>
        <w:t>S</w:t>
      </w:r>
      <w:r w:rsidRPr="00FC5E0A">
        <w:rPr>
          <w:sz w:val="22"/>
          <w:szCs w:val="22"/>
        </w:rPr>
        <w:t xml:space="preserve">erious </w:t>
      </w:r>
      <w:r w:rsidR="00232EF4" w:rsidRPr="00FC5E0A">
        <w:rPr>
          <w:sz w:val="22"/>
          <w:szCs w:val="22"/>
        </w:rPr>
        <w:t>G</w:t>
      </w:r>
      <w:r w:rsidRPr="00FC5E0A">
        <w:rPr>
          <w:sz w:val="22"/>
          <w:szCs w:val="22"/>
        </w:rPr>
        <w:t>ames state of the art in learning and teaching methods through an innovative gamification process, which allows students to acquire not only theoretical knowledge but also practical experiences that develop their sport event managerial skills</w:t>
      </w:r>
      <w:r w:rsidR="001E070C" w:rsidRPr="00FC5E0A">
        <w:rPr>
          <w:sz w:val="22"/>
          <w:szCs w:val="22"/>
        </w:rPr>
        <w:t>.</w:t>
      </w:r>
    </w:p>
    <w:p w14:paraId="15F860A5" w14:textId="77777777" w:rsidR="000D61B6" w:rsidRPr="00FC5E0A" w:rsidRDefault="000D61B6" w:rsidP="00646F70">
      <w:pPr>
        <w:pStyle w:val="Ligne"/>
        <w:rPr>
          <w:rFonts w:ascii="Times New Roman" w:hAnsi="Times New Roman"/>
          <w:sz w:val="22"/>
          <w:szCs w:val="22"/>
        </w:rPr>
      </w:pPr>
      <w:bookmarkStart w:id="0" w:name="_aknorpn0w7c9" w:colFirst="0" w:colLast="0"/>
      <w:bookmarkStart w:id="1" w:name="_s1hqmbopgupm" w:colFirst="0" w:colLast="0"/>
      <w:bookmarkStart w:id="2" w:name="_3znysh7" w:colFirst="0" w:colLast="0"/>
      <w:bookmarkStart w:id="3" w:name="_w1fnja4l0lwh" w:colFirst="0" w:colLast="0"/>
      <w:bookmarkEnd w:id="0"/>
      <w:bookmarkEnd w:id="1"/>
      <w:bookmarkEnd w:id="2"/>
      <w:bookmarkEnd w:id="3"/>
    </w:p>
    <w:p w14:paraId="695733C9" w14:textId="4D21BC00" w:rsidR="00450C47" w:rsidRPr="00FC5E0A" w:rsidRDefault="003D44CE" w:rsidP="004B4F1E">
      <w:pPr>
        <w:pStyle w:val="1"/>
        <w:rPr>
          <w:rFonts w:ascii="Times New Roman" w:hAnsi="Times New Roman" w:cs="Times New Roman"/>
          <w:color w:val="auto"/>
          <w:sz w:val="22"/>
        </w:rPr>
      </w:pPr>
      <w:r w:rsidRPr="00FC5E0A">
        <w:rPr>
          <w:rFonts w:ascii="Times New Roman" w:hAnsi="Times New Roman" w:cs="Times New Roman"/>
          <w:color w:val="auto"/>
          <w:sz w:val="22"/>
        </w:rPr>
        <w:t>Introduction</w:t>
      </w:r>
    </w:p>
    <w:p w14:paraId="79FF78EC" w14:textId="34E813FD" w:rsidR="00C832B4" w:rsidRPr="00FC5E0A" w:rsidRDefault="00C832B4" w:rsidP="00970E46">
      <w:pPr>
        <w:spacing w:line="264" w:lineRule="auto"/>
        <w:jc w:val="both"/>
        <w:rPr>
          <w:rFonts w:ascii="Times New Roman" w:hAnsi="Times New Roman"/>
          <w:lang w:val="en-US"/>
        </w:rPr>
      </w:pPr>
      <w:r w:rsidRPr="00FC5E0A">
        <w:rPr>
          <w:rFonts w:ascii="Times New Roman" w:hAnsi="Times New Roman"/>
          <w:lang w:val="en-US"/>
        </w:rPr>
        <w:t>Since the late of 19</w:t>
      </w:r>
      <w:r w:rsidRPr="00FC5E0A">
        <w:rPr>
          <w:rFonts w:ascii="Times New Roman" w:hAnsi="Times New Roman"/>
          <w:vertAlign w:val="superscript"/>
          <w:lang w:val="en-US"/>
        </w:rPr>
        <w:t>th</w:t>
      </w:r>
      <w:r w:rsidRPr="00FC5E0A">
        <w:rPr>
          <w:rFonts w:ascii="Times New Roman" w:hAnsi="Times New Roman"/>
          <w:lang w:val="en-US"/>
        </w:rPr>
        <w:t xml:space="preserve"> century, technology influence our lives with increasingly importance. </w:t>
      </w:r>
      <w:r w:rsidR="00C14DF2" w:rsidRPr="00FC5E0A">
        <w:rPr>
          <w:rFonts w:ascii="Times New Roman" w:hAnsi="Times New Roman"/>
          <w:lang w:val="en-US"/>
        </w:rPr>
        <w:t>Currently it</w:t>
      </w:r>
      <w:r w:rsidRPr="00FC5E0A">
        <w:rPr>
          <w:rFonts w:ascii="Times New Roman" w:hAnsi="Times New Roman"/>
          <w:lang w:val="en-US"/>
        </w:rPr>
        <w:t xml:space="preserve"> dominates and affects all sectors of </w:t>
      </w:r>
      <w:r w:rsidR="00232EF4" w:rsidRPr="00FC5E0A">
        <w:rPr>
          <w:rFonts w:ascii="Times New Roman" w:hAnsi="Times New Roman"/>
          <w:lang w:val="en-US"/>
        </w:rPr>
        <w:t>society</w:t>
      </w:r>
      <w:r w:rsidRPr="00FC5E0A">
        <w:rPr>
          <w:rFonts w:ascii="Times New Roman" w:hAnsi="Times New Roman"/>
          <w:lang w:val="en-US"/>
        </w:rPr>
        <w:t xml:space="preserve">, including education at all levels. In recent decades, technology has </w:t>
      </w:r>
      <w:r w:rsidR="00232EF4" w:rsidRPr="00FC5E0A">
        <w:rPr>
          <w:rFonts w:ascii="Times New Roman" w:hAnsi="Times New Roman"/>
          <w:lang w:val="en-US"/>
        </w:rPr>
        <w:t>offered</w:t>
      </w:r>
      <w:r w:rsidRPr="00FC5E0A">
        <w:rPr>
          <w:rFonts w:ascii="Times New Roman" w:hAnsi="Times New Roman"/>
          <w:lang w:val="en-US"/>
        </w:rPr>
        <w:t xml:space="preserve"> students many educational </w:t>
      </w:r>
      <w:r w:rsidR="00FC5E0A" w:rsidRPr="00FC5E0A">
        <w:rPr>
          <w:rFonts w:ascii="Times New Roman" w:hAnsi="Times New Roman"/>
          <w:lang w:val="en-US"/>
        </w:rPr>
        <w:t>tools</w:t>
      </w:r>
      <w:r w:rsidRPr="00FC5E0A">
        <w:rPr>
          <w:rFonts w:ascii="Times New Roman" w:hAnsi="Times New Roman"/>
          <w:lang w:val="en-US"/>
        </w:rPr>
        <w:t xml:space="preserve"> for the development of their knowledge and skills mainly by simulation. Especially in the era of Covid-19 pandemic during the lockdown period, where face-to-face learning was impossible, technology became an essential tool </w:t>
      </w:r>
      <w:r w:rsidRPr="00FC5E0A">
        <w:rPr>
          <w:rFonts w:ascii="Times New Roman" w:hAnsi="Times New Roman"/>
          <w:lang w:val="en-US"/>
        </w:rPr>
        <w:lastRenderedPageBreak/>
        <w:t xml:space="preserve">and an integral part of education. In this effort, </w:t>
      </w:r>
      <w:r w:rsidR="008C3FA8" w:rsidRPr="00FC5E0A">
        <w:rPr>
          <w:rFonts w:ascii="Times New Roman" w:hAnsi="Times New Roman"/>
          <w:lang w:val="en-US"/>
        </w:rPr>
        <w:t>Serious Games</w:t>
      </w:r>
      <w:r w:rsidRPr="00FC5E0A">
        <w:rPr>
          <w:rFonts w:ascii="Times New Roman" w:hAnsi="Times New Roman"/>
          <w:lang w:val="en-US"/>
        </w:rPr>
        <w:t xml:space="preserve"> (SG) could serve as an important auxiliary educational tool.</w:t>
      </w:r>
    </w:p>
    <w:p w14:paraId="58CEF230" w14:textId="77777777" w:rsidR="00C832B4" w:rsidRPr="00FC5E0A" w:rsidRDefault="00C832B4" w:rsidP="00970E46">
      <w:pPr>
        <w:spacing w:line="264" w:lineRule="auto"/>
        <w:ind w:firstLine="284"/>
        <w:jc w:val="both"/>
        <w:rPr>
          <w:rFonts w:ascii="Times New Roman" w:hAnsi="Times New Roman"/>
          <w:lang w:val="en-US"/>
        </w:rPr>
      </w:pPr>
      <w:r w:rsidRPr="00FC5E0A">
        <w:rPr>
          <w:rFonts w:ascii="Times New Roman" w:hAnsi="Times New Roman"/>
          <w:lang w:val="en-US"/>
        </w:rPr>
        <w:t xml:space="preserve">SGs are now widely used in higher education </w:t>
      </w:r>
      <w:r w:rsidRPr="00FC5E0A">
        <w:rPr>
          <w:rFonts w:ascii="Times New Roman" w:hAnsi="Times New Roman"/>
          <w:lang w:val="en-US"/>
        </w:rPr>
        <w:fldChar w:fldCharType="begin" w:fldLock="1"/>
      </w:r>
      <w:r w:rsidRPr="00FC5E0A">
        <w:rPr>
          <w:rFonts w:ascii="Times New Roman" w:hAnsi="Times New Roman"/>
          <w:lang w:val="en-US"/>
        </w:rPr>
        <w:instrText>ADDIN CSL_CITATION {"citationItems":[{"id":"ITEM-1","itemData":{"DOI":"10.1186/s41239-017-0062-1","ISBN":"4123901700","ISSN":"23659440","abstract":"The focus of higher education institutions is the preparation of future professionals. To achieve this aim, innovative teaching methods are often deployed, including games and simulations, which form the subject of this paper. As the field of digital games and simulations is ever maturing, this paper attempts to systematically review the literature relevant to games and simulation pedagogy in higher education. Two researchers collaborate to apply a qualitative method, coding and synthesizing the results using multiple criteria. The main objective is to study the impact of games and simulations with regard to achieving specific learning objectives. On balance, results indicate that games and/or simulations have a positive impact on learning goals. The researchers identify three learning outcomes when integrating games into the learning process: cognitive, behavioural, and affective. As a final step, the authors consolidate evidence for the benefit of academics and practitioners in higher education interested in the efficient use of games and simulations for pedagogical purposes. Such evidence also provides potential options and pathways for future research.","author":[{"dropping-particle":"","family":"Vlachopoulos","given":"Dimitrios","non-dropping-particle":"","parse-names":false,"suffix":""},{"dropping-particle":"","family":"Makri","given":"Agoritsa","non-dropping-particle":"","parse-names":false,"suffix":""}],"container-title":"International Journal of Educational Technology in Higher Education","id":"ITEM-1","issue":"1","issued":{"date-parts":[["2017"]]},"number-of-pages":"1-33","publisher":"International Journal of Educational Technology in Higher Education","title":"The effect of games and simulations on higher education: a systematic literature review","type":"book","volume":"14"},"uris":["http://www.mendeley.com/documents/?uuid=d6e654e7-80de-46ef-b60e-76d06588330b"]}],"mendeley":{"formattedCitation":"[1]","plainTextFormattedCitation":"[1]","previouslyFormattedCitation":"[1]"},"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[1]</w:t>
      </w:r>
      <w:r w:rsidRPr="00FC5E0A">
        <w:rPr>
          <w:rFonts w:ascii="Times New Roman" w:hAnsi="Times New Roman"/>
          <w:lang w:val="en-US"/>
        </w:rPr>
        <w:fldChar w:fldCharType="end"/>
      </w:r>
      <w:r w:rsidRPr="00FC5E0A">
        <w:rPr>
          <w:rFonts w:ascii="Times New Roman" w:hAnsi="Times New Roman"/>
          <w:lang w:val="en-US"/>
        </w:rPr>
        <w:t xml:space="preserve"> mainly due to their ability to “transfer” students to a virtual environment that resembles the real world for which they need to be trained. Through SGs that save money, time, and resources </w:t>
      </w:r>
      <w:r w:rsidRPr="00FC5E0A">
        <w:rPr>
          <w:rFonts w:ascii="Times New Roman" w:hAnsi="Times New Roman"/>
          <w:shd w:val="clear" w:color="auto" w:fill="FFFFFF"/>
          <w:lang w:val="en-US"/>
        </w:rPr>
        <w:t>as well</w:t>
      </w:r>
      <w:r w:rsidRPr="00FC5E0A">
        <w:rPr>
          <w:rFonts w:ascii="Times New Roman" w:hAnsi="Times New Roman"/>
          <w:lang w:val="en-US"/>
        </w:rPr>
        <w:t xml:space="preserve"> </w:t>
      </w:r>
      <w:r w:rsidRPr="00FC5E0A">
        <w:rPr>
          <w:rFonts w:ascii="Times New Roman" w:hAnsi="Times New Roman"/>
          <w:lang w:val="en-US"/>
        </w:rPr>
        <w:fldChar w:fldCharType="begin" w:fldLock="1"/>
      </w:r>
      <w:r w:rsidRPr="00FC5E0A">
        <w:rPr>
          <w:rFonts w:ascii="Times New Roman" w:hAnsi="Times New Roman"/>
          <w:lang w:val="en-US"/>
        </w:rPr>
        <w:instrText>ADDIN CSL_CITATION {"citationItems":[{"id":"ITEM-1","itemData":{"author":[{"dropping-particle":"","family":"Boinodiris","given":"P.","non-dropping-particle":"","parse-names":false,"suffix":""}],"container-title":"The Bridge: Linking Engineering and Society","editor":[{"dropping-particle":"","family":"Latanision","given":"R.M.","non-dropping-particle":"","parse-names":false,"suffix":""},{"dropping-particle":"","family":"Fletcher","given":"C.H.","non-dropping-particle":"","parse-names":false,"suffix":""}],"id":"ITEM-1","issued":{"date-parts":[["2012"]]},"page":"34-39","publisher":"National Academy of Sciences","title":"Playing to win: serious games for business","type":"chapter"},"uris":["http://www.mendeley.com/documents/?uuid=192f4d05-d6d1-490d-87d8-ecfd281d75bf"]}],"mendeley":{"formattedCitation":"[2]","plainTextFormattedCitation":"[2]","previouslyFormattedCitation":"[2]"},"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[2]</w:t>
      </w:r>
      <w:r w:rsidRPr="00FC5E0A">
        <w:rPr>
          <w:rFonts w:ascii="Times New Roman" w:hAnsi="Times New Roman"/>
          <w:lang w:val="en-US"/>
        </w:rPr>
        <w:fldChar w:fldCharType="end"/>
      </w:r>
      <w:r w:rsidRPr="00FC5E0A">
        <w:rPr>
          <w:rFonts w:ascii="Times New Roman" w:hAnsi="Times New Roman"/>
          <w:shd w:val="clear" w:color="auto" w:fill="FFFFFF"/>
          <w:lang w:val="en-US"/>
        </w:rPr>
        <w:t>,</w:t>
      </w:r>
      <w:r w:rsidRPr="00FC5E0A">
        <w:rPr>
          <w:rFonts w:ascii="Times New Roman" w:hAnsi="Times New Roman"/>
          <w:lang w:val="en-US"/>
        </w:rPr>
        <w:t xml:space="preserve"> students can gain knowledge and skills by managing resources, make decisions, and generally operate in an environment similar to their future work positions. Since digital SGs can simulate the “real” world </w:t>
      </w:r>
      <w:r w:rsidRPr="00FC5E0A">
        <w:rPr>
          <w:rFonts w:ascii="Times New Roman" w:hAnsi="Times New Roman"/>
          <w:lang w:val="en-US"/>
        </w:rPr>
        <w:fldChar w:fldCharType="begin" w:fldLock="1"/>
      </w:r>
      <w:r w:rsidRPr="00FC5E0A">
        <w:rPr>
          <w:rFonts w:ascii="Times New Roman" w:hAnsi="Times New Roman"/>
          <w:lang w:val="en-US"/>
        </w:rPr>
        <w:instrText>ADDIN CSL_CITATION {"citationItems":[{"id":"ITEM-1","itemData":{"ISBN":"9780124172081","abstract":"The first chapter is devoted to defining network security monitoring and its relevance in the modern security landscape. It begins by discussing the four domains of security and then describes how network security monitoring fits into them. Key security terms are defined in route to comparing and contrasting traditional intrusion detection and modern network security monitoring. The NSM Cycle and its components (collection, detection, and analysis) are introduced. Next, the role of the analyst is introduced, along with critical analyst skills and potential specializations. Next, techniques for promoting analyst success are described. Finally, the Security Onion distribution is introduced, along with step-by-step instructions on the installation, initial configuration, and testing of Security Onion.","author":[{"dropping-particle":"","family":"Chalip","given":"Laurence","non-dropping-particle":"","parse-names":false,"suffix":""}],"container-title":"Journal of Sport Management","id":"ITEM-1","issue":"1","issued":{"date-parts":[["2006"]]},"page":"1-21","title":"Toward a Distinctive","type":"article-journal","volume":"20"},"uris":["http://www.mendeley.com/documents/?uuid=79204b34-495d-49b0-a83c-af10e1f45bca"]}],"mendeley":{"formattedCitation":"[3]","plainTextFormattedCitation":"[3]","previouslyFormattedCitation":"[3]"},"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[3]</w:t>
      </w:r>
      <w:r w:rsidRPr="00FC5E0A">
        <w:rPr>
          <w:rFonts w:ascii="Times New Roman" w:hAnsi="Times New Roman"/>
          <w:lang w:val="en-US"/>
        </w:rPr>
        <w:fldChar w:fldCharType="end"/>
      </w:r>
      <w:r w:rsidRPr="00FC5E0A">
        <w:rPr>
          <w:rFonts w:ascii="Times New Roman" w:hAnsi="Times New Roman"/>
          <w:lang w:val="en-US"/>
        </w:rPr>
        <w:t xml:space="preserve">, their demand has been increased for educational purposes </w:t>
      </w:r>
      <w:r w:rsidRPr="00FC5E0A">
        <w:rPr>
          <w:rFonts w:ascii="Times New Roman" w:hAnsi="Times New Roman"/>
          <w:lang w:val="en-US"/>
        </w:rPr>
        <w:fldChar w:fldCharType="begin" w:fldLock="1"/>
      </w:r>
      <w:r w:rsidRPr="00FC5E0A">
        <w:rPr>
          <w:rFonts w:ascii="Times New Roman" w:hAnsi="Times New Roman"/>
          <w:lang w:val="en-US"/>
        </w:rPr>
        <w:instrText>ADDIN CSL_CITATION {"citationItems":[{"id":"ITEM-1","itemData":{"DOI":"10.17083/ijsg.v8i2.425","ISSN":"23848766","abstract":"Greenfoot is an educational programming environment that aims to motivate students in learning object-oriented programming (OOP) through the development of simple games and simulations. Several studies have presented positive results regarding the usage of Greenfoot as a tool for introducing novices to OOP. In this article, we propose using Greenfoot as a tool for introducing novices to (serious) games programming, as well as a tool for implementing serious games (SGs). As a proof of concept, the design and implementation of an SG for learning OOP utilizing Greenfoot and a survey on the perceptions of graduates that had been introduced to SGs programming with Greenfoot in the context of a relevant Master course are presented. The results show that Greenfoot, although not developed for this purpose, can be utilized both as a tool for introducing novices to (serious) games programming and as a tool for developing SGs.","author":[{"dropping-particle":"","family":"Xinogalos","given":"Stelios","non-dropping-particle":"","parse-names":false,"suffix":""},{"dropping-particle":"","family":"Tryfou","given":"Margarita Maria","non-dropping-particle":"","parse-names":false,"suffix":""}],"container-title":"International Journal of Serious Games","id":"ITEM-1","issue":"2","issued":{"date-parts":[["2021"]]},"page":"67-86","title":"Using Greenfoot as a tool for serious games programming education and development","type":"article-journal","volume":"8"},"uris":["http://www.mendeley.com/documents/?uuid=a67189b5-6e65-4050-9910-cf5ace03c497"]}],"mendeley":{"formattedCitation":"[4]","plainTextFormattedCitation":"[4]","previouslyFormattedCitation":"[4]"},"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[4]</w:t>
      </w:r>
      <w:r w:rsidRPr="00FC5E0A">
        <w:rPr>
          <w:rFonts w:ascii="Times New Roman" w:hAnsi="Times New Roman"/>
          <w:lang w:val="en-US"/>
        </w:rPr>
        <w:fldChar w:fldCharType="end"/>
      </w:r>
      <w:r w:rsidRPr="00FC5E0A">
        <w:rPr>
          <w:rFonts w:ascii="Times New Roman" w:hAnsi="Times New Roman"/>
          <w:lang w:val="en-US"/>
        </w:rPr>
        <w:t xml:space="preserve"> during recent years </w:t>
      </w:r>
      <w:r w:rsidRPr="00FC5E0A">
        <w:rPr>
          <w:rFonts w:ascii="Times New Roman" w:hAnsi="Times New Roman"/>
          <w:lang w:val="en-US"/>
        </w:rPr>
        <w:fldChar w:fldCharType="begin" w:fldLock="1"/>
      </w:r>
      <w:r w:rsidRPr="00FC5E0A">
        <w:rPr>
          <w:rFonts w:ascii="Times New Roman" w:hAnsi="Times New Roman"/>
          <w:lang w:val="en-US"/>
        </w:rPr>
        <w:instrText>ADDIN CSL_CITATION {"citationItems":[{"id":"ITEM-1","itemData":{"DOI":"10.30935/cedtech/9608","ISSN":"1309517X","abstract":"The aim of this study was to conduct a systematic literature review on the use of serious games in science education between 2016 and 2020 years. A total of 39 articles were included from Science Citation IndexExpanded (SCI-Expanded), Social Science Citation Index (SSCI), Arts &amp; Humanities Citation Index (A&amp;HCI) and Emerging Sources Citation Index (ESCI) listed in the Web of Science database. The results showed that experiential science was the most emphasized subject area in the articles. The results also indicated that learning/academic achievement was the common examined topic in the articles. For the research designs, more than half of the articles implemented quantitative research design. Considering the data collection tools, achievement tests were the most used data collection tool. Regarding the use of sampling methods, convenience sampling was preferred in more than half of the articles. Secondary and primary school students were the most used sampling groups. The sample size of 31-100-person group was commonly chosen in the articles. Considering the data analysis methods, a majority of articles implemented descriptive analyses methods. It was also found that computer game was the most used game type. Regarding the game genres, adventure was the most preferred one in serious games.","author":[{"dropping-particle":"","family":"Kara","given":"Nuri","non-dropping-particle":"","parse-names":false,"suffix":""}],"container-title":"Contemporary Educational Technology","id":"ITEM-1","issue":"2","issued":{"date-parts":[["2021"]]},"page":"1-13","title":"A systematic review of the use of serious games in science education","type":"article-journal","volume":"13"},"uris":["http://www.mendeley.com/documents/?uuid=47aada96-c3ba-4e47-9b18-f1c6cdb8033a"]}],"mendeley":{"formattedCitation":"[5]","plainTextFormattedCitation":"[5]","previouslyFormattedCitation":"[5]"},"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[5]</w:t>
      </w:r>
      <w:r w:rsidRPr="00FC5E0A">
        <w:rPr>
          <w:rFonts w:ascii="Times New Roman" w:hAnsi="Times New Roman"/>
          <w:lang w:val="en-US"/>
        </w:rPr>
        <w:fldChar w:fldCharType="end"/>
      </w:r>
      <w:r w:rsidRPr="00FC5E0A">
        <w:rPr>
          <w:rFonts w:ascii="Times New Roman" w:hAnsi="Times New Roman"/>
          <w:lang w:val="en-US"/>
        </w:rPr>
        <w:t xml:space="preserve">. According to Vlachopoulos and Makri </w:t>
      </w:r>
      <w:r w:rsidRPr="00FC5E0A">
        <w:rPr>
          <w:rFonts w:ascii="Times New Roman" w:hAnsi="Times New Roman"/>
          <w:lang w:val="en-US"/>
        </w:rPr>
        <w:fldChar w:fldCharType="begin" w:fldLock="1"/>
      </w:r>
      <w:r w:rsidRPr="00FC5E0A">
        <w:rPr>
          <w:rFonts w:ascii="Times New Roman" w:hAnsi="Times New Roman"/>
          <w:lang w:val="en-US"/>
        </w:rPr>
        <w:instrText>ADDIN CSL_CITATION {"citationItems":[{"id":"ITEM-1","itemData":{"DOI":"10.1186/s41239-017-0062-1","ISBN":"4123901700","ISSN":"23659440","abstract":"The focus of higher education institutions is the preparation of future professionals. To achieve this aim, innovative teaching methods are often deployed, including games and simulations, which form the subject of this paper. As the field of digital games and simulations is ever maturing, this paper attempts to systematically review the literature relevant to games and simulation pedagogy in higher education. Two researchers collaborate to apply a qualitative method, coding and synthesizing the results using multiple criteria. The main objective is to study the impact of games and simulations with regard to achieving specific learning objectives. On balance, results indicate that games and/or simulations have a positive impact on learning goals. The researchers identify three learning outcomes when integrating games into the learning process: cognitive, behavioural, and affective. As a final step, the authors consolidate evidence for the benefit of academics and practitioners in higher education interested in the efficient use of games and simulations for pedagogical purposes. Such evidence also provides potential options and pathways for future research.","author":[{"dropping-particle":"","family":"Vlachopoulos","given":"Dimitrios","non-dropping-particle":"","parse-names":false,"suffix":""},{"dropping-particle":"","family":"Makri","given":"Agoritsa","non-dropping-particle":"","parse-names":false,"suffix":""}],"container-title":"International Journal of Educational Technology in Higher Education","id":"ITEM-1","issue":"1","issued":{"date-parts":[["2017"]]},"number-of-pages":"1-33","publisher":"International Journal of Educational Technology in Higher Education","title":"The effect of games and simulations on higher education: a systematic literature review","type":"book","volume":"14"},"locator":"1","uris":["http://www.mendeley.com/documents/?uuid=d6e654e7-80de-46ef-b60e-76d06588330b"]}],"mendeley":{"formattedCitation":"[1, p. 1]","plainTextFormattedCitation":"[1, p. 1]","previouslyFormattedCitation":"[1, p. 1]"},"properties":{"noteIndex":0},"schema":"https://github.com/citation-style-language/schema/raw/master/csl-citation.json"}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[1, p. 1]</w:t>
      </w:r>
      <w:r w:rsidRPr="00FC5E0A">
        <w:rPr>
          <w:rFonts w:ascii="Times New Roman" w:hAnsi="Times New Roman"/>
          <w:lang w:val="en-US"/>
        </w:rPr>
        <w:fldChar w:fldCharType="end"/>
      </w:r>
      <w:r w:rsidRPr="00FC5E0A">
        <w:rPr>
          <w:rFonts w:ascii="Times New Roman" w:hAnsi="Times New Roman"/>
          <w:lang w:val="en-US"/>
        </w:rPr>
        <w:t xml:space="preserve">, “As rapidly evolving technological applications, games and simulations are already widely integrated in the traditional educational process. They are deployed extensively in the field of education, with an existing body of work examining the relation of games and education”. Although the use of SGs in education is not something new, these games are more effective, as they are designed in such way that give user the opportunity to act in a simulated environment, with clearly defined goals, regulations, decision making, instant feedback and evaluation </w:t>
      </w:r>
      <w:r w:rsidRPr="00FC5E0A">
        <w:rPr>
          <w:rFonts w:ascii="Times New Roman" w:hAnsi="Times New Roman"/>
          <w:lang w:val="en-US"/>
        </w:rPr>
        <w:fldChar w:fldCharType="begin" w:fldLock="1"/>
      </w:r>
      <w:r w:rsidRPr="00FC5E0A">
        <w:rPr>
          <w:rFonts w:ascii="Times New Roman" w:hAnsi="Times New Roman"/>
          <w:lang w:val="en-US"/>
        </w:rPr>
        <w:instrText>ADDIN CSL_CITATION {"citationItems":[{"id":"ITEM-1","itemData":{"ISBN":"1101467150","author":[{"dropping-particle":"","family":"McGonigal","given":"Jane","non-dropping-particle":"","parse-names":false,"suffix":""}],"id":"ITEM-1","issued":{"date-parts":[["2011"]]},"publisher":"The Penguin Press","publisher-place":"New York","title":"Reality is broken: Why games make us better and how they can change the world","type":"book"},"uris":["http://www.mendeley.com/documents/?uuid=2ad91220-421a-42af-9223-6a8323d93d82"]}],"mendeley":{"formattedCitation":"[6]","plainTextFormattedCitation":"[6]","previouslyFormattedCitation":"[6]"},"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[6]</w:t>
      </w:r>
      <w:r w:rsidRPr="00FC5E0A">
        <w:rPr>
          <w:rFonts w:ascii="Times New Roman" w:hAnsi="Times New Roman"/>
          <w:lang w:val="en-US"/>
        </w:rPr>
        <w:fldChar w:fldCharType="end"/>
      </w:r>
      <w:r w:rsidRPr="00FC5E0A">
        <w:rPr>
          <w:rFonts w:ascii="Times New Roman" w:hAnsi="Times New Roman"/>
          <w:lang w:val="en-US"/>
        </w:rPr>
        <w:t xml:space="preserve">. </w:t>
      </w:r>
    </w:p>
    <w:p w14:paraId="162E1067" w14:textId="4FDF37AF" w:rsidR="00C832B4" w:rsidRPr="00FC5E0A" w:rsidRDefault="00C832B4" w:rsidP="00970E46">
      <w:pPr>
        <w:spacing w:line="264" w:lineRule="auto"/>
        <w:ind w:firstLine="284"/>
        <w:jc w:val="both"/>
        <w:rPr>
          <w:rFonts w:ascii="Times New Roman" w:hAnsi="Times New Roman"/>
          <w:lang w:val="en-US"/>
        </w:rPr>
      </w:pPr>
      <w:r w:rsidRPr="00FC5E0A">
        <w:rPr>
          <w:rFonts w:ascii="Times New Roman" w:hAnsi="Times New Roman"/>
          <w:lang w:val="en-US"/>
        </w:rPr>
        <w:t xml:space="preserve">SGs are even employed in higher education as educational means </w:t>
      </w:r>
      <w:r w:rsidRPr="00FC5E0A">
        <w:rPr>
          <w:rFonts w:ascii="Times New Roman" w:hAnsi="Times New Roman"/>
          <w:lang w:val="en-US"/>
        </w:rPr>
        <w:fldChar w:fldCharType="begin" w:fldLock="1"/>
      </w:r>
      <w:r w:rsidRPr="00FC5E0A">
        <w:rPr>
          <w:rFonts w:ascii="Times New Roman" w:hAnsi="Times New Roman"/>
          <w:lang w:val="en-US"/>
        </w:rPr>
        <w:instrText>ADDIN CSL_CITATION {"citationItems":[{"id":"ITEM-1","itemData":{"DOI":"10.1109/HICSS.2016.106","ISBN":"9780769556703","ISSN":"15301605","abstract":"This article is an exploratory approach of the different strategies used in higher education institutions for implementing serious games. In the complex and often slow-moving education sector, serious games are challenging not only the learners and teachers' practices but also the organizations' strategies. What performance criteria can be used in this specific context to evaluate the training? What types of strategies emerge? During the past decade, different types of serious games implementation have been experimented in higher education. Through a longitudinal analysis of six case studies, this article builds a typology of six strategies to implement serious games in higher education: Recycling, Ready-to wear, Home-made, Haute-couture, Co-branding and The Playground. This study therefore introduces a sixth level of analysis in the evaluation of training process: Innovation. It therefore supports the creation of a new strategy: The Playground strategy.","author":[{"dropping-particle":"","family":"Michel","given":"Helene","non-dropping-particle":"","parse-names":false,"suffix":""}],"container-title":"Proceedings of the Annual Hawaii International Conference on System Sciences","id":"ITEM-1","issued":{"date-parts":[["2016"]]},"page":"818-826","title":"Characterizing serious games implementation's strategies: Is higher education the new playground of serious games?","type":"article-journal","volume":"2016-March"},"uris":["http://www.mendeley.com/documents/?uuid=f38af961-a14f-46b0-a7f0-80d2209deeae"]}],"mendeley":{"formattedCitation":"[7]","plainTextFormattedCitation":"[7]","previouslyFormattedCitation":"[7]"},"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[7]</w:t>
      </w:r>
      <w:r w:rsidRPr="00FC5E0A">
        <w:rPr>
          <w:rFonts w:ascii="Times New Roman" w:hAnsi="Times New Roman"/>
          <w:lang w:val="en-US"/>
        </w:rPr>
        <w:fldChar w:fldCharType="end"/>
      </w:r>
      <w:r w:rsidRPr="00FC5E0A">
        <w:rPr>
          <w:rFonts w:ascii="Times New Roman" w:hAnsi="Times New Roman"/>
          <w:lang w:val="en-US"/>
        </w:rPr>
        <w:t xml:space="preserve">, especially during the last decade since simulation games rapidly increased both in quality and numbers allowing researchers to investigate their learning effectiveness more thoroughly </w:t>
      </w:r>
      <w:r w:rsidRPr="00FC5E0A">
        <w:rPr>
          <w:rFonts w:ascii="Times New Roman" w:hAnsi="Times New Roman"/>
          <w:lang w:val="en-US"/>
        </w:rPr>
        <w:fldChar w:fldCharType="begin" w:fldLock="1"/>
      </w:r>
      <w:r w:rsidRPr="00FC5E0A">
        <w:rPr>
          <w:rFonts w:ascii="Times New Roman" w:hAnsi="Times New Roman"/>
          <w:lang w:val="en-US"/>
        </w:rPr>
        <w:instrText>ADDIN CSL_CITATION {"citationItems":[{"id":"ITEM-1","itemData":{"DOI":"10.1016/j.compedu.2011.07.015","ISSN":"03601315","abstract":"Although the value of serious games in education is undeniable and the potential benefits of using video games as ideal companions to classroom instruction is unquestionable, there is still little consensus on the game features supporting learning effectiveness, the process by which games engage learners, and the types of learning outcomes that can be achieved through game play. Our aim in this discussion is precisely to advance in this direction by providing evidence of some of the factors influencing the learning effectiveness of a serious game called It's a Deal! This serious game was created for the purpose of teaching intercultural business communication between Spaniards and Britons in business settings in which English is used as the lingua franca. This paper hypothesizes that the immersive, all-embracing and interactive learning environment provided by the video game to its users may contribute to develop and enhance their intercultural communicative competence. The study attempts to answer three main research questions: (a) after playing It's a Deal!, did the students sampled improve their intercultural awareness, intercultural knowledge and intercultural communicative competence in business English? (b) If they improved their intercultural learning, what are the factors influencing such improvement? And (c) if they did not improve their intercultural learning, what are the factors influencing such failure? The game participants who volunteered to take part in the study were all students of English Studies at the University of Alicante in the academic year 2010-2011. One hundred and six students completed both the pre-test and the post-test questionnaires, and played It's a Deal! A sample of fifty students was selected randomly for the empirical study. The results obtained in the tests performed were compared and contrasted intra-group, both qualitatively and quantitatively, for the purpose of finding any statistically significant difference that may confirm whether or not there was an improvement in the students' intercultural communicative competence in business English as a result of the implementation of the It's a Deal! serious game. Findings of this study demonstrate that the video game is an effective learning tool for the teaching of intercultural communication between Spaniards and Britons in business settings in which English is used as the lingua franca. In particular, whereas the game had a small learning effect on intercultural awa…","author":[{"dropping-particle":"","family":"Guillén-Nieto","given":"Victoria","non-dropping-particle":"","parse-names":false,"suffix":""},{"dropping-particle":"","family":"Aleson-Carbonell","given":"Marian","non-dropping-particle":"","parse-names":false,"suffix":""}],"container-title":"Computers and Education","id":"ITEM-1","issue":"1","issued":{"date-parts":[["2012"]]},"page":"435-448","publisher":"Elsevier Ltd","title":"Serious games and learning effectiveness: The case of It's a Deal!","type":"article-journal","volume":"58"},"uris":["http://www.mendeley.com/documents/?uuid=e4aa1c91-6a9d-479d-957f-57667dcae690"]},{"id":"ITEM-2","itemData":{"DOI":"10.17083/ijsg.v8i2.420","ISSN":"23848766","abstract":"The present study aims to explore the use of the serious game Top Eleven as an auxiliary educational tool in a sports economics undergraduate course. This attempt is warranted because serious games can provide real life/work experiences and set the ground for managerial – economics skills development. The selection of the specific serious game is based on the ample and varied sports economics data provided and its free of charge online accessibility. Following the case study methodology, a virtual football club was created and managed within Top Eleven. The stated research questions were based on the analysis and application of the generated data to a number of economic concepts identified in a specific sports economics textbook. Based on the analysis results, twelve out of 17 in total identified economic concepts were successfully analyzed using eleven economic data sources of items embedded in the game. The implementation phase showed that Top Eleven could be used as an educational supporting tool in the form of a virtual internship to gain practical experience by applying sports economic concepts for the financial management of a professional football club. It is argued that the game offers a sensible working environment in sports economics and the associated sport management field.","author":[{"dropping-particle":"","family":"Afthinos","given":"Ioannis","non-dropping-particle":"","parse-names":false,"suffix":""},{"dropping-particle":"","family":"Manasis","given":"Vasileios","non-dropping-particle":"","parse-names":false,"suffix":""},{"dropping-particle":"","family":"Chrysanthopoulos","given":"Thodoros Panagiotis","non-dropping-particle":"","parse-names":false,"suffix":""}],"container-title":"International Journal of Serious Games","id":"ITEM-2","issue":"2","issued":{"date-parts":[["2021"]]},"page":"3-19","title":"Serious game top eleven as an educational tool in sports economics","type":"article-journal","volume":"8"},"uris":["http://www.mendeley.com/documents/?uuid=81c41ce4-17a0-4f86-b11a-b02e1cecea94"]},{"id":"ITEM-3","itemData":{"DOI":"10.1007/s10758-021-09573-8","ISBN":"0123456789","ISSN":"22111670","abstract":"The aim of this study is to examine whether students of a sport management undergraduate course can gain knowledge in the management of a professional soccer club, by participating in a commercial serious game. Serious is considered the cyber game that its purpose exceeds entertainment. For this case study, the serious sport club management game was “Top Eleven”. The theoretical model that this study was based on, is Misfeldt’s “scenarios based learning” for the transformation of a serious game into an educational means. It includes dimensions that cover part of the sport management class content in the National and Kapodistrian University of Athens, School of Physical Education and Sport Science. The transformation consisted of educational scenarios vested to the serious game, in order to add educational parameters to its basic elements with the purpose to relate further to the sport management class. The application showed that Top Eleven covers adequately Misfeldt’s model dimensions; therefore it can be used as an educational tool. Furthermore, an evaluation of the class gamification was conducted by the participating students (n = 62). The data collected showed that the majority of the students (f = 61, 98.4%) agreed that the participation in the serious game was “helpful” to their sport management class education process. They further agreed that they gained “very” or “very much” knowledge related to the management of a professional soccer club (f = 41, 66.1%) and that 59.7% (f = 37) of them would choose to work in a position of “sport club manager” as a result of the experience they gained by participating in the serious game.","author":[{"dropping-particle":"","family":"Afthinos","given":"Yanni","non-dropping-particle":"","parse-names":false,"suffix":""},{"dropping-particle":"","family":"Kiaffas","given":"Zacharias","non-dropping-particle":"","parse-names":false,"suffix":""},{"dropping-particle":"","family":"Afthinos","given":"Theofilos","non-dropping-particle":"","parse-names":false,"suffix":""}],"container-title":"Technology, Knowledge and Learning","id":"ITEM-3","issue":"1","issued":{"date-parts":[["2022"]]},"page":"255-273","publisher":"Springer Netherlands","title":"The Serious Game “Top Eleven” as an Educational Simulation Platform for Acquiring Knowledge and Skills in the Management of Sports Clubs","type":"article-journal","volume":"27"},"uris":["http://www.mendeley.com/documents/?uuid=30dcf59c-a82e-4fef-8228-412cc63cdcc0"]}],"mendeley":{"formattedCitation":"[8]–[10]","plainTextFormattedCitation":"[8]–[10]","previouslyFormattedCitation":"[8]–[10]"},"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[8]–[10]</w:t>
      </w:r>
      <w:r w:rsidRPr="00FC5E0A">
        <w:rPr>
          <w:rFonts w:ascii="Times New Roman" w:hAnsi="Times New Roman"/>
          <w:lang w:val="en-US"/>
        </w:rPr>
        <w:fldChar w:fldCharType="end"/>
      </w:r>
      <w:r w:rsidRPr="00FC5E0A">
        <w:rPr>
          <w:rFonts w:ascii="Times New Roman" w:hAnsi="Times New Roman"/>
          <w:lang w:val="en-US"/>
        </w:rPr>
        <w:t>. Many scholars addressed the conversion of SG</w:t>
      </w:r>
      <w:r w:rsidR="008C3FA8" w:rsidRPr="00FC5E0A">
        <w:rPr>
          <w:rFonts w:ascii="Times New Roman" w:hAnsi="Times New Roman"/>
          <w:lang w:val="en-US"/>
        </w:rPr>
        <w:t>s</w:t>
      </w:r>
      <w:r w:rsidRPr="00FC5E0A">
        <w:rPr>
          <w:rFonts w:ascii="Times New Roman" w:hAnsi="Times New Roman"/>
          <w:lang w:val="en-US"/>
        </w:rPr>
        <w:t xml:space="preserve"> into educational tools as an alternative, though quite promising solution to the educational process. Players of SGs cultivate their knowledge and practice their skills through accomplishing various tasks </w:t>
      </w:r>
      <w:r w:rsidRPr="00FC5E0A">
        <w:rPr>
          <w:rFonts w:ascii="Times New Roman" w:hAnsi="Times New Roman"/>
          <w:lang w:val="en-US"/>
        </w:rPr>
        <w:fldChar w:fldCharType="begin" w:fldLock="1"/>
      </w:r>
      <w:r w:rsidRPr="00FC5E0A">
        <w:rPr>
          <w:rFonts w:ascii="Times New Roman" w:hAnsi="Times New Roman"/>
          <w:lang w:val="en-US"/>
        </w:rPr>
        <w:instrText>ADDIN CSL_CITATION {"citationItems":[{"id":"ITEM-1","itemData":{"DOI":"10.1186/s41239-017-0075-9","ISBN":"4123901700759","ISSN":"23659440","author":[{"dropping-particle":"","family":"Juan","given":"Angel A.","non-dropping-particle":"","parse-names":false,"suffix":""},{"dropping-particle":"","family":"Loch","given":"Birgit","non-dropping-particle":"","parse-names":false,"suffix":""},{"dropping-particle":"","family":"Daradoumis","given":"Thanasis","non-dropping-particle":"","parse-names":false,"suffix":""},{"dropping-particle":"","family":"Ventura","given":"Sebastian","non-dropping-particle":"","parse-names":false,"suffix":""}],"container-title":"International Journal of Educational Technology in Higher Education","id":"ITEM-1","issue":"1","issued":{"date-parts":[["2017"]]},"page":"0-2","publisher":"International Journal of Educational Technology in Higher Education","title":"Games and simulation in higher education","type":"article-journal","volume":"14"},"uris":["http://www.mendeley.com/documents/?uuid=ac1d948d-233d-478e-bbd9-a2295ee31a73"]}],"mendeley":{"formattedCitation":"[11]","plainTextFormattedCitation":"[11]","previouslyFormattedCitation":"[11]"},"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[11]</w:t>
      </w:r>
      <w:r w:rsidRPr="00FC5E0A">
        <w:rPr>
          <w:rFonts w:ascii="Times New Roman" w:hAnsi="Times New Roman"/>
          <w:lang w:val="en-US"/>
        </w:rPr>
        <w:fldChar w:fldCharType="end"/>
      </w:r>
      <w:r w:rsidRPr="00FC5E0A">
        <w:rPr>
          <w:rFonts w:ascii="Times New Roman" w:hAnsi="Times New Roman"/>
          <w:lang w:val="en-US"/>
        </w:rPr>
        <w:t xml:space="preserve">. According to Zhonggen </w:t>
      </w:r>
      <w:r w:rsidRPr="00FC5E0A">
        <w:rPr>
          <w:rFonts w:ascii="Times New Roman" w:hAnsi="Times New Roman"/>
          <w:lang w:val="en-US"/>
        </w:rPr>
        <w:fldChar w:fldCharType="begin" w:fldLock="1"/>
      </w:r>
      <w:r w:rsidRPr="00FC5E0A">
        <w:rPr>
          <w:rFonts w:ascii="Times New Roman" w:hAnsi="Times New Roman"/>
          <w:lang w:val="en-US"/>
        </w:rPr>
        <w:instrText>ADDIN CSL_CITATION {"citationItems":[{"id":"ITEM-1","itemData":{"DOI":"10.1155/2019/4797032","ISSN":"16877055","abstract":"It seems necessary to review the literature to explore the effectiveness of serious games in education, since the number of studies on serious games is surging up. This study systematically reviewed the literature within around a recent decade. The trend of the number of publications related to use of serious games in education was firstly clarified based on the data retrieved from major databases. Secondly, various factors were determined that influenced the effect of serious game assisted learning. The major section identified both advantages and disadvantages of use of serious games in education. Use of serious games in medical science has been rising in a recent decade, which is thus highlighted in this study. Attitudes toward use of serious games in education were explored, as well as the new development of use of serious games in education. Future theoretical and practical exploration might need interdisciplinary cooperation.","author":[{"dropping-particle":"","family":"Zhonggen","given":"Yu","non-dropping-particle":"","parse-names":false,"suffix":""}],"container-title":"International Journal of Computer Games Technology","id":"ITEM-1","issue":"3","issued":{"date-parts":[["2019"]]},"title":"A Meta-Analysis of Use of Serious Games in Education over a Decade","type":"article-journal","volume":"2019"},"locator":"2","uris":["http://www.mendeley.com/documents/?uuid=bf0c81fe-11f0-49eb-b901-81848b560071"]}],"mendeley":{"formattedCitation":"[12, p. 2]","plainTextFormattedCitation":"[12, p. 2]","previouslyFormattedCitation":"[12, p. 2]"},"properties":{"noteIndex":0},"schema":"https://github.com/citation-style-language/schema/raw/master/csl-citation.json"}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[12, p. 2]</w:t>
      </w:r>
      <w:r w:rsidRPr="00FC5E0A">
        <w:rPr>
          <w:rFonts w:ascii="Times New Roman" w:hAnsi="Times New Roman"/>
          <w:lang w:val="en-US"/>
        </w:rPr>
        <w:fldChar w:fldCharType="end"/>
      </w:r>
      <w:r w:rsidRPr="00FC5E0A">
        <w:rPr>
          <w:rFonts w:ascii="Times New Roman" w:hAnsi="Times New Roman"/>
          <w:lang w:val="en-US"/>
        </w:rPr>
        <w:t xml:space="preserve">, “educational elements can be integrated into the gameplay, which will be subconsciously acquired by the players during the gaming process”. This meta-analysis </w:t>
      </w:r>
      <w:r w:rsidRPr="00FC5E0A">
        <w:rPr>
          <w:rFonts w:ascii="Times New Roman" w:hAnsi="Times New Roman"/>
          <w:lang w:val="en-US"/>
        </w:rPr>
        <w:fldChar w:fldCharType="begin" w:fldLock="1"/>
      </w:r>
      <w:r w:rsidRPr="00FC5E0A">
        <w:rPr>
          <w:rFonts w:ascii="Times New Roman" w:hAnsi="Times New Roman"/>
          <w:lang w:val="en-US"/>
        </w:rPr>
        <w:instrText>ADDIN CSL_CITATION {"citationItems":[{"id":"ITEM-1","itemData":{"DOI":"10.1155/2019/4797032","ISSN":"16877055","abstract":"It seems necessary to review the literature to explore the effectiveness of serious games in education, since the number of studies on serious games is surging up. This study systematically reviewed the literature within around a recent decade. The trend of the number of publications related to use of serious games in education was firstly clarified based on the data retrieved from major databases. Secondly, various factors were determined that influenced the effect of serious game assisted learning. The major section identified both advantages and disadvantages of use of serious games in education. Use of serious games in medical science has been rising in a recent decade, which is thus highlighted in this study. Attitudes toward use of serious games in education were explored, as well as the new development of use of serious games in education. Future theoretical and practical exploration might need interdisciplinary cooperation.","author":[{"dropping-particle":"","family":"Zhonggen","given":"Yu","non-dropping-particle":"","parse-names":false,"suffix":""}],"container-title":"International Journal of Computer Games Technology","id":"ITEM-1","issue":"3","issued":{"date-parts":[["2019"]]},"title":"A Meta-Analysis of Use of Serious Games in Education over a Decade","type":"article-journal","volume":"2019"},"locator":"4","uris":["http://www.mendeley.com/documents/?uuid=bf0c81fe-11f0-49eb-b901-81848b560071"]}],"mendeley":{"formattedCitation":"[12, p. 4]","plainTextFormattedCitation":"[12, p. 4]","previouslyFormattedCitation":"[12, p. 4]"},"properties":{"noteIndex":0},"schema":"https://github.com/citation-style-language/schema/raw/master/csl-citation.json"}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[12, p. 4]</w:t>
      </w:r>
      <w:r w:rsidRPr="00FC5E0A">
        <w:rPr>
          <w:rFonts w:ascii="Times New Roman" w:hAnsi="Times New Roman"/>
          <w:lang w:val="en-US"/>
        </w:rPr>
        <w:fldChar w:fldCharType="end"/>
      </w:r>
      <w:r w:rsidRPr="00FC5E0A">
        <w:rPr>
          <w:rFonts w:ascii="Times New Roman" w:hAnsi="Times New Roman"/>
          <w:lang w:val="en-US"/>
        </w:rPr>
        <w:t xml:space="preserve"> shows that, SGs are effective to: (1) facilitate learners’ holistic understanding of scientific conceptions, (2) obtain cognitive abilities, (3) increase positive affect of learning and improve teaching in the sciences, (4) provide flexible learning, (5) improve learning outcomes, (6) facilitate socio-cultural learning in terms of cognitive and motivational effects and team opinions, (7) improve cross cultural communication competence, and (8) improve script collaboration based professional learning and learner satisfaction.</w:t>
      </w:r>
    </w:p>
    <w:p w14:paraId="003807A7" w14:textId="77777777" w:rsidR="00C832B4" w:rsidRPr="00FC5E0A" w:rsidRDefault="00C832B4" w:rsidP="00083830">
      <w:pPr>
        <w:spacing w:line="264" w:lineRule="auto"/>
        <w:jc w:val="both"/>
        <w:rPr>
          <w:rFonts w:ascii="Times New Roman" w:hAnsi="Times New Roman"/>
          <w:lang w:val="en-US"/>
        </w:rPr>
      </w:pPr>
      <w:r w:rsidRPr="00FC5E0A">
        <w:rPr>
          <w:rFonts w:ascii="Times New Roman" w:hAnsi="Times New Roman"/>
          <w:lang w:val="en-US"/>
        </w:rPr>
        <w:t xml:space="preserve">Regarding Sport Management’s courses, an educational gamified virtual environment, using as a medium SG, can help students acquire experience, skills, and competencies by practicing their professional knowledge otherwise gained only through the internship or work in a sport organization </w:t>
      </w:r>
      <w:r w:rsidRPr="00FC5E0A">
        <w:rPr>
          <w:rFonts w:ascii="Times New Roman" w:hAnsi="Times New Roman"/>
          <w:lang w:val="en-US"/>
        </w:rPr>
        <w:fldChar w:fldCharType="begin" w:fldLock="1"/>
      </w:r>
      <w:r w:rsidRPr="00FC5E0A">
        <w:rPr>
          <w:rFonts w:ascii="Times New Roman" w:hAnsi="Times New Roman"/>
          <w:lang w:val="en-US"/>
        </w:rPr>
        <w:instrText>ADDIN CSL_CITATION {"citationItems":[{"id":"ITEM-1","itemData":{"author":[{"dropping-particle":"","family":"Afthinos","given":"Yanni","non-dropping-particle":"","parse-names":false,"suffix":""}],"id":"ITEM-1","issued":{"date-parts":[["2017"]]},"publisher":"Sport Option","publisher-place":"Athens","title":"Sport administration: The structure and functioning of sports organizations. [Αθλητική διοίκηση: Η διάρθρωση και λειτουργία των αθλητικών οργανισμών]","type":"book"},"uris":["http://www.mendeley.com/documents/?uuid=06770066-e0f8-4905-a5b8-31252a0f735c"]}],"mendeley":{"formattedCitation":"[13]","plainTextFormattedCitation":"[13]","previouslyFormattedCitation":"[13]"},"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[13]</w:t>
      </w:r>
      <w:r w:rsidRPr="00FC5E0A">
        <w:rPr>
          <w:rFonts w:ascii="Times New Roman" w:hAnsi="Times New Roman"/>
          <w:lang w:val="en-US"/>
        </w:rPr>
        <w:fldChar w:fldCharType="end"/>
      </w:r>
      <w:r w:rsidRPr="00FC5E0A">
        <w:rPr>
          <w:rFonts w:ascii="Times New Roman" w:hAnsi="Times New Roman"/>
          <w:lang w:val="en-US"/>
        </w:rPr>
        <w:t>. Consequently, a Virtual Intramural Football Tournament (VIFT) is established, with two different groups of students involved: a) students attending the Sport Event Management class with the responsibility to plan, program, run and evaluate the VIFT (hereafter referred as “organizers”), and b) students participating in the VIFT managing their virtual teams (hereafter referred as “participants”).</w:t>
      </w:r>
    </w:p>
    <w:p w14:paraId="046410B8" w14:textId="77777777" w:rsidR="006D7F44" w:rsidRPr="00FC5E0A" w:rsidRDefault="006D7F44" w:rsidP="00083830">
      <w:pPr>
        <w:shd w:val="clear" w:color="auto" w:fill="FFFFFF"/>
        <w:spacing w:line="264" w:lineRule="auto"/>
        <w:jc w:val="both"/>
        <w:rPr>
          <w:rFonts w:ascii="Times New Roman" w:hAnsi="Times New Roman"/>
          <w:shd w:val="clear" w:color="auto" w:fill="FFFFFF"/>
        </w:rPr>
      </w:pPr>
      <w:r w:rsidRPr="00FC5E0A">
        <w:rPr>
          <w:rFonts w:ascii="Times New Roman" w:hAnsi="Times New Roman"/>
          <w:shd w:val="clear" w:color="auto" w:fill="FFFFFF"/>
        </w:rPr>
        <w:t xml:space="preserve">The necessity of employing simulation games in the management of sports events is evident, as the economic viability of sports organizations is sufficiently complex to justify the integration of experiential simulation. Event organizers face a singular opportunity to execute an event successfully; therefore, the inability to rectify organizational errors necessitates a proactive approach to training. Consequently, providing aspiring professionals with training in a simulated environment affords them the chance to acquire knowledge and skills without the repercussions associated with real-world mistakes. </w:t>
      </w:r>
    </w:p>
    <w:p w14:paraId="76679151" w14:textId="4653970B" w:rsidR="00DF62BD" w:rsidRPr="00FC5E0A" w:rsidRDefault="00C832B4" w:rsidP="00970E46">
      <w:pPr>
        <w:shd w:val="clear" w:color="auto" w:fill="FFFFFF"/>
        <w:spacing w:line="264" w:lineRule="auto"/>
        <w:ind w:firstLine="284"/>
        <w:jc w:val="both"/>
        <w:rPr>
          <w:rFonts w:ascii="Times New Roman" w:hAnsi="Times New Roman"/>
          <w:shd w:val="clear" w:color="auto" w:fill="FFFFFF"/>
          <w:lang w:val="en-US"/>
        </w:rPr>
      </w:pPr>
      <w:r w:rsidRPr="00FC5E0A">
        <w:rPr>
          <w:rFonts w:ascii="Times New Roman" w:hAnsi="Times New Roman"/>
          <w:shd w:val="clear" w:color="auto" w:fill="FFFFFF"/>
          <w:lang w:val="en-US"/>
        </w:rPr>
        <w:t>The research literature resulted no sources that refers to a SG as</w:t>
      </w:r>
      <w:r w:rsidR="00DF62BD" w:rsidRPr="00FC5E0A">
        <w:rPr>
          <w:rFonts w:ascii="Times New Roman" w:hAnsi="Times New Roman"/>
          <w:shd w:val="clear" w:color="auto" w:fill="FFFFFF"/>
          <w:lang w:val="en-US"/>
        </w:rPr>
        <w:t xml:space="preserve"> a means for </w:t>
      </w:r>
      <w:r w:rsidRPr="00FC5E0A">
        <w:rPr>
          <w:rFonts w:ascii="Times New Roman" w:hAnsi="Times New Roman"/>
          <w:shd w:val="clear" w:color="auto" w:fill="FFFFFF"/>
          <w:lang w:val="en-US"/>
        </w:rPr>
        <w:t>practical use in gaining experiences and develop managerial skills</w:t>
      </w:r>
      <w:r w:rsidR="00DF62BD" w:rsidRPr="00FC5E0A">
        <w:rPr>
          <w:rFonts w:ascii="Times New Roman" w:hAnsi="Times New Roman"/>
          <w:shd w:val="clear" w:color="auto" w:fill="FFFFFF"/>
          <w:lang w:val="en-US"/>
        </w:rPr>
        <w:t xml:space="preserve"> in the field of sport event management</w:t>
      </w:r>
      <w:r w:rsidRPr="00FC5E0A">
        <w:rPr>
          <w:rFonts w:ascii="Times New Roman" w:hAnsi="Times New Roman"/>
          <w:shd w:val="clear" w:color="auto" w:fill="FFFFFF"/>
          <w:lang w:val="en-US"/>
        </w:rPr>
        <w:t xml:space="preserve">. Thus, the present study aims to assist </w:t>
      </w:r>
      <w:r w:rsidR="00232EF4" w:rsidRPr="00FC5E0A">
        <w:rPr>
          <w:rFonts w:ascii="Times New Roman" w:hAnsi="Times New Roman"/>
          <w:shd w:val="clear" w:color="auto" w:fill="FFFFFF"/>
          <w:lang w:val="en-US"/>
        </w:rPr>
        <w:t>in filling</w:t>
      </w:r>
      <w:r w:rsidRPr="00FC5E0A">
        <w:rPr>
          <w:rFonts w:ascii="Times New Roman" w:hAnsi="Times New Roman"/>
          <w:shd w:val="clear" w:color="auto" w:fill="FFFFFF"/>
          <w:lang w:val="en-US"/>
        </w:rPr>
        <w:t xml:space="preserve"> this gap by proposing a way of practical implementation through an innovative vest of a SG, which allows the practical implementation and the acquisition of work experiences and develop </w:t>
      </w:r>
      <w:r w:rsidR="00DF62BD" w:rsidRPr="00FC5E0A">
        <w:rPr>
          <w:rFonts w:ascii="Times New Roman" w:hAnsi="Times New Roman"/>
          <w:shd w:val="clear" w:color="auto" w:fill="FFFFFF"/>
          <w:lang w:val="en-US"/>
        </w:rPr>
        <w:t xml:space="preserve">event management </w:t>
      </w:r>
      <w:r w:rsidRPr="00FC5E0A">
        <w:rPr>
          <w:rFonts w:ascii="Times New Roman" w:hAnsi="Times New Roman"/>
          <w:shd w:val="clear" w:color="auto" w:fill="FFFFFF"/>
          <w:lang w:val="en-US"/>
        </w:rPr>
        <w:t xml:space="preserve">skills. </w:t>
      </w:r>
    </w:p>
    <w:p w14:paraId="3148F81B" w14:textId="77777777" w:rsidR="00DF62BD" w:rsidRPr="00FC5E0A" w:rsidRDefault="00DF62BD" w:rsidP="00970E46">
      <w:pPr>
        <w:shd w:val="clear" w:color="auto" w:fill="FFFFFF"/>
        <w:spacing w:line="264" w:lineRule="auto"/>
        <w:ind w:firstLine="284"/>
        <w:jc w:val="both"/>
        <w:rPr>
          <w:rFonts w:ascii="Times New Roman" w:hAnsi="Times New Roman"/>
          <w:shd w:val="clear" w:color="auto" w:fill="FFFFFF"/>
          <w:lang w:val="en-US"/>
        </w:rPr>
      </w:pPr>
    </w:p>
    <w:p w14:paraId="0D59B89E" w14:textId="1F739C89" w:rsidR="00C832B4" w:rsidRPr="00FC5E0A" w:rsidRDefault="00C832B4" w:rsidP="00970E46">
      <w:pPr>
        <w:shd w:val="clear" w:color="auto" w:fill="FFFFFF"/>
        <w:spacing w:line="264" w:lineRule="auto"/>
        <w:ind w:firstLine="284"/>
        <w:jc w:val="both"/>
        <w:rPr>
          <w:rFonts w:ascii="Times New Roman" w:hAnsi="Times New Roman"/>
          <w:lang w:val="en-US"/>
        </w:rPr>
      </w:pPr>
      <w:r w:rsidRPr="00FC5E0A">
        <w:rPr>
          <w:rFonts w:ascii="Times New Roman" w:hAnsi="Times New Roman"/>
          <w:shd w:val="clear" w:color="auto" w:fill="FFFFFF"/>
          <w:lang w:val="en-US"/>
        </w:rPr>
        <w:t xml:space="preserve">Furthermore, following the suggestion of Afthinos </w:t>
      </w:r>
      <w:r w:rsidRPr="00FC5E0A">
        <w:rPr>
          <w:rFonts w:ascii="Times New Roman" w:hAnsi="Times New Roman"/>
          <w:i/>
          <w:iCs/>
          <w:shd w:val="clear" w:color="auto" w:fill="FFFFFF"/>
          <w:lang w:val="en-US"/>
        </w:rPr>
        <w:t>et al.</w:t>
      </w:r>
      <w:r w:rsidRPr="00FC5E0A">
        <w:rPr>
          <w:rFonts w:ascii="Times New Roman" w:hAnsi="Times New Roman"/>
          <w:shd w:val="clear" w:color="auto" w:fill="FFFFFF"/>
          <w:lang w:val="en-US"/>
        </w:rPr>
        <w:t xml:space="preserve"> </w:t>
      </w:r>
      <w:r w:rsidRPr="00FC5E0A">
        <w:rPr>
          <w:rFonts w:ascii="Times New Roman" w:hAnsi="Times New Roman"/>
          <w:lang w:val="en-US"/>
        </w:rPr>
        <w:fldChar w:fldCharType="begin" w:fldLock="1"/>
      </w:r>
      <w:r w:rsidRPr="00FC5E0A">
        <w:rPr>
          <w:rFonts w:ascii="Times New Roman" w:hAnsi="Times New Roman"/>
          <w:lang w:val="en-US"/>
        </w:rPr>
        <w:instrText>ADDIN CSL_CITATION {"citationItems":[{"id":"ITEM-1","itemData":{"DOI":"10.1007/s10758-021-09573-8","ISBN":"0123456789","ISSN":"22111670","abstract":"The aim of this study is to examine whether students of a sport management undergraduate course can gain knowledge in the management of a professional soccer club, by participating in a commercial serious game. Serious is considered the cyber game that its purpose exceeds entertainment. For this case study, the serious sport club management game was “Top Eleven”. The theoretical model that this study was based on, is Misfeldt’s “scenarios based learning” for the transformation of a serious game into an educational means. It includes dimensions that cover part of the sport management class content in the National and Kapodistrian University of Athens, School of Physical Education and Sport Science. The transformation consisted of educational scenarios vested to the serious game, in order to add educational parameters to its basic elements with the purpose to relate further to the sport management class. The application showed that Top Eleven covers adequately Misfeldt’s model dimensions; therefore it can be used as an educational tool. Furthermore, an evaluation of the class gamification was conducted by the participating students (n = 62). The data collected showed that the majority of the students (f = 61, 98.4%) agreed that the participation in the serious game was “helpful” to their sport management class education process. They further agreed that they gained “very” or “very much” knowledge related to the management of a professional soccer club (f = 41, 66.1%) and that 59.7% (f = 37) of them would choose to work in a position of “sport club manager” as a result of the experience they gained by participating in the serious game.","author":[{"dropping-particle":"","family":"Afthinos","given":"Yanni","non-dropping-particle":"","parse-names":false,"suffix":""},{"dropping-particle":"","family":"Kiaffas","given":"Zacharias","non-dropping-particle":"","parse-names":false,"suffix":""},{"dropping-particle":"","family":"Afthinos","given":"Theofilos","non-dropping-particle":"","parse-names":false,"suffix":""}],"container-title":"Technology, Knowledge and Learning","id":"ITEM-1","issue":"1","issued":{"date-parts":[["2022"]]},"page":"255-273","publisher":"Springer Netherlands","title":"The Serious Game “Top Eleven” as an Educational Simulation Platform for Acquiring Knowledge and Skills in the Management of Sports Clubs","type":"article-journal","volume":"27"},"uris":["http://www.mendeley.com/documents/?uuid=30dcf59c-a82e-4fef-8228-412cc63cdcc0"]}],"mendeley":{"formattedCitation":"[10]","plainTextFormattedCitation":"[10]","previouslyFormattedCitation":"[10]"},"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[10]</w:t>
      </w:r>
      <w:r w:rsidRPr="00FC5E0A">
        <w:rPr>
          <w:rFonts w:ascii="Times New Roman" w:hAnsi="Times New Roman"/>
          <w:lang w:val="en-US"/>
        </w:rPr>
        <w:fldChar w:fldCharType="end"/>
      </w:r>
      <w:r w:rsidRPr="00FC5E0A">
        <w:rPr>
          <w:rFonts w:ascii="Times New Roman" w:hAnsi="Times New Roman"/>
          <w:lang w:val="en-US"/>
        </w:rPr>
        <w:t xml:space="preserve"> </w:t>
      </w:r>
      <w:r w:rsidRPr="00FC5E0A">
        <w:rPr>
          <w:rFonts w:ascii="Times New Roman" w:hAnsi="Times New Roman"/>
          <w:shd w:val="clear" w:color="auto" w:fill="FFFFFF"/>
          <w:lang w:val="en-US"/>
        </w:rPr>
        <w:t xml:space="preserve">for a Top Eleven research more focused on sport management, the present study provides evidence demonstrating the potential </w:t>
      </w:r>
      <w:r w:rsidRPr="00FC5E0A">
        <w:rPr>
          <w:rFonts w:ascii="Times New Roman" w:hAnsi="Times New Roman"/>
          <w:shd w:val="clear" w:color="auto" w:fill="FFFFFF"/>
          <w:lang w:val="en-US"/>
        </w:rPr>
        <w:lastRenderedPageBreak/>
        <w:t xml:space="preserve">conversion and use of this SG as an auxiliary learning tool for acquiring knowledge in sports event management. </w:t>
      </w:r>
    </w:p>
    <w:p w14:paraId="10CF7032" w14:textId="2D7E9462" w:rsidR="00067BA4" w:rsidRPr="00FC5E0A" w:rsidRDefault="00DF62BD" w:rsidP="00970E46">
      <w:pPr>
        <w:spacing w:line="264" w:lineRule="auto"/>
        <w:ind w:firstLine="284"/>
        <w:jc w:val="both"/>
        <w:rPr>
          <w:rFonts w:ascii="Times New Roman" w:hAnsi="Times New Roman"/>
        </w:rPr>
      </w:pPr>
      <w:r w:rsidRPr="00FC5E0A">
        <w:rPr>
          <w:rFonts w:ascii="Times New Roman" w:hAnsi="Times New Roman"/>
          <w:lang w:val="en-US"/>
        </w:rPr>
        <w:t>Taking</w:t>
      </w:r>
      <w:r w:rsidR="00C832B4" w:rsidRPr="00FC5E0A">
        <w:rPr>
          <w:rFonts w:ascii="Times New Roman" w:hAnsi="Times New Roman"/>
          <w:lang w:val="en-US"/>
        </w:rPr>
        <w:t xml:space="preserve"> </w:t>
      </w:r>
      <w:r w:rsidR="00FC5E0A" w:rsidRPr="00FC5E0A">
        <w:rPr>
          <w:rFonts w:ascii="Times New Roman" w:hAnsi="Times New Roman"/>
          <w:lang w:val="en-US"/>
        </w:rPr>
        <w:t>this</w:t>
      </w:r>
      <w:r w:rsidR="00C832B4" w:rsidRPr="00FC5E0A">
        <w:rPr>
          <w:rFonts w:ascii="Times New Roman" w:hAnsi="Times New Roman"/>
          <w:lang w:val="en-US"/>
        </w:rPr>
        <w:t xml:space="preserve"> into account, the aim of this study is to address the following main research question: </w:t>
      </w:r>
      <w:r w:rsidRPr="00FC5E0A">
        <w:rPr>
          <w:rFonts w:ascii="Times New Roman" w:hAnsi="Times New Roman"/>
          <w:lang w:val="en-US"/>
        </w:rPr>
        <w:t>Is</w:t>
      </w:r>
      <w:r w:rsidRPr="00FC5E0A">
        <w:rPr>
          <w:rFonts w:ascii="Times New Roman" w:hAnsi="Times New Roman"/>
        </w:rPr>
        <w:t xml:space="preserve"> </w:t>
      </w:r>
      <w:r w:rsidR="006B72C6" w:rsidRPr="00FC5E0A">
        <w:rPr>
          <w:rFonts w:ascii="Times New Roman" w:hAnsi="Times New Roman"/>
        </w:rPr>
        <w:t>Serious</w:t>
      </w:r>
      <w:r w:rsidR="00371E67" w:rsidRPr="00FC5E0A">
        <w:rPr>
          <w:rFonts w:ascii="Times New Roman" w:hAnsi="Times New Roman"/>
        </w:rPr>
        <w:t xml:space="preserve"> Game capable of serving as an auxiliary educational tool </w:t>
      </w:r>
      <w:r w:rsidRPr="00FC5E0A">
        <w:rPr>
          <w:rFonts w:ascii="Times New Roman" w:hAnsi="Times New Roman"/>
          <w:lang w:val="en-US"/>
        </w:rPr>
        <w:t xml:space="preserve">and serve as a means for  </w:t>
      </w:r>
      <w:r w:rsidRPr="00FC5E0A" w:rsidDel="00CF3EC0">
        <w:rPr>
          <w:rFonts w:ascii="Times New Roman" w:hAnsi="Times New Roman"/>
          <w:lang w:val="en-US"/>
        </w:rPr>
        <w:t xml:space="preserve"> </w:t>
      </w:r>
      <w:r w:rsidRPr="00FC5E0A">
        <w:rPr>
          <w:rFonts w:ascii="Times New Roman" w:hAnsi="Times New Roman"/>
          <w:lang w:val="en-US"/>
        </w:rPr>
        <w:t xml:space="preserve">acquiring theoretical knowledge and gaining practical experiences </w:t>
      </w:r>
      <w:r w:rsidRPr="00FC5E0A">
        <w:rPr>
          <w:rFonts w:ascii="Times New Roman" w:hAnsi="Times New Roman"/>
        </w:rPr>
        <w:t>in the field of sport event management</w:t>
      </w:r>
      <w:r w:rsidR="006D7F44" w:rsidRPr="00FC5E0A">
        <w:rPr>
          <w:rFonts w:ascii="Times New Roman" w:hAnsi="Times New Roman"/>
        </w:rPr>
        <w:t xml:space="preserve"> via the implementation of a hybrid approach?</w:t>
      </w:r>
    </w:p>
    <w:p w14:paraId="78E6D401" w14:textId="0A74D5EB" w:rsidR="0039288F" w:rsidRPr="00FC5E0A" w:rsidRDefault="000B705B" w:rsidP="0039288F">
      <w:pPr>
        <w:pStyle w:val="1"/>
        <w:rPr>
          <w:rFonts w:ascii="Times New Roman" w:hAnsi="Times New Roman" w:cs="Times New Roman"/>
          <w:color w:val="auto"/>
          <w:sz w:val="22"/>
        </w:rPr>
      </w:pPr>
      <w:r w:rsidRPr="00FC5E0A">
        <w:rPr>
          <w:rFonts w:ascii="Times New Roman" w:hAnsi="Times New Roman" w:cs="Times New Roman"/>
          <w:color w:val="auto"/>
          <w:sz w:val="22"/>
        </w:rPr>
        <w:t>Literature review</w:t>
      </w:r>
    </w:p>
    <w:p w14:paraId="7F543932" w14:textId="508C6AEC" w:rsidR="00D908D2" w:rsidRPr="00FC5E0A" w:rsidRDefault="001D3145" w:rsidP="00D908D2">
      <w:pPr>
        <w:pStyle w:val="2"/>
        <w:rPr>
          <w:rFonts w:ascii="Times New Roman" w:hAnsi="Times New Roman" w:cs="Times New Roman"/>
          <w:sz w:val="22"/>
          <w:szCs w:val="22"/>
        </w:rPr>
      </w:pPr>
      <w:r w:rsidRPr="00FC5E0A">
        <w:rPr>
          <w:rFonts w:ascii="Times New Roman" w:hAnsi="Times New Roman" w:cs="Times New Roman"/>
          <w:sz w:val="22"/>
          <w:szCs w:val="22"/>
        </w:rPr>
        <w:t>Digital games in education</w:t>
      </w:r>
    </w:p>
    <w:p w14:paraId="1263F45F" w14:textId="1D18B368" w:rsidR="00636697" w:rsidRPr="00FC5E0A" w:rsidRDefault="00A76580" w:rsidP="005E527D">
      <w:pPr>
        <w:spacing w:line="264" w:lineRule="auto"/>
        <w:jc w:val="both"/>
        <w:rPr>
          <w:rFonts w:ascii="Times New Roman" w:hAnsi="Times New Roman"/>
          <w:lang w:val="en-US"/>
        </w:rPr>
      </w:pPr>
      <w:r w:rsidRPr="00FC5E0A">
        <w:rPr>
          <w:rFonts w:ascii="Times New Roman" w:hAnsi="Times New Roman"/>
          <w:lang w:val="en-US"/>
        </w:rPr>
        <w:t>Digital games first appeared in the last decades of 20th century</w:t>
      </w:r>
      <w:r w:rsidR="007E71E9" w:rsidRPr="00FC5E0A">
        <w:rPr>
          <w:rFonts w:ascii="Times New Roman" w:hAnsi="Times New Roman"/>
          <w:lang w:val="en-US"/>
        </w:rPr>
        <w:t xml:space="preserve"> and they are ubiquitous in the lives of students on phones, tablets, and laptops (</w:t>
      </w:r>
      <w:r w:rsidR="00232EF4" w:rsidRPr="00FC5E0A">
        <w:rPr>
          <w:rFonts w:ascii="Times New Roman" w:hAnsi="Times New Roman"/>
          <w:lang w:val="en-US"/>
        </w:rPr>
        <w:t>Pope &amp;</w:t>
      </w:r>
      <w:r w:rsidR="007E71E9" w:rsidRPr="00FC5E0A">
        <w:rPr>
          <w:rFonts w:ascii="Times New Roman" w:hAnsi="Times New Roman"/>
          <w:lang w:val="en-US"/>
        </w:rPr>
        <w:t xml:space="preserve"> Mangram, 2015)</w:t>
      </w:r>
      <w:r w:rsidRPr="00FC5E0A">
        <w:rPr>
          <w:rFonts w:ascii="Times New Roman" w:hAnsi="Times New Roman"/>
          <w:lang w:val="en-US"/>
        </w:rPr>
        <w:t xml:space="preserve">. Nowadays there are thousands of games that are played by hundreds of millions of people all over the world. Most of them are played through the internet. Due to the spread of home internet connections and the use of mobile technology, the modern society turned into a “digital society”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{"citationItems":[{"id":"ITEM-1","itemData":{"ISBN":"9780991556700","abstract":"Our team has undertaken a study designed to explore the context and content of IT identity in a digital society. The work involves conducting semi-structured, reflective interviews—based on the results of a 20 Statements exercise—and analysis based on grounded theory. Our initial findings indicate that our participants have complex relationships with a range of IT that has become embedded in their daily lives, and provide evidence in support of IT’s role as a medium, determinant, and consequent of identity. Further, we see the emergence of weak and strong IT identities and the emergence of a weak anti-IT identity. By iterating on our processes and reflecting on our results, we have been able to tune our methods and inform future recruitment goals. Moving forward, we expect that expanding the diversity in our group of participants will reveal greater insights into the ways that participation in a digital society influences the formation and expression of one’s role, group, personal, and IT (or anti-IT) identities.","author":[{"dropping-particle":"","family":"Carter","given":"Michelle","non-dropping-particle":"","parse-names":false,"suffix":""},{"dropping-particle":"","family":"Compeau","given":"Deborah","non-dropping-particle":"","parse-names":false,"suffix":""},{"dropping-particle":"","family":"Kennedy","given":"Michael Ian Lawrence","non-dropping-particle":"","parse-names":false,"suffix":""},{"dropping-particle":"","family":"Schmalz","given":"Marc","non-dropping-particle":"","parse-names":false,"suffix":""}],"container-title":"Proceedings of the 25th European Conference on Information Systems, ECIS 2017","id":"ITEM-1","issued":{"date-parts":[["2017"]]},"page":"3245-3254","title":"The content and context of identity in a digital society","type":"article-journal","volume":"2017"},"uris":["http://www.mendeley.com/documents/?uuid=f831defd-ead5-4e49-9104-9eddc915882c"]}],"mendeley":{"formattedCitation":"[15]","plainTextFormattedCitation":"[15]","previouslyFormattedCitation":"[15]"},"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[15]</w:t>
      </w:r>
      <w:r w:rsidRPr="00FC5E0A">
        <w:rPr>
          <w:rFonts w:ascii="Times New Roman" w:hAnsi="Times New Roman"/>
          <w:lang w:val="en-US"/>
        </w:rPr>
        <w:fldChar w:fldCharType="end"/>
      </w:r>
      <w:r w:rsidRPr="00FC5E0A">
        <w:rPr>
          <w:rFonts w:ascii="Times New Roman" w:hAnsi="Times New Roman"/>
          <w:lang w:val="en-US"/>
        </w:rPr>
        <w:t xml:space="preserve">, where most young people play digital games. </w:t>
      </w:r>
      <w:r w:rsidR="00A65A00" w:rsidRPr="00FC5E0A">
        <w:rPr>
          <w:rFonts w:ascii="Times New Roman" w:hAnsi="Times New Roman"/>
          <w:lang w:val="en-US"/>
        </w:rPr>
        <w:t xml:space="preserve">Taking </w:t>
      </w:r>
      <w:r w:rsidR="00A771FB" w:rsidRPr="00FC5E0A">
        <w:rPr>
          <w:rFonts w:ascii="Times New Roman" w:hAnsi="Times New Roman"/>
          <w:lang w:val="en-US"/>
        </w:rPr>
        <w:t xml:space="preserve">this </w:t>
      </w:r>
      <w:r w:rsidR="00A65A00" w:rsidRPr="00FC5E0A">
        <w:rPr>
          <w:rFonts w:ascii="Times New Roman" w:hAnsi="Times New Roman"/>
          <w:lang w:val="en-US"/>
        </w:rPr>
        <w:t xml:space="preserve">into account it’s not </w:t>
      </w:r>
      <w:r w:rsidR="00C14DF2" w:rsidRPr="00FC5E0A">
        <w:rPr>
          <w:rFonts w:ascii="Times New Roman" w:hAnsi="Times New Roman"/>
          <w:lang w:val="en-US"/>
        </w:rPr>
        <w:t>surprising</w:t>
      </w:r>
      <w:r w:rsidR="00A65A00" w:rsidRPr="00FC5E0A">
        <w:rPr>
          <w:rFonts w:ascii="Times New Roman" w:hAnsi="Times New Roman"/>
          <w:lang w:val="en-US"/>
        </w:rPr>
        <w:t xml:space="preserve"> that the 2012 global market of SGs raised at </w:t>
      </w:r>
      <w:r w:rsidR="00A771FB" w:rsidRPr="00FC5E0A">
        <w:rPr>
          <w:rFonts w:ascii="Times New Roman" w:hAnsi="Times New Roman"/>
          <w:lang w:val="en-US"/>
        </w:rPr>
        <w:t>$2.57bn (</w:t>
      </w:r>
      <w:r w:rsidR="00A65A00" w:rsidRPr="00FC5E0A">
        <w:rPr>
          <w:rFonts w:ascii="Times New Roman" w:hAnsi="Times New Roman"/>
          <w:lang w:val="en-US"/>
        </w:rPr>
        <w:t>€2.35bn</w:t>
      </w:r>
      <w:r w:rsidR="00A771FB" w:rsidRPr="00FC5E0A">
        <w:rPr>
          <w:rFonts w:ascii="Times New Roman" w:hAnsi="Times New Roman"/>
          <w:lang w:val="en-US"/>
        </w:rPr>
        <w:t>) (De Gloria, Bellotti, &amp; Berta, 2014)</w:t>
      </w:r>
      <w:r w:rsidR="00A65A00" w:rsidRPr="00FC5E0A">
        <w:rPr>
          <w:rFonts w:ascii="Times New Roman" w:hAnsi="Times New Roman"/>
          <w:lang w:val="en-US"/>
        </w:rPr>
        <w:t xml:space="preserve">, </w:t>
      </w:r>
      <w:r w:rsidR="00A771FB" w:rsidRPr="00FC5E0A">
        <w:rPr>
          <w:rFonts w:ascii="Times New Roman" w:hAnsi="Times New Roman"/>
          <w:lang w:val="en-US"/>
        </w:rPr>
        <w:t xml:space="preserve">reaching </w:t>
      </w:r>
      <w:r w:rsidR="00E96967" w:rsidRPr="00FC5E0A">
        <w:rPr>
          <w:rFonts w:ascii="Times New Roman" w:hAnsi="Times New Roman"/>
        </w:rPr>
        <w:t>$90.7 b</w:t>
      </w:r>
      <w:r w:rsidR="00A771FB" w:rsidRPr="00FC5E0A">
        <w:rPr>
          <w:rFonts w:ascii="Times New Roman" w:hAnsi="Times New Roman"/>
        </w:rPr>
        <w:t>n (€83.8 bn)</w:t>
      </w:r>
      <w:r w:rsidR="00E96967" w:rsidRPr="00FC5E0A">
        <w:rPr>
          <w:rFonts w:ascii="Times New Roman" w:hAnsi="Times New Roman"/>
        </w:rPr>
        <w:t xml:space="preserve"> in 2021 </w:t>
      </w:r>
      <w:r w:rsidR="00A771FB" w:rsidRPr="00FC5E0A">
        <w:rPr>
          <w:rFonts w:ascii="Times New Roman" w:hAnsi="Times New Roman"/>
        </w:rPr>
        <w:t>(</w:t>
      </w:r>
      <w:r w:rsidR="00E96967" w:rsidRPr="00FC5E0A">
        <w:rPr>
          <w:rFonts w:ascii="Times New Roman" w:hAnsi="Times New Roman"/>
        </w:rPr>
        <w:t xml:space="preserve">Qu, </w:t>
      </w:r>
      <w:r w:rsidR="00A771FB" w:rsidRPr="00FC5E0A">
        <w:rPr>
          <w:rFonts w:ascii="Times New Roman" w:hAnsi="Times New Roman"/>
        </w:rPr>
        <w:t>et al</w:t>
      </w:r>
      <w:r w:rsidR="00E96967" w:rsidRPr="00FC5E0A">
        <w:rPr>
          <w:rFonts w:ascii="Times New Roman" w:hAnsi="Times New Roman"/>
        </w:rPr>
        <w:t xml:space="preserve">, 2023) </w:t>
      </w:r>
      <w:r w:rsidR="00A771FB" w:rsidRPr="00FC5E0A">
        <w:rPr>
          <w:rFonts w:ascii="Times New Roman" w:hAnsi="Times New Roman"/>
        </w:rPr>
        <w:t xml:space="preserve">and $187.7 </w:t>
      </w:r>
      <w:r w:rsidR="00FC5E0A" w:rsidRPr="00FC5E0A">
        <w:rPr>
          <w:rFonts w:ascii="Times New Roman" w:hAnsi="Times New Roman"/>
        </w:rPr>
        <w:t>bn (</w:t>
      </w:r>
      <w:r w:rsidR="00A771FB" w:rsidRPr="00FC5E0A">
        <w:rPr>
          <w:rFonts w:ascii="Times New Roman" w:hAnsi="Times New Roman"/>
        </w:rPr>
        <w:t>€172.8 bn) i</w:t>
      </w:r>
      <w:r w:rsidR="00E96967" w:rsidRPr="00FC5E0A">
        <w:rPr>
          <w:rFonts w:ascii="Times New Roman" w:hAnsi="Times New Roman"/>
        </w:rPr>
        <w:t>n 2024,</w:t>
      </w:r>
      <w:r w:rsidR="00A771FB" w:rsidRPr="00FC5E0A">
        <w:rPr>
          <w:rFonts w:ascii="Times New Roman" w:hAnsi="Times New Roman"/>
        </w:rPr>
        <w:t xml:space="preserve"> </w:t>
      </w:r>
      <w:r w:rsidR="00E96967" w:rsidRPr="00FC5E0A">
        <w:rPr>
          <w:rFonts w:ascii="Times New Roman" w:hAnsi="Times New Roman"/>
        </w:rPr>
        <w:t xml:space="preserve"> representing +2.1% year-onyear growth</w:t>
      </w:r>
      <w:r w:rsidR="00A65A00" w:rsidRPr="00FC5E0A">
        <w:rPr>
          <w:rFonts w:ascii="Times New Roman" w:hAnsi="Times New Roman"/>
          <w:lang w:val="en-US"/>
        </w:rPr>
        <w:t>.</w:t>
      </w:r>
      <w:r w:rsidR="00E96967" w:rsidRPr="00FC5E0A">
        <w:rPr>
          <w:rFonts w:ascii="Times New Roman" w:hAnsi="Times New Roman"/>
          <w:lang w:val="en-US"/>
        </w:rPr>
        <w:t xml:space="preserve"> </w:t>
      </w:r>
    </w:p>
    <w:p w14:paraId="3435DC95" w14:textId="0229A322" w:rsidR="00A76580" w:rsidRPr="00FC5E0A" w:rsidRDefault="00A76580" w:rsidP="005E527D">
      <w:pPr>
        <w:spacing w:line="264" w:lineRule="auto"/>
        <w:jc w:val="both"/>
        <w:rPr>
          <w:rFonts w:ascii="Times New Roman" w:hAnsi="Times New Roman"/>
          <w:lang w:val="en-US"/>
        </w:rPr>
      </w:pPr>
      <w:r w:rsidRPr="00FC5E0A">
        <w:rPr>
          <w:rFonts w:ascii="Times New Roman" w:hAnsi="Times New Roman"/>
          <w:lang w:val="en-US"/>
        </w:rPr>
        <w:t xml:space="preserve">According to Aldrich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{"citationItems":[{"id":"ITEM-1","itemData":{"author":[{"dropping-particle":"","family":"Aldrich","given":"C.","non-dropping-particle":"","parse-names":false,"suffix":""}],"id":"ITEM-1","issued":{"date-parts":[["2009"]]},"publisher":"Pfeiffer","publisher-place":"San Francisco","title":"The complete guide to simulations and serious games","type":"book"},"uris":["http://www.mendeley.com/documents/?uuid=402efb0e-c994-4533-a77e-82826a181497"]}],"mendeley":{"formattedCitation":"[16]","plainTextFormattedCitation":"[16]","previouslyFormattedCitation":"[16]"},"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[16]</w:t>
      </w:r>
      <w:r w:rsidRPr="00FC5E0A">
        <w:rPr>
          <w:rFonts w:ascii="Times New Roman" w:hAnsi="Times New Roman"/>
          <w:lang w:val="en-US"/>
        </w:rPr>
        <w:fldChar w:fldCharType="end"/>
      </w:r>
      <w:r w:rsidRPr="00FC5E0A">
        <w:rPr>
          <w:rFonts w:ascii="Times New Roman" w:hAnsi="Times New Roman"/>
          <w:lang w:val="en-US"/>
        </w:rPr>
        <w:t xml:space="preserve">, digital games classified in three categories: (a) video games, (b) serious games and (c) educational simulations. </w:t>
      </w:r>
    </w:p>
    <w:p w14:paraId="115C1ACC" w14:textId="750DE156" w:rsidR="00A76580" w:rsidRPr="00FC5E0A" w:rsidRDefault="00A76580" w:rsidP="00476BF1">
      <w:pPr>
        <w:spacing w:line="264" w:lineRule="auto"/>
        <w:ind w:firstLine="284"/>
        <w:jc w:val="both"/>
        <w:rPr>
          <w:rFonts w:ascii="Times New Roman" w:hAnsi="Times New Roman"/>
          <w:lang w:val="en-US"/>
        </w:rPr>
      </w:pPr>
      <w:r w:rsidRPr="00FC5E0A">
        <w:rPr>
          <w:rFonts w:ascii="Times New Roman" w:hAnsi="Times New Roman"/>
          <w:lang w:val="en-US"/>
        </w:rPr>
        <w:t xml:space="preserve">Digital games are designed to be played on many different platforms such as </w:t>
      </w:r>
      <w:r w:rsidR="00232EF4" w:rsidRPr="00FC5E0A">
        <w:rPr>
          <w:rFonts w:ascii="Times New Roman" w:hAnsi="Times New Roman"/>
          <w:lang w:val="en-US"/>
        </w:rPr>
        <w:t>PCs</w:t>
      </w:r>
      <w:r w:rsidRPr="00FC5E0A">
        <w:rPr>
          <w:rFonts w:ascii="Times New Roman" w:hAnsi="Times New Roman"/>
          <w:lang w:val="en-US"/>
        </w:rPr>
        <w:t xml:space="preserve">, laptops, tablets, consoles, and mobile phones. The first games were created aiming to entertain people. Nowadays, electronic games are designed to cover other needs as well, including pedagogical, learning, and educational. Since a digital game has pedagogical and educational purpose, then it is a SG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{"citationItems":[{"id":"ITEM-1","itemData":{"DOI":"10.1080/10872981.2018.1438718","ISSN":"10872981","PMID":"29457760","abstract":"Introduction: The literature shows an optimistic landscape for the effectiveness of games in medical education. Nevertheless, games are not considered mainstream material in medical teaching. Two research questions that arise are the following: What pedagogical strategies do developers use when creating games for medical education? And what is the quality of the evidence on the effectiveness of games? Methods: A systematic review was made by a multi-disciplinary team of researchers following the Cochrane Collaboration Guidelines. We included peer-reviewed journal articles which described or assessed the use of serious games or gamified apps in medical education. We used the Medical Education Research Study Quality Instrument (MERSQI) to assess the quality of evidence in the use of games. We also evaluated the pedagogical perspectives of such articles. Results: Even though game developers claim that games are useful pedagogical tools, the evidence on their effectiveness is moderate, as assessed by the MERSQI score. Behaviourism and cognitivism continue to be the predominant pedagogical strategies, and games are complementary devices that do not replace traditional medical teaching tools. Medical educators prefer simulations and quizzes focused on knowledge retention and skill development through repetition and do not demand the use of sophisticated games in their classrooms. Moreover, public access to medical games is limited. Discussion: Our aim was to put the pedagogical strategy into dialogue with the evidence on the effectiveness of the use of medical games. This makes sense since the practical use of games depends on the quality of the evidence about their effectiveness. Moreover, recognition of said pedagogical strategy would allow game developers to design more robust games which would greatly contribute to the learning process.","author":[{"dropping-particle":"","family":"Gorbanev","given":"Iouri","non-dropping-particle":"","parse-names":false,"suffix":""},{"dropping-particle":"","family":"Agudelo-Londoño","given":"Sandra","non-dropping-particle":"","parse-names":false,"suffix":""},{"dropping-particle":"","family":"González","given":"Rafael A.","non-dropping-particle":"","parse-names":false,"suffix":""},{"dropping-particle":"","family":"Cortes","given":"Ariel","non-dropping-particle":"","parse-names":false,"suffix":""},{"dropping-particle":"","family":"Pomares","given":"Alexandra","non-dropping-particle":"","parse-names":false,"suffix":""},{"dropping-particle":"","family":"Delgadillo","given":"Vivian","non-dropping-particle":"","parse-names":false,"suffix":""},{"dropping-particle":"","family":"Yepes","given":"Francisco J.","non-dropping-particle":"","parse-names":false,"suffix":""},{"dropping-particle":"","family":"Muñoz","given":"Óscar","non-dropping-particle":"","parse-names":false,"suffix":""}],"container-title":"Medical Education Online","id":"ITEM-1","issue":"1","issued":{"date-parts":[["2018"]]},"publisher":"Taylor &amp; Francis","title":"A systematic review of serious games in medical education: quality of evidence and pedagogical strategy","type":"article-journal","volume":"23"},"uris":["http://www.mendeley.com/documents/?uuid=91928530-271a-420d-9d41-ee0b3a86db53"]}],"mendeley":{"formattedCitation":"[17]","plainTextFormattedCitation":"[17]","previouslyFormattedCitation":"[17]"},"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[17]</w:t>
      </w:r>
      <w:r w:rsidRPr="00FC5E0A">
        <w:rPr>
          <w:rFonts w:ascii="Times New Roman" w:hAnsi="Times New Roman"/>
          <w:lang w:val="en-US"/>
        </w:rPr>
        <w:fldChar w:fldCharType="end"/>
      </w:r>
      <w:r w:rsidRPr="00FC5E0A">
        <w:rPr>
          <w:rFonts w:ascii="Times New Roman" w:hAnsi="Times New Roman"/>
          <w:lang w:val="en-US"/>
        </w:rPr>
        <w:t xml:space="preserve">. According to Sawyer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{"citationItems":[{"id":"ITEM-1","itemData":{"author":[{"dropping-particle":"","family":"Sawyer","given":"B.","non-dropping-particle":"","parse-names":false,"suffix":""}],"id":"ITEM-1","issued":{"date-parts":[["2022"]]},"publisher":"Woodrow Wilson International Center for Scholars.","publisher-place":"USA","title":"Serious games: Improving public policy through game-based learning and simulation","type":"book"},"uris":["http://www.mendeley.com/documents/?uuid=b2b306b7-864e-4e8f-b2b1-25f716147cfd"]}],"mendeley":{"formattedCitation":"[18]","plainTextFormattedCitation":"[18]","previouslyFormattedCitation":"[18]"},"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[18]</w:t>
      </w:r>
      <w:r w:rsidRPr="00FC5E0A">
        <w:rPr>
          <w:rFonts w:ascii="Times New Roman" w:hAnsi="Times New Roman"/>
          <w:lang w:val="en-US"/>
        </w:rPr>
        <w:fldChar w:fldCharType="end"/>
      </w:r>
      <w:r w:rsidRPr="00FC5E0A">
        <w:rPr>
          <w:rFonts w:ascii="Times New Roman" w:hAnsi="Times New Roman"/>
          <w:lang w:val="en-US"/>
        </w:rPr>
        <w:t xml:space="preserve">, SGs are those that have a substantial connection to the acquisition of knowledge. As Zyda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{"citationItems":[{"id":"ITEM-1","itemData":{"DOI":"10.1109/MC.2005.297","ISSN":"00189162","abstract":"The virtual reality field is transitioning into work influenced by video games and thus now influences that industry as well. Because much of the research and development being conducted in the games community parallels the VR community's efforts, it has the potential to affect a greater audience. Given these trends, VR researchers who want their wor k to remain relevant must realign to focus on game research and development. Research in the games arena affects not just the entertainment industry but also the government and corporate organizations that could benefit from the training, simulation, and education opportunities that serious games provide.","author":[{"dropping-particle":"","family":"Zyda","given":"Michael","non-dropping-particle":"","parse-names":false,"suffix":""}],"container-title":"Computer","id":"ITEM-1","issue":"9","issued":{"date-parts":[["2005"]]},"page":"25-32","title":"From visual simulation to virtual reality to games","type":"article-journal","volume":"38"},"uris":["http://www.mendeley.com/documents/?uuid=ee0c7733-faca-42f3-87b6-6fe9b246ccda"]}],"mendeley":{"formattedCitation":"[19]","plainTextFormattedCitation":"[19]","previouslyFormattedCitation":"[19]"},"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[19]</w:t>
      </w:r>
      <w:r w:rsidRPr="00FC5E0A">
        <w:rPr>
          <w:rFonts w:ascii="Times New Roman" w:hAnsi="Times New Roman"/>
          <w:lang w:val="en-US"/>
        </w:rPr>
        <w:fldChar w:fldCharType="end"/>
      </w:r>
      <w:r w:rsidRPr="00FC5E0A">
        <w:rPr>
          <w:rFonts w:ascii="Times New Roman" w:hAnsi="Times New Roman"/>
          <w:lang w:val="en-US"/>
        </w:rPr>
        <w:t xml:space="preserve"> pointed out, serious are considered the digital games whose primary purpose is not entertainment, enjoyment or fun but the educational outcomes.</w:t>
      </w:r>
    </w:p>
    <w:p w14:paraId="6166A112" w14:textId="16E0C1F2" w:rsidR="00A771FB" w:rsidRPr="00FC5E0A" w:rsidRDefault="00A76580" w:rsidP="00083830">
      <w:pPr>
        <w:pStyle w:val="References"/>
        <w:jc w:val="both"/>
        <w:rPr>
          <w:sz w:val="22"/>
          <w:szCs w:val="22"/>
        </w:rPr>
      </w:pPr>
      <w:r w:rsidRPr="00FC5E0A">
        <w:rPr>
          <w:sz w:val="22"/>
          <w:szCs w:val="22"/>
        </w:rPr>
        <w:t>Digital SGs and educational simulations can both produce educational outcomes, however</w:t>
      </w:r>
      <w:r w:rsidR="00083830" w:rsidRPr="00FC5E0A">
        <w:rPr>
          <w:sz w:val="22"/>
          <w:szCs w:val="22"/>
        </w:rPr>
        <w:t xml:space="preserve"> </w:t>
      </w:r>
      <w:r w:rsidRPr="00FC5E0A">
        <w:rPr>
          <w:sz w:val="22"/>
          <w:szCs w:val="22"/>
        </w:rPr>
        <w:t xml:space="preserve">they are played in different environments. Afthinos </w:t>
      </w:r>
      <w:r w:rsidRPr="00FC5E0A">
        <w:rPr>
          <w:i/>
          <w:iCs/>
          <w:sz w:val="22"/>
          <w:szCs w:val="22"/>
        </w:rPr>
        <w:t>et al.</w:t>
      </w:r>
      <w:r w:rsidRPr="00FC5E0A">
        <w:rPr>
          <w:sz w:val="22"/>
          <w:szCs w:val="22"/>
        </w:rPr>
        <w:t xml:space="preserve"> </w:t>
      </w:r>
      <w:r w:rsidRPr="00FC5E0A">
        <w:rPr>
          <w:sz w:val="22"/>
          <w:szCs w:val="22"/>
        </w:rPr>
        <w:fldChar w:fldCharType="begin" w:fldLock="1"/>
      </w:r>
      <w:r w:rsidRPr="00FC5E0A">
        <w:rPr>
          <w:sz w:val="22"/>
          <w:szCs w:val="22"/>
        </w:rPr>
        <w:instrText>ADDIN CSL_CITATION {"citationItems":[{"id":"ITEM-1","itemData":{"DOI":"10.1007/s10758-021-09573-8","ISBN":"0123456789","ISSN":"22111670","abstract":"The aim of this study is to examine whether students of a sport management undergraduate course can gain knowledge in the management of a professional soccer club, by participating in a commercial serious game. Serious is considered the cyber game that its purpose exceeds entertainment. For this case study, the serious sport club management game was “Top Eleven”. The theoretical model that this study was based on, is Misfeldt’s “scenarios based learning” for the transformation of a serious game into an educational means. It includes dimensions that cover part of the sport management class content in the National and Kapodistrian University of Athens, School of Physical Education and Sport Science. The transformation consisted of educational scenarios vested to the serious game, in order to add educational parameters to its basic elements with the purpose to relate further to the sport management class. The application showed that Top Eleven covers adequately Misfeldt’s model dimensions; therefore it can be used as an educational tool. Furthermore, an evaluation of the class gamification was conducted by the participating students (n = 62). The data collected showed that the majority of the students (f = 61, 98.4%) agreed that the participation in the serious game was “helpful” to their sport management class education process. They further agreed that they gained “very” or “very much” knowledge related to the management of a professional soccer club (f = 41, 66.1%) and that 59.7% (f = 37) of them would choose to work in a position of “sport club manager” as a result of the experience they gained by participating in the serious game.","author":[{"dropping-particle":"","family":"Afthinos","given":"Yanni","non-dropping-particle":"","parse-names":false,"suffix":""},{"dropping-particle":"","family":"Kiaffas","given":"Zacharias","non-dropping-particle":"","parse-names":false,"suffix":""},{"dropping-particle":"","family":"Afthinos","given":"Theofilos","non-dropping-particle":"","parse-names":false,"suffix":""}],"container-title":"Technology, Knowledge and Learning","id":"ITEM-1","issue":"1","issued":{"date-parts":[["2022"]]},"page":"255-273","publisher":"Springer Netherlands","title":"The Serious Game “Top Eleven” as an Educational Simulation Platform for Acquiring Knowledge and Skills in the Management of Sports Clubs","type":"article-journal","volume":"27"},"locator":"4","uris":["http://www.mendeley.com/documents/?uuid=30dcf59c-a82e-4fef-8228-412cc63cdcc0"]}],"mendeley":{"formattedCitation":"[10, p. 4]","plainTextFormattedCitation":"[10, p. 4]","previouslyFormattedCitation":"[10, p. 4]"},"properties":{"noteIndex":0},"schema":"https://github.com/citation-style-language/schema/raw/master/csl-citation.json"}</w:instrText>
      </w:r>
      <w:r w:rsidRPr="00FC5E0A">
        <w:rPr>
          <w:sz w:val="22"/>
          <w:szCs w:val="22"/>
        </w:rPr>
        <w:fldChar w:fldCharType="separate"/>
      </w:r>
      <w:r w:rsidRPr="00FC5E0A">
        <w:rPr>
          <w:noProof/>
          <w:sz w:val="22"/>
          <w:szCs w:val="22"/>
        </w:rPr>
        <w:t>[10, p. 4]</w:t>
      </w:r>
      <w:r w:rsidRPr="00FC5E0A">
        <w:rPr>
          <w:sz w:val="22"/>
          <w:szCs w:val="22"/>
        </w:rPr>
        <w:fldChar w:fldCharType="end"/>
      </w:r>
      <w:r w:rsidRPr="00FC5E0A">
        <w:rPr>
          <w:sz w:val="22"/>
          <w:szCs w:val="22"/>
        </w:rPr>
        <w:t xml:space="preserve"> mentioned that “serious</w:t>
      </w:r>
      <w:r w:rsidR="00083830" w:rsidRPr="00FC5E0A">
        <w:rPr>
          <w:sz w:val="22"/>
          <w:szCs w:val="22"/>
        </w:rPr>
        <w:t xml:space="preserve"> </w:t>
      </w:r>
      <w:r w:rsidRPr="00FC5E0A">
        <w:rPr>
          <w:sz w:val="22"/>
          <w:szCs w:val="22"/>
        </w:rPr>
        <w:t>games combine both the environment of video games and the complexity of a legal</w:t>
      </w:r>
      <w:r w:rsidR="00083830" w:rsidRPr="00FC5E0A">
        <w:rPr>
          <w:sz w:val="22"/>
          <w:szCs w:val="22"/>
        </w:rPr>
        <w:t xml:space="preserve"> </w:t>
      </w:r>
      <w:r w:rsidRPr="00FC5E0A">
        <w:rPr>
          <w:sz w:val="22"/>
          <w:szCs w:val="22"/>
        </w:rPr>
        <w:t>organization; therefore, they produce learning objectives in a user-friendly environment</w:t>
      </w:r>
      <w:r w:rsidR="00083830" w:rsidRPr="00FC5E0A">
        <w:rPr>
          <w:sz w:val="22"/>
          <w:szCs w:val="22"/>
        </w:rPr>
        <w:t xml:space="preserve"> </w:t>
      </w:r>
      <w:r w:rsidRPr="00FC5E0A">
        <w:rPr>
          <w:sz w:val="22"/>
          <w:szCs w:val="22"/>
        </w:rPr>
        <w:t>which does not exist in educational simulators”. Thus, it might be preferable in certain</w:t>
      </w:r>
      <w:r w:rsidR="00083830" w:rsidRPr="00FC5E0A">
        <w:rPr>
          <w:sz w:val="22"/>
          <w:szCs w:val="22"/>
        </w:rPr>
        <w:t xml:space="preserve"> </w:t>
      </w:r>
      <w:r w:rsidRPr="00FC5E0A">
        <w:rPr>
          <w:sz w:val="22"/>
          <w:szCs w:val="22"/>
        </w:rPr>
        <w:t>cases (e.g., kids, pupils, students, etc.) to use digital SGs for educational purposes</w:t>
      </w:r>
      <w:r w:rsidR="00067BA4" w:rsidRPr="00FC5E0A">
        <w:rPr>
          <w:sz w:val="22"/>
          <w:szCs w:val="22"/>
        </w:rPr>
        <w:t xml:space="preserve"> </w:t>
      </w:r>
      <w:r w:rsidR="00A771FB" w:rsidRPr="00FC5E0A">
        <w:rPr>
          <w:sz w:val="22"/>
          <w:szCs w:val="22"/>
        </w:rPr>
        <w:t>Baek,</w:t>
      </w:r>
      <w:r w:rsidR="00083830" w:rsidRPr="00FC5E0A">
        <w:rPr>
          <w:sz w:val="22"/>
          <w:szCs w:val="22"/>
        </w:rPr>
        <w:t xml:space="preserve"> </w:t>
      </w:r>
      <w:r w:rsidR="00A771FB" w:rsidRPr="00FC5E0A">
        <w:rPr>
          <w:sz w:val="22"/>
          <w:szCs w:val="22"/>
        </w:rPr>
        <w:t>Park</w:t>
      </w:r>
      <w:r w:rsidR="00AD3AA9" w:rsidRPr="00FC5E0A">
        <w:rPr>
          <w:sz w:val="22"/>
          <w:szCs w:val="22"/>
        </w:rPr>
        <w:t xml:space="preserve"> and </w:t>
      </w:r>
      <w:r w:rsidR="00A771FB" w:rsidRPr="00FC5E0A">
        <w:rPr>
          <w:sz w:val="22"/>
          <w:szCs w:val="22"/>
        </w:rPr>
        <w:t>Han, 2016)</w:t>
      </w:r>
      <w:r w:rsidR="00636697" w:rsidRPr="00FC5E0A">
        <w:rPr>
          <w:sz w:val="22"/>
          <w:szCs w:val="22"/>
        </w:rPr>
        <w:t xml:space="preserve">, argued that </w:t>
      </w:r>
      <w:r w:rsidR="00A771FB" w:rsidRPr="00FC5E0A">
        <w:rPr>
          <w:sz w:val="22"/>
          <w:szCs w:val="22"/>
          <w:lang w:val="it-IT"/>
        </w:rPr>
        <w:t>S</w:t>
      </w:r>
      <w:r w:rsidR="00636697" w:rsidRPr="00FC5E0A">
        <w:rPr>
          <w:sz w:val="22"/>
          <w:szCs w:val="22"/>
          <w:lang w:val="it-IT"/>
        </w:rPr>
        <w:t>G</w:t>
      </w:r>
      <w:r w:rsidR="00A771FB" w:rsidRPr="00FC5E0A">
        <w:rPr>
          <w:sz w:val="22"/>
          <w:szCs w:val="22"/>
          <w:lang w:val="it-IT"/>
        </w:rPr>
        <w:t xml:space="preserve"> are used </w:t>
      </w:r>
      <w:r w:rsidR="00636697" w:rsidRPr="00FC5E0A">
        <w:rPr>
          <w:sz w:val="22"/>
          <w:szCs w:val="22"/>
          <w:lang w:val="it-IT"/>
        </w:rPr>
        <w:t xml:space="preserve">for </w:t>
      </w:r>
      <w:r w:rsidR="00A771FB" w:rsidRPr="00FC5E0A">
        <w:rPr>
          <w:sz w:val="22"/>
          <w:szCs w:val="22"/>
          <w:lang w:val="it-IT"/>
        </w:rPr>
        <w:t>education</w:t>
      </w:r>
      <w:r w:rsidR="00636697" w:rsidRPr="00FC5E0A">
        <w:rPr>
          <w:sz w:val="22"/>
          <w:szCs w:val="22"/>
          <w:lang w:val="it-IT"/>
        </w:rPr>
        <w:t>al purposes and</w:t>
      </w:r>
      <w:r w:rsidR="00A771FB" w:rsidRPr="00FC5E0A">
        <w:rPr>
          <w:sz w:val="22"/>
          <w:szCs w:val="22"/>
          <w:lang w:val="it-IT"/>
        </w:rPr>
        <w:t xml:space="preserve"> </w:t>
      </w:r>
      <w:r w:rsidR="00636697" w:rsidRPr="00FC5E0A">
        <w:rPr>
          <w:sz w:val="22"/>
          <w:szCs w:val="22"/>
          <w:lang w:val="it-IT"/>
        </w:rPr>
        <w:t>show</w:t>
      </w:r>
      <w:r w:rsidR="00AD3AA9" w:rsidRPr="00FC5E0A">
        <w:rPr>
          <w:sz w:val="22"/>
          <w:szCs w:val="22"/>
          <w:lang w:val="it-IT"/>
        </w:rPr>
        <w:t xml:space="preserve"> p</w:t>
      </w:r>
      <w:r w:rsidR="00A771FB" w:rsidRPr="00FC5E0A">
        <w:rPr>
          <w:sz w:val="22"/>
          <w:szCs w:val="22"/>
          <w:lang w:val="it-IT"/>
        </w:rPr>
        <w:t>articularly</w:t>
      </w:r>
      <w:r w:rsidR="00636697" w:rsidRPr="00FC5E0A">
        <w:rPr>
          <w:sz w:val="22"/>
          <w:szCs w:val="22"/>
          <w:lang w:val="it-IT"/>
        </w:rPr>
        <w:t xml:space="preserve"> </w:t>
      </w:r>
      <w:r w:rsidR="00A771FB" w:rsidRPr="00FC5E0A">
        <w:rPr>
          <w:sz w:val="22"/>
          <w:szCs w:val="22"/>
          <w:lang w:val="it-IT"/>
        </w:rPr>
        <w:t xml:space="preserve">encouraging results in </w:t>
      </w:r>
      <w:r w:rsidR="00636697" w:rsidRPr="00FC5E0A">
        <w:rPr>
          <w:sz w:val="22"/>
          <w:szCs w:val="22"/>
          <w:lang w:val="it-IT"/>
        </w:rPr>
        <w:t xml:space="preserve">learners’ </w:t>
      </w:r>
      <w:r w:rsidR="00A771FB" w:rsidRPr="00FC5E0A">
        <w:rPr>
          <w:sz w:val="22"/>
          <w:szCs w:val="22"/>
          <w:lang w:val="it-IT"/>
        </w:rPr>
        <w:t>motivat</w:t>
      </w:r>
      <w:r w:rsidR="00636697" w:rsidRPr="00FC5E0A">
        <w:rPr>
          <w:sz w:val="22"/>
          <w:szCs w:val="22"/>
          <w:lang w:val="it-IT"/>
        </w:rPr>
        <w:t>ion</w:t>
      </w:r>
      <w:r w:rsidR="00A771FB" w:rsidRPr="00FC5E0A">
        <w:rPr>
          <w:sz w:val="22"/>
          <w:szCs w:val="22"/>
          <w:lang w:val="it-IT"/>
        </w:rPr>
        <w:t>.</w:t>
      </w:r>
    </w:p>
    <w:p w14:paraId="5231DC7C" w14:textId="723535BC" w:rsidR="00507361" w:rsidRPr="00FC5E0A" w:rsidRDefault="00C7386E" w:rsidP="00FC5E0A">
      <w:pPr>
        <w:spacing w:line="264" w:lineRule="auto"/>
        <w:jc w:val="both"/>
        <w:rPr>
          <w:rFonts w:ascii="Times New Roman" w:hAnsi="Times New Roman"/>
          <w:lang w:val="en-US"/>
        </w:rPr>
      </w:pPr>
      <w:r w:rsidRPr="00FC5E0A">
        <w:rPr>
          <w:rFonts w:ascii="Times New Roman" w:hAnsi="Times New Roman"/>
          <w:lang w:val="en-US"/>
        </w:rPr>
        <w:t>Petridis</w:t>
      </w:r>
      <w:r w:rsidRPr="00FC5E0A">
        <w:rPr>
          <w:rFonts w:ascii="Times New Roman" w:hAnsi="Times New Roman"/>
        </w:rPr>
        <w:t xml:space="preserve"> </w:t>
      </w:r>
      <w:r w:rsidRPr="00FC5E0A">
        <w:rPr>
          <w:rFonts w:ascii="Times New Roman" w:hAnsi="Times New Roman"/>
          <w:lang w:val="en-US"/>
        </w:rPr>
        <w:t xml:space="preserve">et al (2015), </w:t>
      </w:r>
      <w:r w:rsidR="00507361" w:rsidRPr="00FC5E0A">
        <w:rPr>
          <w:rFonts w:ascii="Times New Roman" w:hAnsi="Times New Roman"/>
        </w:rPr>
        <w:t>emphasize that addressing modern challenges requires a wide range of knowledge and skills, which in turn highlights the need for finding new, innovative learning tools and training methods, such as serious games and gamification applications.</w:t>
      </w:r>
    </w:p>
    <w:p w14:paraId="7A52C758" w14:textId="5D2E730A" w:rsidR="00C7386E" w:rsidRPr="00FC5E0A" w:rsidRDefault="00C7386E" w:rsidP="00083830">
      <w:pPr>
        <w:widowControl w:val="0"/>
        <w:autoSpaceDE w:val="0"/>
        <w:autoSpaceDN w:val="0"/>
        <w:adjustRightInd w:val="0"/>
        <w:spacing w:line="240" w:lineRule="auto"/>
        <w:jc w:val="both"/>
        <w:rPr>
          <w:rFonts w:ascii="Times New Roman" w:hAnsi="Times New Roman"/>
          <w:noProof/>
        </w:rPr>
      </w:pPr>
      <w:r w:rsidRPr="00FC5E0A">
        <w:rPr>
          <w:rFonts w:ascii="Times New Roman" w:hAnsi="Times New Roman"/>
          <w:noProof/>
        </w:rPr>
        <w:t>Mobile learning is an indisputable reality that combines a range of advantages, such as</w:t>
      </w:r>
      <w:r w:rsidR="00083830" w:rsidRPr="00FC5E0A">
        <w:rPr>
          <w:rFonts w:ascii="Times New Roman" w:hAnsi="Times New Roman"/>
          <w:noProof/>
          <w:lang w:val="en-US"/>
        </w:rPr>
        <w:t xml:space="preserve"> </w:t>
      </w:r>
      <w:r w:rsidRPr="00FC5E0A">
        <w:rPr>
          <w:rFonts w:ascii="Times New Roman" w:hAnsi="Times New Roman"/>
          <w:noProof/>
        </w:rPr>
        <w:t>increased</w:t>
      </w:r>
      <w:r w:rsidR="00083830" w:rsidRPr="00FC5E0A">
        <w:rPr>
          <w:rFonts w:ascii="Times New Roman" w:hAnsi="Times New Roman"/>
          <w:noProof/>
          <w:lang w:val="en-US"/>
        </w:rPr>
        <w:t xml:space="preserve"> </w:t>
      </w:r>
      <w:r w:rsidRPr="00FC5E0A">
        <w:rPr>
          <w:rFonts w:ascii="Times New Roman" w:hAnsi="Times New Roman"/>
          <w:noProof/>
        </w:rPr>
        <w:t>motives for participation, enhanced responsibility</w:t>
      </w:r>
      <w:r w:rsidR="007E71E9" w:rsidRPr="00FC5E0A">
        <w:rPr>
          <w:rFonts w:ascii="Times New Roman" w:hAnsi="Times New Roman"/>
          <w:noProof/>
        </w:rPr>
        <w:t xml:space="preserve"> and</w:t>
      </w:r>
      <w:r w:rsidRPr="00FC5E0A">
        <w:rPr>
          <w:rFonts w:ascii="Times New Roman" w:hAnsi="Times New Roman"/>
          <w:noProof/>
        </w:rPr>
        <w:t xml:space="preserve"> efficiency, </w:t>
      </w:r>
      <w:r w:rsidR="007E71E9" w:rsidRPr="00FC5E0A">
        <w:rPr>
          <w:rFonts w:ascii="Times New Roman" w:hAnsi="Times New Roman"/>
          <w:noProof/>
        </w:rPr>
        <w:t>developes</w:t>
      </w:r>
      <w:r w:rsidR="00083830" w:rsidRPr="00FC5E0A">
        <w:rPr>
          <w:rFonts w:ascii="Times New Roman" w:hAnsi="Times New Roman"/>
          <w:noProof/>
          <w:lang w:val="en-US"/>
        </w:rPr>
        <w:t xml:space="preserve"> </w:t>
      </w:r>
      <w:r w:rsidRPr="00FC5E0A">
        <w:rPr>
          <w:rFonts w:ascii="Times New Roman" w:hAnsi="Times New Roman"/>
          <w:noProof/>
        </w:rPr>
        <w:t xml:space="preserve">acquisition of knowledge and skills and better </w:t>
      </w:r>
      <w:r w:rsidR="007E71E9" w:rsidRPr="00FC5E0A">
        <w:rPr>
          <w:rFonts w:ascii="Times New Roman" w:hAnsi="Times New Roman"/>
          <w:noProof/>
        </w:rPr>
        <w:t xml:space="preserve">control and </w:t>
      </w:r>
      <w:r w:rsidR="00AD3AA9" w:rsidRPr="00FC5E0A">
        <w:rPr>
          <w:rFonts w:ascii="Times New Roman" w:hAnsi="Times New Roman"/>
          <w:noProof/>
        </w:rPr>
        <w:t xml:space="preserve">assesment </w:t>
      </w:r>
      <w:r w:rsidRPr="00FC5E0A">
        <w:rPr>
          <w:rFonts w:ascii="Times New Roman" w:hAnsi="Times New Roman"/>
          <w:noProof/>
        </w:rPr>
        <w:t>of learners' progress</w:t>
      </w:r>
      <w:r w:rsidR="00083830" w:rsidRPr="00FC5E0A">
        <w:rPr>
          <w:rFonts w:ascii="Times New Roman" w:hAnsi="Times New Roman"/>
          <w:noProof/>
          <w:lang w:val="en-US"/>
        </w:rPr>
        <w:t xml:space="preserve"> </w:t>
      </w:r>
      <w:r w:rsidR="00AD3AA9" w:rsidRPr="00FC5E0A">
        <w:rPr>
          <w:rFonts w:ascii="Times New Roman" w:hAnsi="Times New Roman"/>
          <w:lang w:val="en-US"/>
        </w:rPr>
        <w:t>(</w:t>
      </w:r>
      <w:r w:rsidRPr="00FC5E0A">
        <w:rPr>
          <w:rFonts w:ascii="Times New Roman" w:hAnsi="Times New Roman"/>
          <w:lang w:val="en-US"/>
        </w:rPr>
        <w:t>Barma,</w:t>
      </w:r>
      <w:r w:rsidR="007E71E9" w:rsidRPr="00FC5E0A">
        <w:rPr>
          <w:rFonts w:ascii="Times New Roman" w:hAnsi="Times New Roman"/>
          <w:lang w:val="en-US"/>
        </w:rPr>
        <w:t xml:space="preserve"> et al 2015).</w:t>
      </w:r>
    </w:p>
    <w:p w14:paraId="79B7BEB2" w14:textId="10D44554" w:rsidR="00067BA4" w:rsidRPr="00FC5E0A" w:rsidRDefault="00F03CEB" w:rsidP="00476BF1">
      <w:pPr>
        <w:spacing w:line="264" w:lineRule="auto"/>
        <w:jc w:val="both"/>
        <w:rPr>
          <w:rFonts w:ascii="Times New Roman" w:hAnsi="Times New Roman"/>
          <w:lang w:val="en-US"/>
        </w:rPr>
      </w:pPr>
      <w:r w:rsidRPr="00FC5E0A">
        <w:rPr>
          <w:rFonts w:ascii="Times New Roman" w:hAnsi="Times New Roman"/>
          <w:lang w:val="en-US"/>
        </w:rPr>
        <w:t>According to Kotsopoulos et al</w:t>
      </w:r>
      <w:r w:rsidR="00A65A00" w:rsidRPr="00FC5E0A">
        <w:rPr>
          <w:rFonts w:ascii="Times New Roman" w:hAnsi="Times New Roman"/>
          <w:lang w:val="en-US"/>
        </w:rPr>
        <w:t xml:space="preserve"> </w:t>
      </w:r>
      <w:r w:rsidRPr="00FC5E0A">
        <w:rPr>
          <w:rFonts w:ascii="Times New Roman" w:hAnsi="Times New Roman"/>
          <w:lang w:val="en-US"/>
        </w:rPr>
        <w:t>(2018)</w:t>
      </w:r>
      <w:r w:rsidR="00AD3AA9" w:rsidRPr="00FC5E0A">
        <w:rPr>
          <w:rFonts w:ascii="Times New Roman" w:hAnsi="Times New Roman"/>
          <w:lang w:val="en-US"/>
        </w:rPr>
        <w:t>,</w:t>
      </w:r>
      <w:r w:rsidRPr="00FC5E0A">
        <w:rPr>
          <w:rFonts w:ascii="Times New Roman" w:hAnsi="Times New Roman"/>
          <w:lang w:val="en-US"/>
        </w:rPr>
        <w:t xml:space="preserve"> </w:t>
      </w:r>
      <w:r w:rsidRPr="00FC5E0A">
        <w:rPr>
          <w:rFonts w:ascii="Times New Roman" w:hAnsi="Times New Roman"/>
        </w:rPr>
        <w:t>the use of SG in education, as well as the gamification of the learning process, promotes the desired behavior and attitude change of users towards learning, increases participation, and improves performance</w:t>
      </w:r>
      <w:r w:rsidR="00A65A00" w:rsidRPr="00FC5E0A">
        <w:rPr>
          <w:rFonts w:ascii="Times New Roman" w:hAnsi="Times New Roman"/>
        </w:rPr>
        <w:t xml:space="preserve">. </w:t>
      </w:r>
      <w:r w:rsidR="000B2718" w:rsidRPr="00FC5E0A">
        <w:rPr>
          <w:rFonts w:ascii="Times New Roman" w:hAnsi="Times New Roman"/>
        </w:rPr>
        <w:t xml:space="preserve">Research shows that </w:t>
      </w:r>
      <w:r w:rsidR="000B2718" w:rsidRPr="00FC5E0A">
        <w:rPr>
          <w:rFonts w:ascii="Times New Roman" w:hAnsi="Times New Roman"/>
          <w:lang w:val="en-US"/>
        </w:rPr>
        <w:t>SGs</w:t>
      </w:r>
      <w:r w:rsidR="000B2718" w:rsidRPr="00FC5E0A">
        <w:rPr>
          <w:rFonts w:ascii="Times New Roman" w:hAnsi="Times New Roman"/>
        </w:rPr>
        <w:t xml:space="preserve">, </w:t>
      </w:r>
      <w:r w:rsidR="000B2718" w:rsidRPr="00FC5E0A">
        <w:rPr>
          <w:rFonts w:ascii="Times New Roman" w:hAnsi="Times New Roman"/>
          <w:lang w:val="en-US"/>
        </w:rPr>
        <w:t xml:space="preserve">develop users’ </w:t>
      </w:r>
      <w:r w:rsidR="000B2718" w:rsidRPr="00FC5E0A">
        <w:rPr>
          <w:rFonts w:ascii="Times New Roman" w:hAnsi="Times New Roman"/>
        </w:rPr>
        <w:t>cognitive skills through their structured design and the activities they engage them</w:t>
      </w:r>
      <w:r w:rsidR="00E966AC" w:rsidRPr="00FC5E0A">
        <w:rPr>
          <w:rFonts w:ascii="Times New Roman" w:hAnsi="Times New Roman"/>
          <w:lang w:val="en-US"/>
        </w:rPr>
        <w:t xml:space="preserve"> (Chorianopoulos,  &amp; Giannakos, 2014)</w:t>
      </w:r>
      <w:r w:rsidR="000C1A46" w:rsidRPr="00FC5E0A">
        <w:rPr>
          <w:rFonts w:ascii="Times New Roman" w:hAnsi="Times New Roman"/>
          <w:lang w:val="en-US"/>
        </w:rPr>
        <w:t xml:space="preserve"> and encourages </w:t>
      </w:r>
      <w:r w:rsidR="000C1A46" w:rsidRPr="00FC5E0A">
        <w:rPr>
          <w:rFonts w:ascii="Times New Roman" w:hAnsi="Times New Roman"/>
        </w:rPr>
        <w:t>self-awareness through the setting of appropriate goals and the provision of periodic feedback</w:t>
      </w:r>
      <w:r w:rsidR="000C1A46" w:rsidRPr="00FC5E0A">
        <w:rPr>
          <w:rFonts w:ascii="Times New Roman" w:hAnsi="Times New Roman"/>
          <w:b/>
          <w:bCs/>
          <w:lang w:val="en-US"/>
        </w:rPr>
        <w:t xml:space="preserve"> (</w:t>
      </w:r>
      <w:r w:rsidR="000C1A46" w:rsidRPr="00FC5E0A">
        <w:rPr>
          <w:rFonts w:ascii="Times New Roman" w:hAnsi="Times New Roman"/>
        </w:rPr>
        <w:t>Cowley &amp; Bateman, 2017)</w:t>
      </w:r>
      <w:r w:rsidR="00E966AC" w:rsidRPr="00FC5E0A">
        <w:rPr>
          <w:rFonts w:ascii="Times New Roman" w:hAnsi="Times New Roman"/>
          <w:lang w:val="en-US"/>
        </w:rPr>
        <w:t>. Furthermore</w:t>
      </w:r>
      <w:r w:rsidR="000B2718" w:rsidRPr="00FC5E0A">
        <w:rPr>
          <w:rFonts w:ascii="Times New Roman" w:hAnsi="Times New Roman"/>
        </w:rPr>
        <w:t xml:space="preserve"> </w:t>
      </w:r>
      <w:r w:rsidR="00067BA4" w:rsidRPr="00FC5E0A">
        <w:rPr>
          <w:rFonts w:ascii="Times New Roman" w:hAnsi="Times New Roman"/>
          <w:lang w:val="en-US"/>
        </w:rPr>
        <w:t xml:space="preserve">Hellströ et al. (2023), stated that SG could be used for “moving from passive to active pedagogy, and as a means of developing both practical competencies and soft skills” (p1). Continuing their work they </w:t>
      </w:r>
      <w:r w:rsidR="007E71E9" w:rsidRPr="00FC5E0A">
        <w:rPr>
          <w:rFonts w:ascii="Times New Roman" w:hAnsi="Times New Roman"/>
          <w:lang w:val="en-US"/>
        </w:rPr>
        <w:t>argued that</w:t>
      </w:r>
      <w:r w:rsidR="00067BA4" w:rsidRPr="00FC5E0A">
        <w:rPr>
          <w:rFonts w:ascii="Times New Roman" w:hAnsi="Times New Roman"/>
          <w:lang w:val="en-US"/>
        </w:rPr>
        <w:t xml:space="preserve"> SG </w:t>
      </w:r>
      <w:r w:rsidR="00C25AFF" w:rsidRPr="00FC5E0A">
        <w:rPr>
          <w:rFonts w:ascii="Times New Roman" w:hAnsi="Times New Roman"/>
          <w:lang w:val="en-US"/>
        </w:rPr>
        <w:t xml:space="preserve">a) </w:t>
      </w:r>
      <w:r w:rsidR="00067BA4" w:rsidRPr="00FC5E0A">
        <w:rPr>
          <w:rFonts w:ascii="Times New Roman" w:hAnsi="Times New Roman"/>
          <w:lang w:val="en-US"/>
        </w:rPr>
        <w:t>could develop specific knowledge and skills that are necessary in real-</w:t>
      </w:r>
      <w:r w:rsidR="00067BA4" w:rsidRPr="00FC5E0A">
        <w:rPr>
          <w:rFonts w:ascii="Times New Roman" w:hAnsi="Times New Roman"/>
          <w:lang w:val="en-US"/>
        </w:rPr>
        <w:lastRenderedPageBreak/>
        <w:t>life</w:t>
      </w:r>
      <w:r w:rsidR="00C25AFF" w:rsidRPr="00FC5E0A">
        <w:rPr>
          <w:rFonts w:ascii="Times New Roman" w:hAnsi="Times New Roman"/>
          <w:lang w:val="en-US"/>
        </w:rPr>
        <w:t>, b)</w:t>
      </w:r>
      <w:r w:rsidR="00067BA4" w:rsidRPr="00FC5E0A">
        <w:rPr>
          <w:rFonts w:ascii="Times New Roman" w:hAnsi="Times New Roman"/>
          <w:lang w:val="en-US"/>
        </w:rPr>
        <w:t xml:space="preserve"> improve the learning impact</w:t>
      </w:r>
      <w:r w:rsidR="00C25AFF" w:rsidRPr="00FC5E0A">
        <w:rPr>
          <w:rFonts w:ascii="Times New Roman" w:hAnsi="Times New Roman"/>
          <w:lang w:val="en-US"/>
        </w:rPr>
        <w:t>, c) is used to implement new kind of pedagogical approaches (such as experimental learning) and d) is used to increase students’ interest in learning.</w:t>
      </w:r>
    </w:p>
    <w:p w14:paraId="0A517276" w14:textId="77777777" w:rsidR="00752435" w:rsidRPr="00FC5E0A" w:rsidRDefault="00752435" w:rsidP="00752435">
      <w:pPr>
        <w:jc w:val="both"/>
        <w:rPr>
          <w:rFonts w:ascii="Times New Roman" w:hAnsi="Times New Roman"/>
          <w:lang w:val="en-US"/>
        </w:rPr>
      </w:pPr>
      <w:r w:rsidRPr="00FC5E0A">
        <w:rPr>
          <w:rFonts w:ascii="Times New Roman" w:hAnsi="Times New Roman"/>
          <w:lang w:val="en-US"/>
        </w:rPr>
        <w:t>Furthermore, previous research has highlighted the significant role of serious games in facilitating the acquisition of knowledge and the development of professional skills (Riedel &amp; Hauge, 2011; Girard et al., 2013; Wouters et al., 2013; Boyle et al., 2016; López et al., 2021; Jacaard et al., 2022). López et al. (2021) identify education as a key factor for enhancing learning, a process that can be effectively achieved through methods like gamification. Riedel and Hauge (2011) suggest that serious games can serve as a mediator for professional skill development, while Boyle et al. (2016) found that knowledge acquisition was the most common outcome of serious games, followed by changes in cognitive, emotional, and behavioral domains, with fewer studies observing improvements in physiological or soft and social skills. Girard (2013) emphasizes that serious games promote constructive, experiential learning through active engagement and immersion, while Wouters (2013) highlights that they address both cognitive and emotional learning, enabling personalized learning experiences and boosting motivation. Jacaard et al. (2022) used empirical research to explore how serious games can transform project management education, relying on qualitative data to demonstrate their effectiveness.</w:t>
      </w:r>
    </w:p>
    <w:p w14:paraId="31AC270A" w14:textId="2AC022A0" w:rsidR="00221376" w:rsidRPr="00FC5E0A" w:rsidRDefault="00D839A8" w:rsidP="00067BA4">
      <w:pPr>
        <w:spacing w:line="264" w:lineRule="auto"/>
        <w:ind w:firstLine="284"/>
        <w:jc w:val="both"/>
        <w:rPr>
          <w:rFonts w:ascii="Times New Roman" w:hAnsi="Times New Roman"/>
        </w:rPr>
      </w:pPr>
      <w:r w:rsidRPr="00FC5E0A">
        <w:rPr>
          <w:rFonts w:ascii="Times New Roman" w:hAnsi="Times New Roman"/>
          <w:b/>
          <w:bCs/>
          <w:lang w:val="en-US"/>
        </w:rPr>
        <w:t>2.2</w:t>
      </w:r>
      <w:r w:rsidRPr="00FC5E0A">
        <w:rPr>
          <w:rFonts w:ascii="Times New Roman" w:hAnsi="Times New Roman"/>
          <w:lang w:val="en-US"/>
        </w:rPr>
        <w:t xml:space="preserve"> </w:t>
      </w:r>
      <w:r w:rsidR="00950A5A" w:rsidRPr="00FC5E0A">
        <w:rPr>
          <w:rFonts w:ascii="Times New Roman" w:hAnsi="Times New Roman"/>
          <w:b/>
          <w:bCs/>
        </w:rPr>
        <w:t xml:space="preserve">Sport event management </w:t>
      </w:r>
      <w:r w:rsidR="00C14DF2" w:rsidRPr="00FC5E0A">
        <w:rPr>
          <w:rFonts w:ascii="Times New Roman" w:hAnsi="Times New Roman"/>
          <w:b/>
          <w:bCs/>
        </w:rPr>
        <w:t>framework</w:t>
      </w:r>
    </w:p>
    <w:p w14:paraId="05E34C01" w14:textId="213925C5" w:rsidR="007377BB" w:rsidRPr="00FC5E0A" w:rsidRDefault="007377BB" w:rsidP="005E527D">
      <w:pPr>
        <w:spacing w:line="264" w:lineRule="auto"/>
        <w:jc w:val="both"/>
        <w:rPr>
          <w:rFonts w:ascii="Times New Roman" w:hAnsi="Times New Roman"/>
          <w:lang w:val="en-US"/>
        </w:rPr>
      </w:pPr>
      <w:r w:rsidRPr="00FC5E0A">
        <w:rPr>
          <w:rFonts w:ascii="Times New Roman" w:hAnsi="Times New Roman"/>
          <w:lang w:val="en-US"/>
        </w:rPr>
        <w:t xml:space="preserve">In real life, successful management of </w:t>
      </w:r>
      <w:r w:rsidR="0017095A" w:rsidRPr="00FC5E0A">
        <w:rPr>
          <w:rFonts w:ascii="Times New Roman" w:hAnsi="Times New Roman"/>
          <w:lang w:val="en-US"/>
        </w:rPr>
        <w:t>sporting events</w:t>
      </w:r>
      <w:r w:rsidRPr="00FC5E0A">
        <w:rPr>
          <w:rFonts w:ascii="Times New Roman" w:hAnsi="Times New Roman"/>
          <w:lang w:val="en-US"/>
        </w:rPr>
        <w:t xml:space="preserve"> depend on many different event operations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{"citationItems":[{"id":"ITEM-1","itemData":{"DOI":"10.1016/j.kjss.2017.07.014","ISSN":"24523151","abstract":"This research studied factors influencing the achievements of Regional League Division 2 football tournament management. There were two groups of participants: 1) 438 people internally involved with football league tournament organization using the theory of non-probability sampling for purposive sampling, and 2) 1,068 participants related to football matches using the accidental sampling approach. This research employed two sets of questionnaires, one for each participant group, presented in the form of Likert scale and Lisrel (Linear Structure Relation) for the analysis of descriptive analysis and inferential statistics. The analysis showed that both internal and external factors of 1) Management, 2) Marketing mix, 3) Sports science, 4) Politics and government policy, 5) Player selection criteria, and 6) Performance evaluation system influenced the achievements of Regional League Division 2 football tournament management, with all at a high degree. The external factors relating to the management of the team which significantly affected the internal success of football match organization were the Performance evaluation system, Coordination, and Player selection criteria, respectively. These factors positively and significantly affected internal factors at the .01 level. The three external factors were found to indicatively determine 76 percent of the success of football match organization. The external factors relating to the team fan clubs which significantly affected the internal success of football match organization were political policies launched by the government and the processes of sports marketing, respectively. These factors positively and significantly affected internal factors at the .01 level. The two external factors could determine 65 percent of the success of football tournament organization.","author":[{"dropping-particle":"","family":"Rattanapian","given":"Piyanut","non-dropping-particle":"","parse-names":false,"suffix":""},{"dropping-particle":"","family":"Tingsabhat","given":"Juta","non-dropping-particle":"","parse-names":false,"suffix":""},{"dropping-particle":"","family":"Kanungsukkasem","given":"Vijit","non-dropping-particle":"","parse-names":false,"suffix":""}],"container-title":"Kasetsart Journal of Social Sciences","id":"ITEM-1","issue":"3","issued":{"date-parts":[["2018"]]},"page":"542-549","publisher":"Elsevier Ltd","title":"Factors influencing achievement of regional league division 2 football tournament management","type":"article-journal","volume":"39"},"uris":["http://www.mendeley.com/documents/?uuid=6a4d218d-077d-49eb-ae78-cee979f6e972"]}],"mendeley":{"formattedCitation":"[20]","plainTextFormattedCitation":"[20]","previouslyFormattedCitation":"[20]"},"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[20]</w:t>
      </w:r>
      <w:r w:rsidRPr="00FC5E0A">
        <w:rPr>
          <w:rFonts w:ascii="Times New Roman" w:hAnsi="Times New Roman"/>
          <w:lang w:val="en-US"/>
        </w:rPr>
        <w:fldChar w:fldCharType="end"/>
      </w:r>
      <w:r w:rsidRPr="00FC5E0A">
        <w:rPr>
          <w:rFonts w:ascii="Times New Roman" w:hAnsi="Times New Roman"/>
          <w:lang w:val="en-US"/>
        </w:rPr>
        <w:t xml:space="preserve">, i.e., venues, accommodation, transportation, that are not applicable in digital </w:t>
      </w:r>
      <w:r w:rsidR="0017095A" w:rsidRPr="00FC5E0A">
        <w:rPr>
          <w:rFonts w:ascii="Times New Roman" w:hAnsi="Times New Roman"/>
          <w:lang w:val="en-US"/>
        </w:rPr>
        <w:t>games</w:t>
      </w:r>
      <w:r w:rsidRPr="00FC5E0A">
        <w:rPr>
          <w:rFonts w:ascii="Times New Roman" w:hAnsi="Times New Roman"/>
          <w:lang w:val="en-US"/>
        </w:rPr>
        <w:t xml:space="preserve">. However, regardless of one organizes a real </w:t>
      </w:r>
      <w:r w:rsidR="0017095A" w:rsidRPr="00FC5E0A">
        <w:rPr>
          <w:rFonts w:ascii="Times New Roman" w:hAnsi="Times New Roman"/>
          <w:lang w:val="en-US"/>
        </w:rPr>
        <w:t xml:space="preserve"> sport   event</w:t>
      </w:r>
      <w:r w:rsidRPr="00FC5E0A">
        <w:rPr>
          <w:rFonts w:ascii="Times New Roman" w:hAnsi="Times New Roman"/>
          <w:lang w:val="en-US"/>
        </w:rPr>
        <w:t xml:space="preserve"> or a digital one, some operations remain common. For example, organizing a digital </w:t>
      </w:r>
      <w:r w:rsidR="00827A3A" w:rsidRPr="00FC5E0A">
        <w:rPr>
          <w:rFonts w:ascii="Times New Roman" w:hAnsi="Times New Roman"/>
          <w:lang w:val="en-US"/>
        </w:rPr>
        <w:t>sport event</w:t>
      </w:r>
      <w:r w:rsidRPr="00FC5E0A">
        <w:rPr>
          <w:rFonts w:ascii="Times New Roman" w:hAnsi="Times New Roman"/>
          <w:lang w:val="en-US"/>
        </w:rPr>
        <w:t xml:space="preserve">, management consists of planning, assigning, coordinating, and controlling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{"citationItems":[{"id":"ITEM-1","itemData":{"DOI":"10.1016/j.kjss.2017.07.014","ISSN":"24523151","abstract":"This research studied factors influencing the achievements of Regional League Division 2 football tournament management. There were two groups of participants: 1) 438 people internally involved with football league tournament organization using the theory of non-probability sampling for purposive sampling, and 2) 1,068 participants related to football matches using the accidental sampling approach. This research employed two sets of questionnaires, one for each participant group, presented in the form of Likert scale and Lisrel (Linear Structure Relation) for the analysis of descriptive analysis and inferential statistics. The analysis showed that both internal and external factors of 1) Management, 2) Marketing mix, 3) Sports science, 4) Politics and government policy, 5) Player selection criteria, and 6) Performance evaluation system influenced the achievements of Regional League Division 2 football tournament management, with all at a high degree. The external factors relating to the management of the team which significantly affected the internal success of football match organization were the Performance evaluation system, Coordination, and Player selection criteria, respectively. These factors positively and significantly affected internal factors at the .01 level. The three external factors were found to indicatively determine 76 percent of the success of football match organization. The external factors relating to the team fan clubs which significantly affected the internal success of football match organization were political policies launched by the government and the processes of sports marketing, respectively. These factors positively and significantly affected internal factors at the .01 level. The two external factors could determine 65 percent of the success of football tournament organization.","author":[{"dropping-particle":"","family":"Rattanapian","given":"Piyanut","non-dropping-particle":"","parse-names":false,"suffix":""},{"dropping-particle":"","family":"Tingsabhat","given":"Juta","non-dropping-particle":"","parse-names":false,"suffix":""},{"dropping-particle":"","family":"Kanungsukkasem","given":"Vijit","non-dropping-particle":"","parse-names":false,"suffix":""}],"container-title":"Kasetsart Journal of Social Sciences","id":"ITEM-1","issue":"3","issued":{"date-parts":[["2018"]]},"page":"542-549","publisher":"Elsevier Ltd","title":"Factors influencing achievement of regional league division 2 football tournament management","type":"article-journal","volume":"39"},"uris":["http://www.mendeley.com/documents/?uuid=6a4d218d-077d-49eb-ae78-cee979f6e972"]}],"mendeley":{"formattedCitation":"[20]","plainTextFormattedCitation":"[20]","previouslyFormattedCitation":"[20]"},"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[20]</w:t>
      </w:r>
      <w:r w:rsidRPr="00FC5E0A">
        <w:rPr>
          <w:rFonts w:ascii="Times New Roman" w:hAnsi="Times New Roman"/>
          <w:lang w:val="en-US"/>
        </w:rPr>
        <w:fldChar w:fldCharType="end"/>
      </w:r>
      <w:r w:rsidRPr="00FC5E0A">
        <w:rPr>
          <w:rFonts w:ascii="Times New Roman" w:hAnsi="Times New Roman"/>
          <w:lang w:val="en-US"/>
        </w:rPr>
        <w:t xml:space="preserve">. </w:t>
      </w:r>
    </w:p>
    <w:p w14:paraId="05354BA9" w14:textId="051D3D5F" w:rsidR="00561AD7" w:rsidRPr="00FC5E0A" w:rsidRDefault="00561AD7" w:rsidP="005E527D">
      <w:pPr>
        <w:spacing w:line="264" w:lineRule="auto"/>
        <w:jc w:val="both"/>
        <w:rPr>
          <w:rFonts w:ascii="Times New Roman" w:hAnsi="Times New Roman"/>
          <w:lang w:val="en-US"/>
        </w:rPr>
      </w:pPr>
      <w:bookmarkStart w:id="4" w:name="_Hlk104806277"/>
      <w:r w:rsidRPr="00FC5E0A">
        <w:rPr>
          <w:rFonts w:ascii="Times New Roman" w:hAnsi="Times New Roman"/>
          <w:lang w:val="en-US"/>
        </w:rPr>
        <w:t xml:space="preserve">Salem </w:t>
      </w:r>
      <w:r w:rsidRPr="00FC5E0A">
        <w:rPr>
          <w:rFonts w:ascii="Times New Roman" w:hAnsi="Times New Roman"/>
          <w:i/>
          <w:iCs/>
          <w:lang w:val="en-US"/>
        </w:rPr>
        <w:t>et al.</w:t>
      </w:r>
      <w:r w:rsidRPr="00FC5E0A">
        <w:rPr>
          <w:rFonts w:ascii="Times New Roman" w:hAnsi="Times New Roman"/>
          <w:lang w:val="en-US"/>
        </w:rPr>
        <w:t xml:space="preserve">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[21]","plainTextFormattedCitation":"[21]","previouslyFormattedCitation":"[21]"},"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[21]</w:t>
      </w:r>
      <w:r w:rsidRPr="00FC5E0A">
        <w:rPr>
          <w:rFonts w:ascii="Times New Roman" w:hAnsi="Times New Roman"/>
          <w:lang w:val="en-US"/>
        </w:rPr>
        <w:fldChar w:fldCharType="end"/>
      </w:r>
      <w:r w:rsidRPr="00FC5E0A">
        <w:rPr>
          <w:rFonts w:ascii="Times New Roman" w:hAnsi="Times New Roman"/>
          <w:lang w:val="en-US"/>
        </w:rPr>
        <w:t xml:space="preserve"> conceptualized the Event Management </w:t>
      </w:r>
      <w:bookmarkStart w:id="5" w:name="_Hlk105931164"/>
      <w:r w:rsidRPr="00FC5E0A">
        <w:rPr>
          <w:rFonts w:ascii="Times New Roman" w:hAnsi="Times New Roman"/>
          <w:lang w:val="en-US"/>
        </w:rPr>
        <w:t>framework “Unified Model of events management”</w:t>
      </w:r>
      <w:bookmarkEnd w:id="4"/>
      <w:bookmarkEnd w:id="5"/>
      <w:r w:rsidRPr="00FC5E0A">
        <w:rPr>
          <w:rFonts w:ascii="Times New Roman" w:hAnsi="Times New Roman"/>
          <w:lang w:val="en-US"/>
        </w:rPr>
        <w:t xml:space="preserve">. According to this model, Event Management consists of four basic elements: </w:t>
      </w:r>
      <w:bookmarkStart w:id="6" w:name="_Hlk182130390"/>
      <w:r w:rsidRPr="00FC5E0A">
        <w:rPr>
          <w:rFonts w:ascii="Times New Roman" w:hAnsi="Times New Roman"/>
          <w:lang w:val="en-US"/>
        </w:rPr>
        <w:t>(a) decision, (b) detailed planning, (c) implementation and (d) evaluation.</w:t>
      </w:r>
      <w:bookmarkEnd w:id="6"/>
      <w:r w:rsidRPr="00FC5E0A">
        <w:rPr>
          <w:rFonts w:ascii="Times New Roman" w:hAnsi="Times New Roman"/>
          <w:lang w:val="en-US"/>
        </w:rPr>
        <w:t xml:space="preserve"> The decision process includes “aims and objectives”, “establishment of board management” and “feasibility study”</w:t>
      </w:r>
      <w:r w:rsidR="009A2452" w:rsidRPr="00FC5E0A">
        <w:rPr>
          <w:rFonts w:ascii="Times New Roman" w:hAnsi="Times New Roman"/>
          <w:lang w:val="en-US"/>
        </w:rPr>
        <w:t xml:space="preserve"> (figure 1)</w:t>
      </w:r>
      <w:r w:rsidRPr="00FC5E0A">
        <w:rPr>
          <w:rFonts w:ascii="Times New Roman" w:hAnsi="Times New Roman"/>
          <w:lang w:val="en-US"/>
        </w:rPr>
        <w:t>.</w:t>
      </w:r>
    </w:p>
    <w:p w14:paraId="02331D4B" w14:textId="1C65001F" w:rsidR="009A2452" w:rsidRPr="00FC5E0A" w:rsidRDefault="009A2452" w:rsidP="005E527D">
      <w:pPr>
        <w:spacing w:line="264" w:lineRule="auto"/>
        <w:jc w:val="both"/>
        <w:rPr>
          <w:rFonts w:ascii="Times New Roman" w:hAnsi="Times New Roman"/>
          <w:lang w:val="en-US"/>
        </w:rPr>
      </w:pPr>
      <w:r w:rsidRPr="00FC5E0A">
        <w:rPr>
          <w:rFonts w:ascii="Times New Roman" w:hAnsi="Times New Roman"/>
          <w:noProof/>
        </w:rPr>
        <w:drawing>
          <wp:inline distT="0" distB="0" distL="0" distR="0" wp14:anchorId="69C2744F" wp14:editId="3504BB59">
            <wp:extent cx="4148559" cy="2959907"/>
            <wp:effectExtent l="0" t="0" r="4445" b="0"/>
            <wp:docPr id="35845" name="Picture 35845" descr="Εικόνα που περιέχει κείμενο, στιγμιότυπο οθόνης,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35845" descr="Εικόνα που περιέχει κείμενο, στιγμιότυπο οθόνης, λογισμικό, εικονίδιο υπολογιστή&#10;&#10;Περιγραφή που δημιουργήθηκε αυτόματα"/>
                    <pic:cNvPicPr/>
                  </pic:nvPicPr>
                  <pic:blipFill rotWithShape="1">
                    <a:blip r:embed="rId12"/>
                    <a:srcRect l="22116" t="17669" r="38782" b="1364"/>
                    <a:stretch/>
                  </pic:blipFill>
                  <pic:spPr bwMode="auto">
                    <a:xfrm>
                      <a:off x="0" y="0"/>
                      <a:ext cx="4226963" cy="3015846"/>
                    </a:xfrm>
                    <a:prstGeom prst="rect">
                      <a:avLst/>
                    </a:prstGeom>
                    <a:ln>
                      <a:noFill/>
                    </a:ln>
                    <a:extLst>
                      <a:ext uri="{53640926-AAD7-44D8-BBD7-CCE9431645EC}">
                        <a14:shadowObscured xmlns:a14="http://schemas.microsoft.com/office/drawing/2010/main"/>
                      </a:ext>
                    </a:extLst>
                  </pic:spPr>
                </pic:pic>
              </a:graphicData>
            </a:graphic>
          </wp:inline>
        </w:drawing>
      </w:r>
    </w:p>
    <w:p w14:paraId="272838C1" w14:textId="77777777" w:rsidR="009A2452" w:rsidRPr="00FC5E0A" w:rsidRDefault="009A2452" w:rsidP="009A2452">
      <w:pPr>
        <w:pBdr>
          <w:top w:val="single" w:sz="4" w:space="1" w:color="auto"/>
        </w:pBdr>
        <w:spacing w:after="120"/>
        <w:rPr>
          <w:rFonts w:ascii="Times New Roman" w:hAnsi="Times New Roman"/>
          <w:b/>
          <w:lang w:val="en-US"/>
        </w:rPr>
      </w:pPr>
      <w:r w:rsidRPr="00FC5E0A">
        <w:rPr>
          <w:rFonts w:ascii="Times New Roman" w:hAnsi="Times New Roman"/>
          <w:b/>
          <w:lang w:val="en-US"/>
        </w:rPr>
        <w:t>Figure 1.</w:t>
      </w:r>
      <w:r w:rsidRPr="00FC5E0A">
        <w:rPr>
          <w:rFonts w:ascii="Times New Roman" w:hAnsi="Times New Roman"/>
          <w:bCs/>
          <w:lang w:val="en-US"/>
        </w:rPr>
        <w:t xml:space="preserve"> The Unified Model of Event Management (</w:t>
      </w:r>
      <w:r w:rsidRPr="00FC5E0A">
        <w:rPr>
          <w:rFonts w:ascii="Times New Roman" w:hAnsi="Times New Roman"/>
          <w:lang w:val="en-US"/>
        </w:rPr>
        <w:t>Salem et al.</w:t>
      </w:r>
      <w:r w:rsidRPr="00FC5E0A">
        <w:rPr>
          <w:rFonts w:ascii="Times New Roman" w:hAnsi="Times New Roman"/>
          <w:iCs/>
          <w:lang w:val="en-US"/>
        </w:rPr>
        <w:t xml:space="preserve">, </w:t>
      </w:r>
      <w:r w:rsidRPr="00FC5E0A">
        <w:rPr>
          <w:rFonts w:ascii="Times New Roman" w:hAnsi="Times New Roman"/>
          <w:lang w:val="en-US"/>
        </w:rPr>
        <w:t>2012)</w:t>
      </w:r>
    </w:p>
    <w:p w14:paraId="33181B87" w14:textId="77777777" w:rsidR="009A2452" w:rsidRPr="00FC5E0A" w:rsidRDefault="009A2452" w:rsidP="005E527D">
      <w:pPr>
        <w:spacing w:line="264" w:lineRule="auto"/>
        <w:jc w:val="both"/>
        <w:rPr>
          <w:rFonts w:ascii="Times New Roman" w:hAnsi="Times New Roman"/>
          <w:lang w:val="en-US"/>
        </w:rPr>
      </w:pPr>
    </w:p>
    <w:p w14:paraId="68A443EC" w14:textId="77777777" w:rsidR="00561AD7" w:rsidRPr="00FC5E0A" w:rsidRDefault="00561AD7" w:rsidP="005E527D">
      <w:pPr>
        <w:spacing w:line="264" w:lineRule="auto"/>
        <w:ind w:firstLine="284"/>
        <w:jc w:val="both"/>
        <w:rPr>
          <w:rFonts w:ascii="Times New Roman" w:hAnsi="Times New Roman"/>
          <w:lang w:val="en-US"/>
        </w:rPr>
      </w:pPr>
      <w:r w:rsidRPr="00FC5E0A">
        <w:rPr>
          <w:rFonts w:ascii="Times New Roman" w:hAnsi="Times New Roman"/>
          <w:lang w:val="en-US"/>
        </w:rPr>
        <w:t xml:space="preserve">Detailed planning includes event definition, financial study, marketing, human recourses management, event scheduling, and venue planning and operations management. Implementation includes dealing with contingencies, monitoring progress, and shutting down. </w:t>
      </w:r>
    </w:p>
    <w:p w14:paraId="00CE910D" w14:textId="69D1F346" w:rsidR="00561AD7" w:rsidRPr="00FC5E0A" w:rsidRDefault="00561AD7" w:rsidP="005E527D">
      <w:pPr>
        <w:spacing w:line="264" w:lineRule="auto"/>
        <w:ind w:firstLine="284"/>
        <w:jc w:val="both"/>
        <w:rPr>
          <w:rFonts w:ascii="Times New Roman" w:hAnsi="Times New Roman"/>
          <w:lang w:val="en-US"/>
        </w:rPr>
      </w:pPr>
      <w:r w:rsidRPr="00FC5E0A">
        <w:rPr>
          <w:rFonts w:ascii="Times New Roman" w:hAnsi="Times New Roman"/>
          <w:lang w:val="en-US"/>
        </w:rPr>
        <w:lastRenderedPageBreak/>
        <w:t>The event management is completed with the evaluation of the process, the evaluation of the organizers and the outcome of organizing a digital football tournament.</w:t>
      </w:r>
      <w:bookmarkStart w:id="7" w:name="_Hlk105869720"/>
      <w:r w:rsidRPr="00FC5E0A">
        <w:rPr>
          <w:rFonts w:ascii="Times New Roman" w:hAnsi="Times New Roman"/>
          <w:lang w:val="en-US"/>
        </w:rPr>
        <w:t xml:space="preserve"> Kendal </w:t>
      </w:r>
      <w:r w:rsidRPr="00FC5E0A">
        <w:rPr>
          <w:rFonts w:ascii="Times New Roman" w:hAnsi="Times New Roman"/>
          <w:i/>
          <w:iCs/>
          <w:lang w:val="en-US"/>
        </w:rPr>
        <w:t>et al.</w:t>
      </w:r>
      <w:r w:rsidRPr="00FC5E0A">
        <w:rPr>
          <w:rFonts w:ascii="Times New Roman" w:hAnsi="Times New Roman"/>
          <w:lang w:val="en-US"/>
        </w:rPr>
        <w:t xml:space="preserve">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{"citationItems":[{"id":"ITEM-1","itemData":{"DOI":"10.1016/j.cor.2009.05.013","ISSN":"03050548","abstract":"Sports have worldwide appeal. Professional sport leagues involve significant investments in players. Events such as the Olympics Games, the Football World Cup and the major golf and tennis tournaments generate huge worldwide television audiences and many sports are multi-million dollar industries. A key aspect of sporting events is the ability to generate schedules that optimize logistic issues and that are seen as fair to all those who have an interest. This is not just restricted to generating the fixtures, but also to other areas such as assigning officials to the games in the competitions. This paper provides an annotated bibliography for sports scheduling articles. This area can be traced back over 40 years. It is noticeable that the number of papers has risen in recent years, demonstrating that scientific interest is increasing in this area. © 2009 Elsevier Ltd. All rights reserved.","author":[{"dropping-particle":"","family":"Kendall","given":"Graham","non-dropping-particle":"","parse-names":false,"suffix":""},{"dropping-particle":"","family":"Knust","given":"Sigrid","non-dropping-particle":"","parse-names":false,"suffix":""},{"dropping-particle":"","family":"Ribeiro","given":"Celso C.","non-dropping-particle":"","parse-names":false,"suffix":""},{"dropping-particle":"","family":"Urrutia","given":"Sebastián","non-dropping-particle":"","parse-names":false,"suffix":""}],"container-title":"Computers and Operations Research","id":"ITEM-1","issue":"1","issued":{"date-parts":[["2010"]]},"page":"1-19","publisher":"Elsevier","title":"Scheduling in sports: An annotated bibliography","type":"article-journal","volume":"37"},"uris":["http://www.mendeley.com/documents/?uuid=89910123-b21c-45fc-b3ed-e9a0324e5438"]}],"mendeley":{"formattedCitation":"[22]","plainTextFormattedCitation":"[22]","previouslyFormattedCitation":"[22]"},"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[22]</w:t>
      </w:r>
      <w:r w:rsidRPr="00FC5E0A">
        <w:rPr>
          <w:rFonts w:ascii="Times New Roman" w:hAnsi="Times New Roman"/>
          <w:lang w:val="en-US"/>
        </w:rPr>
        <w:fldChar w:fldCharType="end"/>
      </w:r>
      <w:r w:rsidRPr="00FC5E0A">
        <w:rPr>
          <w:rFonts w:ascii="Times New Roman" w:hAnsi="Times New Roman"/>
          <w:lang w:val="en-US"/>
        </w:rPr>
        <w:t xml:space="preserve"> </w:t>
      </w:r>
      <w:bookmarkEnd w:id="7"/>
      <w:r w:rsidRPr="00FC5E0A">
        <w:rPr>
          <w:rFonts w:ascii="Times New Roman" w:hAnsi="Times New Roman"/>
          <w:lang w:val="en-US"/>
        </w:rPr>
        <w:t>consider that, it is essential for the event organizers to mapping out the event and lay down everything that concerns the event on a grid. Additionally, they suggest the use of various function sheets such as timelines. The effectiveness of planning and the successful event execution depends on how strictly someone adhere to the timelines.</w:t>
      </w:r>
    </w:p>
    <w:p w14:paraId="0F9F4ACF" w14:textId="2F49DA56" w:rsidR="00561AD7" w:rsidRPr="00FC5E0A" w:rsidRDefault="00561AD7" w:rsidP="005E527D">
      <w:pPr>
        <w:spacing w:line="264" w:lineRule="auto"/>
        <w:ind w:firstLine="284"/>
        <w:jc w:val="both"/>
        <w:rPr>
          <w:rFonts w:ascii="Times New Roman" w:hAnsi="Times New Roman"/>
          <w:lang w:val="en-US"/>
        </w:rPr>
      </w:pPr>
      <w:r w:rsidRPr="00FC5E0A">
        <w:rPr>
          <w:rFonts w:ascii="Times New Roman" w:hAnsi="Times New Roman"/>
          <w:lang w:val="en-US"/>
        </w:rPr>
        <w:t xml:space="preserve">Furthermore, Allen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{"citationItems":[{"id":"ITEM-1","itemData":{"author":[{"dropping-particle":"","family":"Allen","given":"J.","non-dropping-particle":"","parse-names":false,"suffix":""}],"id":"ITEM-1","issued":{"date-parts":[["2008"]]},"publisher":"John Wiley &amp; Sons Canada, Ltd","publisher-place":"Ontario","title":"Event planning: The ultimate guide to successful meetings, corporate events, fundraising galas, conferences, conventions, incentives and other special events","type":"book"},"uris":["http://www.mendeley.com/documents/?uuid=a5b5d12a-b08c-4aad-88b2-b66d13fa1c6f"]}],"mendeley":{"formattedCitation":"[23]","plainTextFormattedCitation":"[23]","previouslyFormattedCitation":"[23]"},"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[23]</w:t>
      </w:r>
      <w:r w:rsidRPr="00FC5E0A">
        <w:rPr>
          <w:rFonts w:ascii="Times New Roman" w:hAnsi="Times New Roman"/>
          <w:lang w:val="en-US"/>
        </w:rPr>
        <w:fldChar w:fldCharType="end"/>
      </w:r>
      <w:r w:rsidRPr="00FC5E0A">
        <w:rPr>
          <w:rFonts w:ascii="Times New Roman" w:hAnsi="Times New Roman"/>
          <w:lang w:val="en-US"/>
        </w:rPr>
        <w:t xml:space="preserve"> highlights the importance of the event overview grid which provides valuable information for various event elements including event timing and orchestration. She also states that a post event summary is a very useful tool for planning as it </w:t>
      </w:r>
      <w:r w:rsidR="008B6D95" w:rsidRPr="00FC5E0A">
        <w:rPr>
          <w:rFonts w:ascii="Times New Roman" w:hAnsi="Times New Roman"/>
          <w:lang w:val="en-US"/>
        </w:rPr>
        <w:t>gives</w:t>
      </w:r>
      <w:r w:rsidRPr="00FC5E0A">
        <w:rPr>
          <w:rFonts w:ascii="Times New Roman" w:hAnsi="Times New Roman"/>
          <w:lang w:val="en-US"/>
        </w:rPr>
        <w:t xml:space="preserve"> the organizers the framework for the event. </w:t>
      </w:r>
    </w:p>
    <w:p w14:paraId="6D05ABAF" w14:textId="6372C81A" w:rsidR="00561AD7" w:rsidRPr="00FC5E0A" w:rsidRDefault="00561AD7" w:rsidP="005E527D">
      <w:pPr>
        <w:spacing w:line="264" w:lineRule="auto"/>
        <w:ind w:firstLine="284"/>
        <w:jc w:val="both"/>
        <w:rPr>
          <w:rFonts w:ascii="Times New Roman" w:hAnsi="Times New Roman"/>
          <w:lang w:val="en-US"/>
        </w:rPr>
      </w:pPr>
      <w:r w:rsidRPr="00FC5E0A">
        <w:rPr>
          <w:rFonts w:ascii="Times New Roman" w:hAnsi="Times New Roman"/>
          <w:lang w:val="en-US"/>
        </w:rPr>
        <w:t xml:space="preserve">When asked to plan a project, a common approach is to immediately identify what needs to be done first and then sequentially work through the tasks required to complete the project. Structured Task Analysis is a list with task actions required to achieve the given goal. This list follows a logical organizational sequence, and it is based on the planning tools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{"citationItems":[{"id":"ITEM-1","itemData":{"author":[{"dropping-particle":"","family":"Afthinos","given":"Yanni","non-dropping-particle":"","parse-names":false,"suffix":""}],"id":"ITEM-1","issued":{"date-parts":[["2015"]]},"publisher":"Sport Option","publisher-place":"Athens","title":"Sport Event Organization [Οργάνωση αθλητικών αγώνων]","type":"book"},"uris":["http://www.mendeley.com/documents/?uuid=943ea676-e5c9-41d2-a534-2671a4925099"]}],"mendeley":{"formattedCitation":"[24]","plainTextFormattedCitation":"[24]","previouslyFormattedCitation":"[24]"},"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[24]</w:t>
      </w:r>
      <w:r w:rsidRPr="00FC5E0A">
        <w:rPr>
          <w:rFonts w:ascii="Times New Roman" w:hAnsi="Times New Roman"/>
          <w:lang w:val="en-US"/>
        </w:rPr>
        <w:fldChar w:fldCharType="end"/>
      </w:r>
      <w:r w:rsidRPr="00FC5E0A">
        <w:rPr>
          <w:rFonts w:ascii="Times New Roman" w:hAnsi="Times New Roman"/>
          <w:lang w:val="en-US"/>
        </w:rPr>
        <w:t xml:space="preserve">. Projects planned poorly are significantly more likely to run into problems. Our exercise is focused on the iterative, top-down development of a project plan, documented not just as a Gantt chart but as a complete project charter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{"citationItems":[{"id":"ITEM-1","itemData":{"DOI":"10.1111/dsji.12176","ISSN":"15404609","abstract":"Project Management is an important skill for business students to develop. Although project-oriented activity is very common, the success rate for projects is poor. Many projects fail due to poor planning. This article describes a multipart class exercise used to teach elements of a project management methodology to undergraduate and graduate business students. Over the course of the eight-part exercise, student teams iteratively develop a project plan and Gantt chart, an initial and detailed project charter, a variance analysis model, and a status report. Students are taught an iterative top-down planning process using a technique we term the ODW (Objectives–Deliverables–Workplan) model. Students are introduced to Microsoft Project and use the tool to develop a project plan that becomes part of a more detailed Project Charter. In the final stages of the exercise, students collect results, update their plan, and produce a project status report.","author":[{"dropping-particle":"","family":"Robbins","given":"Thomas R.","non-dropping-particle":"","parse-names":false,"suffix":""}],"container-title":"Decision Sciences Journal of Innovative Education","id":"ITEM-1","issue":"2","issued":{"date-parts":[["2019"]]},"page":"104-125","title":"A Multipart Project Planning and Tracking Exercise","type":"article-journal","volume":"17"},"uris":["http://www.mendeley.com/documents/?uuid=14ae1a34-6160-44aa-97ac-74102a640f08"]}],"mendeley":{"formattedCitation":"[25]","plainTextFormattedCitation":"[25]","previouslyFormattedCitation":"[25]"},"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[25]</w:t>
      </w:r>
      <w:r w:rsidRPr="00FC5E0A">
        <w:rPr>
          <w:rFonts w:ascii="Times New Roman" w:hAnsi="Times New Roman"/>
          <w:lang w:val="en-US"/>
        </w:rPr>
        <w:fldChar w:fldCharType="end"/>
      </w:r>
      <w:r w:rsidRPr="00FC5E0A">
        <w:rPr>
          <w:rFonts w:ascii="Times New Roman" w:hAnsi="Times New Roman"/>
          <w:lang w:val="en-US"/>
        </w:rPr>
        <w:t xml:space="preserve">. </w:t>
      </w:r>
    </w:p>
    <w:p w14:paraId="0D983EAB" w14:textId="3B90D680" w:rsidR="00561AD7" w:rsidRPr="00FC5E0A" w:rsidRDefault="00561AD7" w:rsidP="005E527D">
      <w:pPr>
        <w:spacing w:line="264" w:lineRule="auto"/>
        <w:ind w:firstLine="284"/>
        <w:jc w:val="both"/>
        <w:rPr>
          <w:rFonts w:ascii="Times New Roman" w:hAnsi="Times New Roman"/>
          <w:lang w:val="en-US"/>
        </w:rPr>
      </w:pPr>
      <w:r w:rsidRPr="00FC5E0A">
        <w:rPr>
          <w:rFonts w:ascii="Times New Roman" w:hAnsi="Times New Roman"/>
          <w:lang w:val="en-US"/>
        </w:rPr>
        <w:t xml:space="preserve">Planning is followed by the implementation of the event, which is one of the most critical points for the events’ overall effectiveness. As Pinto and Slevin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{"citationItems":[{"id":"ITEM-1","itemData":{"DOI":"10.1109/TEM.1987.6498856","ISSN":"00189391","abstract":"A process used to determine critical success factors that are felt to be predictive of successful project management is described. Full-time managers who have had experience with projects were asked to generate critical success factors that they felt to be crucial to successful project implementation. Ten factors were discovered that relate well to previous theoretical formulations in the literature. In addition, these ten factors have been linked together in an interdependent quasi-sequential framework. The authors have provided the basis for developing a behavioral instrument to be used as a diagnostic for assessing the status of any project, as determined by the ten-factor model.","author":[{"dropping-particle":"","family":"Pinto","given":"Jeffrey K.","non-dropping-particle":"","parse-names":false,"suffix":""},{"dropping-particle":"","family":"Slevin","given":"Dennis P.","non-dropping-particle":"","parse-names":false,"suffix":""}],"container-title":"IEEE Transactions on Engineering Management","id":"ITEM-1","issue":"1","issued":{"date-parts":[["1987"]]},"page":"22-27","publisher":"IEEE","title":"Critical Factors in Successful Project Implementation.","type":"article-journal","volume":"EM-34"},"uris":["http://www.mendeley.com/documents/?uuid=c094a045-24fc-4eee-b5b8-c7ac08b43b7c"]}],"mendeley":{"formattedCitation":"[26]","plainTextFormattedCitation":"[26]","previouslyFormattedCitation":"[26]"},"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[26]</w:t>
      </w:r>
      <w:r w:rsidRPr="00FC5E0A">
        <w:rPr>
          <w:rFonts w:ascii="Times New Roman" w:hAnsi="Times New Roman"/>
          <w:lang w:val="en-US"/>
        </w:rPr>
        <w:fldChar w:fldCharType="end"/>
      </w:r>
      <w:r w:rsidRPr="00FC5E0A">
        <w:rPr>
          <w:rFonts w:ascii="Times New Roman" w:hAnsi="Times New Roman"/>
          <w:lang w:val="en-US"/>
        </w:rPr>
        <w:t xml:space="preserve"> pointed out, monitoring the event and get feedback from the participants, allows organizers to control the process and evaluate how the event is running compared to initial projections. </w:t>
      </w:r>
    </w:p>
    <w:p w14:paraId="24A8D926" w14:textId="22A80C44" w:rsidR="00561AD7" w:rsidRPr="00FC5E0A" w:rsidRDefault="00561AD7" w:rsidP="005E527D">
      <w:pPr>
        <w:spacing w:line="264" w:lineRule="auto"/>
        <w:ind w:firstLine="284"/>
        <w:jc w:val="both"/>
        <w:rPr>
          <w:rFonts w:ascii="Times New Roman" w:hAnsi="Times New Roman"/>
          <w:lang w:val="en-US"/>
        </w:rPr>
      </w:pPr>
      <w:r w:rsidRPr="00FC5E0A">
        <w:rPr>
          <w:rFonts w:ascii="Times New Roman" w:hAnsi="Times New Roman"/>
          <w:lang w:val="en-US"/>
        </w:rPr>
        <w:t xml:space="preserve">Evaluation, the last element on Salem </w:t>
      </w:r>
      <w:r w:rsidRPr="00FC5E0A">
        <w:rPr>
          <w:rFonts w:ascii="Times New Roman" w:hAnsi="Times New Roman"/>
          <w:i/>
          <w:iCs/>
          <w:lang w:val="en-US"/>
        </w:rPr>
        <w:t>et al.</w:t>
      </w:r>
      <w:r w:rsidRPr="00FC5E0A">
        <w:rPr>
          <w:rFonts w:ascii="Times New Roman" w:hAnsi="Times New Roman"/>
          <w:lang w:val="en-US"/>
        </w:rPr>
        <w:t xml:space="preserve">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[21]","plainTextFormattedCitation":"[21]","previouslyFormattedCitation":"[21]"},"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[21]</w:t>
      </w:r>
      <w:r w:rsidRPr="00FC5E0A">
        <w:rPr>
          <w:rFonts w:ascii="Times New Roman" w:hAnsi="Times New Roman"/>
          <w:lang w:val="en-US"/>
        </w:rPr>
        <w:fldChar w:fldCharType="end"/>
      </w:r>
      <w:r w:rsidRPr="00FC5E0A">
        <w:rPr>
          <w:rFonts w:ascii="Times New Roman" w:hAnsi="Times New Roman"/>
          <w:lang w:val="en-US"/>
        </w:rPr>
        <w:t xml:space="preserve"> framework, is a procedure of systematic assessment of the worth or merit of the event, and the systematic acquisition and assessment of information to provide useful feedback for the event</w:t>
      </w:r>
      <w:r w:rsidRPr="00FC5E0A">
        <w:rPr>
          <w:rFonts w:ascii="Times New Roman" w:hAnsi="Times New Roman"/>
          <w:shd w:val="clear" w:color="auto" w:fill="FFFFFF"/>
          <w:lang w:val="en-US"/>
        </w:rPr>
        <w:t xml:space="preserve"> </w:t>
      </w:r>
      <w:r w:rsidRPr="00FC5E0A">
        <w:rPr>
          <w:rFonts w:ascii="Times New Roman" w:hAnsi="Times New Roman"/>
          <w:shd w:val="clear" w:color="auto" w:fill="FFFFFF"/>
          <w:lang w:val="en-US"/>
        </w:rPr>
        <w:fldChar w:fldCharType="begin" w:fldLock="1"/>
      </w:r>
      <w:r w:rsidR="00B67A73" w:rsidRPr="00FC5E0A">
        <w:rPr>
          <w:rFonts w:ascii="Times New Roman" w:hAnsi="Times New Roman"/>
          <w:shd w:val="clear" w:color="auto" w:fill="FFFFFF"/>
          <w:lang w:val="en-US"/>
        </w:rPr>
        <w:instrText>ADDIN CSL_CITATION {"citationItems":[{"id":"ITEM-1","itemData":{"DOI":"10.1108/IJEFM-03-2015-0014","ISSN":"17582962","abstract":"Purpose – The purpose of this paper is to define event evaluation, develop a conceptual model of its process and elements, review pertinent literature, and draw conclusions pertaining both to the discourse on evaluation and its praxis. Design/methodology/approach – General review of literature and development of a conceptual model of the evaluation process. Findings – The review suggests that impact assessments have dominated, but are only one type of evaluation; research and papers on evaluating the worth of events has been minimal, while those on the evaluation of various management and marketing functions is fragmented. Research limitations/implications – It is concluded that little has been written about evaluation paradigms and systems, although the discourse on sustainability and triple bottom line accountability has led to a greater emphasis on non-economic considerations. Originality/value – The conceptual model of the evaluation process and its components offers a systematic approach to shaping evaluation discourse and methods. Conclusions are drawn on how to advance evaluation research and methods applied to events.","author":[{"dropping-particle":"","family":"Brown","given":"Steve","non-dropping-particle":"","parse-names":false,"suffix":""},{"dropping-particle":"","family":"Getz","given":"Donald","non-dropping-particle":"","parse-names":false,"suffix":""},{"dropping-particle":"","family":"Pettersson","given":"Robert","non-dropping-particle":"","parse-names":false,"suffix":""},{"dropping-particle":"","family":"Wallstam","given":"Martin","non-dropping-particle":"","parse-names":false,"suffix":""}],"container-title":"International Journal of Event and Festival Management","id":"ITEM-1","issue":"2","issued":{"date-parts":[["2015"]]},"page":"135-157","title":"Event evaluation: Definitions, concepts and a state of the art review","type":"article-journal","volume":"6"},"uris":["http://www.mendeley.com/documents/?uuid=e160619a-94a6-4111-9686-74bb902b4634"]}],"mendeley":{"formattedCitation":"[27]","plainTextFormattedCitation":"[27]","previouslyFormattedCitation":"[27]"},"properties":{"noteIndex":0},"schema":"https://github.com/citation-style-language/schema/raw/master/csl-citation.json"}</w:instrText>
      </w:r>
      <w:r w:rsidRPr="00FC5E0A">
        <w:rPr>
          <w:rFonts w:ascii="Times New Roman" w:hAnsi="Times New Roman"/>
          <w:shd w:val="clear" w:color="auto" w:fill="FFFFFF"/>
          <w:lang w:val="en-US"/>
        </w:rPr>
        <w:fldChar w:fldCharType="separate"/>
      </w:r>
      <w:r w:rsidRPr="00FC5E0A">
        <w:rPr>
          <w:rFonts w:ascii="Times New Roman" w:hAnsi="Times New Roman"/>
          <w:noProof/>
          <w:shd w:val="clear" w:color="auto" w:fill="FFFFFF"/>
          <w:lang w:val="en-US"/>
        </w:rPr>
        <w:t>[27]</w:t>
      </w:r>
      <w:r w:rsidRPr="00FC5E0A">
        <w:rPr>
          <w:rFonts w:ascii="Times New Roman" w:hAnsi="Times New Roman"/>
          <w:shd w:val="clear" w:color="auto" w:fill="FFFFFF"/>
          <w:lang w:val="en-US"/>
        </w:rPr>
        <w:fldChar w:fldCharType="end"/>
      </w:r>
      <w:r w:rsidRPr="00FC5E0A">
        <w:rPr>
          <w:rFonts w:ascii="Times New Roman" w:hAnsi="Times New Roman"/>
          <w:shd w:val="clear" w:color="auto" w:fill="FFFFFF"/>
          <w:lang w:val="en-US"/>
        </w:rPr>
        <w:t>.</w:t>
      </w:r>
    </w:p>
    <w:p w14:paraId="23EE7FA9" w14:textId="5483EAA1" w:rsidR="00886A02" w:rsidRPr="00FC5E0A" w:rsidRDefault="002A1A84" w:rsidP="002A1A84">
      <w:pPr>
        <w:pStyle w:val="2"/>
        <w:numPr>
          <w:ilvl w:val="0"/>
          <w:numId w:val="0"/>
        </w:numPr>
        <w:ind w:left="578"/>
        <w:rPr>
          <w:rFonts w:ascii="Times New Roman" w:hAnsi="Times New Roman" w:cs="Times New Roman"/>
          <w:sz w:val="22"/>
          <w:szCs w:val="22"/>
        </w:rPr>
      </w:pPr>
      <w:r w:rsidRPr="00FC5E0A">
        <w:rPr>
          <w:rFonts w:ascii="Times New Roman" w:hAnsi="Times New Roman" w:cs="Times New Roman"/>
          <w:sz w:val="22"/>
          <w:szCs w:val="22"/>
        </w:rPr>
        <w:t>2.3</w:t>
      </w:r>
      <w:r w:rsidRPr="00FC5E0A">
        <w:rPr>
          <w:rFonts w:ascii="Times New Roman" w:hAnsi="Times New Roman" w:cs="Times New Roman"/>
          <w:sz w:val="22"/>
          <w:szCs w:val="22"/>
        </w:rPr>
        <w:tab/>
      </w:r>
      <w:r w:rsidR="00946427" w:rsidRPr="00FC5E0A">
        <w:rPr>
          <w:rFonts w:ascii="Times New Roman" w:hAnsi="Times New Roman" w:cs="Times New Roman"/>
          <w:sz w:val="22"/>
          <w:szCs w:val="22"/>
        </w:rPr>
        <w:t>Scenario based education framework</w:t>
      </w:r>
    </w:p>
    <w:p w14:paraId="53B59CE7" w14:textId="6AB49677" w:rsidR="0033006B" w:rsidRPr="00FC5E0A" w:rsidRDefault="0033006B" w:rsidP="005E527D">
      <w:pPr>
        <w:spacing w:line="264" w:lineRule="auto"/>
        <w:jc w:val="both"/>
        <w:rPr>
          <w:rFonts w:ascii="Times New Roman" w:hAnsi="Times New Roman"/>
          <w:lang w:val="en-US"/>
        </w:rPr>
      </w:pPr>
      <w:r w:rsidRPr="00FC5E0A">
        <w:rPr>
          <w:rFonts w:ascii="Times New Roman" w:hAnsi="Times New Roman"/>
          <w:lang w:val="en-US"/>
        </w:rPr>
        <w:t>According to the “</w:t>
      </w:r>
      <w:r w:rsidR="00170017" w:rsidRPr="00FC5E0A">
        <w:rPr>
          <w:rFonts w:ascii="Times New Roman" w:hAnsi="Times New Roman"/>
          <w:lang w:val="en-US"/>
        </w:rPr>
        <w:t xml:space="preserve">Scenario Based Education Framework” developed by Misfeldt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{"citationItems":[{"id":"ITEM-1","itemData":{"ISSN":"14794403","abstract":"In this paper I describe s how students use a project management simulation game based on an attack-defense mechanism where two teams of players compete by challenging each other’s projects. The project management simulation game is intended to be played by pre-service construction workers and engineers. The gameplay has two parts: a planning part, where the player make managerial decisions about his construction site, and a challenge part where the player chooses between typical problems to occur on the opponent’s construction site. Playing the game involves analyzing both your own and you opponent’s building project for weak spots. The intention of the project management simulation game, is to provide students with an increased sensitivity towards the relation between planning and reality in complex construction projects. The project management simulation game can be interpreted both as a competitive game and as a simulation. Both of these views are meaningful and can be seen as supporting learning. Emphasizing the simulation aspect let us explain how students learn by being immersed into a simulated world, where the players identify with specific roles, live out specific situations, and experiment with relevant parameters. Emphasizing the competition game aspect we can see how play and competition allow players to experience intrinsic motivation and engagement, as well as thinking strategically about their choices, and hence put attention towards all the things that can go wrong in construction work. The goal of the paper is to investigate empirically how these two understandings influence game experience and learning outcome. This question is approached by qualitative post-game interviews about the experienced fun, competition and realism. Specific attention is given to how the understandings of the experience (for instance as a game and as a simulation) is entangled when the students describe their experience. Using the concepts frame and domain it is analyzed how the students conceptualize and make meaning of the particular educational scenario manifested by the project management simulation game. We take as an outset that students interpret the situations in the project management simulation game as relating to one or several domains, especially the domains competition and simulation. Results suggest that the views of the scenario as a competition and as a simulation do coexist, and that these views merge in a subtle way. The players consider the…","author":[{"dropping-particle":"","family":"Misfeldt","given":"Morten","non-dropping-particle":"","parse-names":false,"suffix":""}],"container-title":"Electronic Journal of e-Learning","id":"ITEM-1","issue":"3","issued":{"date-parts":[["2015"]]},"page":"181-191","title":"Scenario based education as a framework for understanding students engagement and learning in a project management simulation game","type":"article-journal","volume":"13"},"locator":"183","uris":["http://www.mendeley.com/documents/?uuid=092313e4-c29d-4f9b-b151-b70746c3b863"]}],"mendeley":{"formattedCitation":"[29, p. 183]","plainTextFormattedCitation":"[29, p. 183]","previouslyFormattedCitation":"[29, p. 183]"},"properties":{"noteIndex":0},"schema":"https://github.com/citation-style-language/schema/raw/master/csl-citation.json"}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[29, p. 183]</w:t>
      </w:r>
      <w:r w:rsidRPr="00FC5E0A">
        <w:rPr>
          <w:rFonts w:ascii="Times New Roman" w:hAnsi="Times New Roman"/>
          <w:lang w:val="en-US"/>
        </w:rPr>
        <w:fldChar w:fldCharType="end"/>
      </w:r>
      <w:r w:rsidRPr="00FC5E0A">
        <w:rPr>
          <w:rFonts w:ascii="Times New Roman" w:hAnsi="Times New Roman"/>
          <w:lang w:val="en-US"/>
        </w:rPr>
        <w:t xml:space="preserve">, “The scenario can be framed as a teaching situation …”, “… and it can be framed as a simulation (that resembles a situation that it is important to master)”. This educational approach (see Figure </w:t>
      </w:r>
      <w:r w:rsidR="008B6D95" w:rsidRPr="00FC5E0A">
        <w:rPr>
          <w:rFonts w:ascii="Times New Roman" w:hAnsi="Times New Roman"/>
          <w:lang w:val="en-US"/>
        </w:rPr>
        <w:t>2</w:t>
      </w:r>
      <w:r w:rsidRPr="00FC5E0A">
        <w:rPr>
          <w:rFonts w:ascii="Times New Roman" w:hAnsi="Times New Roman"/>
          <w:lang w:val="en-US"/>
        </w:rPr>
        <w:t xml:space="preserve">), adapted by Afthinos </w:t>
      </w:r>
      <w:r w:rsidRPr="00FC5E0A">
        <w:rPr>
          <w:rFonts w:ascii="Times New Roman" w:hAnsi="Times New Roman"/>
          <w:i/>
          <w:iCs/>
          <w:lang w:val="en-US"/>
        </w:rPr>
        <w:t>et al.</w:t>
      </w:r>
      <w:r w:rsidRPr="00FC5E0A">
        <w:rPr>
          <w:rFonts w:ascii="Times New Roman" w:hAnsi="Times New Roman"/>
          <w:lang w:val="en-US"/>
        </w:rPr>
        <w:t xml:space="preserve"> </w:t>
      </w:r>
      <w:r w:rsidRPr="00FC5E0A">
        <w:rPr>
          <w:rFonts w:ascii="Times New Roman" w:hAnsi="Times New Roman"/>
          <w:lang w:val="en-US"/>
        </w:rPr>
        <w:fldChar w:fldCharType="begin" w:fldLock="1"/>
      </w:r>
      <w:r w:rsidRPr="00FC5E0A">
        <w:rPr>
          <w:rFonts w:ascii="Times New Roman" w:hAnsi="Times New Roman"/>
          <w:lang w:val="en-US"/>
        </w:rPr>
        <w:instrText>ADDIN CSL_CITATION {"citationItems":[{"id":"ITEM-1","itemData":{"DOI":"10.1007/s10758-021-09573-8","ISBN":"0123456789","ISSN":"22111670","abstract":"The aim of this study is to examine whether students of a sport management undergraduate course can gain knowledge in the management of a professional soccer club, by participating in a commercial serious game. Serious is considered the cyber game that its purpose exceeds entertainment. For this case study, the serious sport club management game was “Top Eleven”. The theoretical model that this study was based on, is Misfeldt’s “scenarios based learning” for the transformation of a serious game into an educational means. It includes dimensions that cover part of the sport management class content in the National and Kapodistrian University of Athens, School of Physical Education and Sport Science. The transformation consisted of educational scenarios vested to the serious game, in order to add educational parameters to its basic elements with the purpose to relate further to the sport management class. The application showed that Top Eleven covers adequately Misfeldt’s model dimensions; therefore it can be used as an educational tool. Furthermore, an evaluation of the class gamification was conducted by the participating students (n = 62). The data collected showed that the majority of the students (f = 61, 98.4%) agreed that the participation in the serious game was “helpful” to their sport management class education process. They further agreed that they gained “very” or “very much” knowledge related to the management of a professional soccer club (f = 41, 66.1%) and that 59.7% (f = 37) of them would choose to work in a position of “sport club manager” as a result of the experience they gained by participating in the serious game.","author":[{"dropping-particle":"","family":"Afthinos","given":"Yanni","non-dropping-particle":"","parse-names":false,"suffix":""},{"dropping-particle":"","family":"Kiaffas","given":"Zacharias","non-dropping-particle":"","parse-names":false,"suffix":""},{"dropping-particle":"","family":"Afthinos","given":"Theofilos","non-dropping-particle":"","parse-names":false,"suffix":""}],"container-title":"Technology, Knowledge and Learning","id":"ITEM-1","issue":"1","issued":{"date-parts":[["2022"]]},"page":"255-273","publisher":"Springer Netherlands","title":"The Serious Game “Top Eleven” as an Educational Simulation Platform for Acquiring Knowledge and Skills in the Management of Sports Clubs","type":"article-journal","volume":"27"},"uris":["http://www.mendeley.com/documents/?uuid=30dcf59c-a82e-4fef-8228-412cc63cdcc0"]}],"mendeley":{"formattedCitation":"[10]","plainTextFormattedCitation":"[10]","previouslyFormattedCitation":"[10]"},"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[10]</w:t>
      </w:r>
      <w:r w:rsidRPr="00FC5E0A">
        <w:rPr>
          <w:rFonts w:ascii="Times New Roman" w:hAnsi="Times New Roman"/>
          <w:lang w:val="en-US"/>
        </w:rPr>
        <w:fldChar w:fldCharType="end"/>
      </w:r>
      <w:r w:rsidRPr="00FC5E0A">
        <w:rPr>
          <w:rFonts w:ascii="Times New Roman" w:hAnsi="Times New Roman"/>
          <w:lang w:val="en-US"/>
        </w:rPr>
        <w:t xml:space="preserve">, enables students to undertake certain tasks, develop projects, take decisions, answering management problems and thus acquiring knowledge, develop their skills and experience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{"citationItems":[{"id":"ITEM-1","itemData":{"ISSN":"14794403","abstract":"In this paper I describe s how students use a project management simulation game based on an attack-defense mechanism where two teams of players compete by challenging each other’s projects. The project management simulation game is intended to be played by pre-service construction workers and engineers. The gameplay has two parts: a planning part, where the player make managerial decisions about his construction site, and a challenge part where the player chooses between typical problems to occur on the opponent’s construction site. Playing the game involves analyzing both your own and you opponent’s building project for weak spots. The intention of the project management simulation game, is to provide students with an increased sensitivity towards the relation between planning and reality in complex construction projects. The project management simulation game can be interpreted both as a competitive game and as a simulation. Both of these views are meaningful and can be seen as supporting learning. Emphasizing the simulation aspect let us explain how students learn by being immersed into a simulated world, where the players identify with specific roles, live out specific situations, and experiment with relevant parameters. Emphasizing the competition game aspect we can see how play and competition allow players to experience intrinsic motivation and engagement, as well as thinking strategically about their choices, and hence put attention towards all the things that can go wrong in construction work. The goal of the paper is to investigate empirically how these two understandings influence game experience and learning outcome. This question is approached by qualitative post-game interviews about the experienced fun, competition and realism. Specific attention is given to how the understandings of the experience (for instance as a game and as a simulation) is entangled when the students describe their experience. Using the concepts frame and domain it is analyzed how the students conceptualize and make meaning of the particular educational scenario manifested by the project management simulation game. We take as an outset that students interpret the situations in the project management simulation game as relating to one or several domains, especially the domains competition and simulation. Results suggest that the views of the scenario as a competition and as a simulation do coexist, and that these views merge in a subtle way. The players consider the…","author":[{"dropping-particle":"","family":"Misfeldt","given":"Morten","non-dropping-particle":"","parse-names":false,"suffix":""}],"container-title":"Electronic Journal of e-Learning","id":"ITEM-1","issue":"3","issued":{"date-parts":[["2015"]]},"page":"181-191","title":"Scenario based education as a framework for understanding students engagement and learning in a project management simulation game","type":"article-journal","volume":"13"},"uris":["http://www.mendeley.com/documents/?uuid=092313e4-c29d-4f9b-b151-b70746c3b863"]}],"mendeley":{"formattedCitation":"[29]","plainTextFormattedCitation":"[29]","previouslyFormattedCitation":"[29]"},"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[29]</w:t>
      </w:r>
      <w:r w:rsidRPr="00FC5E0A">
        <w:rPr>
          <w:rFonts w:ascii="Times New Roman" w:hAnsi="Times New Roman"/>
          <w:lang w:val="en-US"/>
        </w:rPr>
        <w:fldChar w:fldCharType="end"/>
      </w:r>
      <w:r w:rsidRPr="00FC5E0A">
        <w:rPr>
          <w:rFonts w:ascii="Times New Roman" w:hAnsi="Times New Roman"/>
          <w:lang w:val="en-US"/>
        </w:rPr>
        <w:t xml:space="preserve">. The approach to use the SG Top Eleven as an educational sport event management and marketing means is based on a series of vested educational scenarios with the intent to meet certain educational objectives presented by </w:t>
      </w:r>
      <w:bookmarkStart w:id="8" w:name="_Hlk104742801"/>
      <w:r w:rsidRPr="00FC5E0A">
        <w:rPr>
          <w:rFonts w:ascii="Times New Roman" w:hAnsi="Times New Roman"/>
          <w:lang w:val="en-US"/>
        </w:rPr>
        <w:t xml:space="preserve">Afthinos </w:t>
      </w:r>
      <w:r w:rsidRPr="00FC5E0A">
        <w:rPr>
          <w:rFonts w:ascii="Times New Roman" w:hAnsi="Times New Roman"/>
          <w:i/>
          <w:iCs/>
          <w:lang w:val="en-US"/>
        </w:rPr>
        <w:t>et al.</w:t>
      </w:r>
      <w:r w:rsidRPr="00FC5E0A">
        <w:rPr>
          <w:rFonts w:ascii="Times New Roman" w:hAnsi="Times New Roman"/>
          <w:lang w:val="en-US"/>
        </w:rPr>
        <w:t xml:space="preserve"> </w:t>
      </w:r>
      <w:r w:rsidRPr="00FC5E0A">
        <w:rPr>
          <w:rFonts w:ascii="Times New Roman" w:hAnsi="Times New Roman"/>
          <w:lang w:val="en-US"/>
        </w:rPr>
        <w:fldChar w:fldCharType="begin" w:fldLock="1"/>
      </w:r>
      <w:r w:rsidRPr="00FC5E0A">
        <w:rPr>
          <w:rFonts w:ascii="Times New Roman" w:hAnsi="Times New Roman"/>
          <w:lang w:val="en-US"/>
        </w:rPr>
        <w:instrText>ADDIN CSL_CITATION {"citationItems":[{"id":"ITEM-1","itemData":{"DOI":"10.1007/s10758-021-09573-8","ISBN":"0123456789","ISSN":"22111670","abstract":"The aim of this study is to examine whether students of a sport management undergraduate course can gain knowledge in the management of a professional soccer club, by participating in a commercial serious game. Serious is considered the cyber game that its purpose exceeds entertainment. For this case study, the serious sport club management game was “Top Eleven”. The theoretical model that this study was based on, is Misfeldt’s “scenarios based learning” for the transformation of a serious game into an educational means. It includes dimensions that cover part of the sport management class content in the National and Kapodistrian University of Athens, School of Physical Education and Sport Science. The transformation consisted of educational scenarios vested to the serious game, in order to add educational parameters to its basic elements with the purpose to relate further to the sport management class. The application showed that Top Eleven covers adequately Misfeldt’s model dimensions; therefore it can be used as an educational tool. Furthermore, an evaluation of the class gamification was conducted by the participating students (n = 62). The data collected showed that the majority of the students (f = 61, 98.4%) agreed that the participation in the serious game was “helpful” to their sport management class education process. They further agreed that they gained “very” or “very much” knowledge related to the management of a professional soccer club (f = 41, 66.1%) and that 59.7% (f = 37) of them would choose to work in a position of “sport club manager” as a result of the experience they gained by participating in the serious game.","author":[{"dropping-particle":"","family":"Afthinos","given":"Yanni","non-dropping-particle":"","parse-names":false,"suffix":""},{"dropping-particle":"","family":"Kiaffas","given":"Zacharias","non-dropping-particle":"","parse-names":false,"suffix":""},{"dropping-particle":"","family":"Afthinos","given":"Theofilos","non-dropping-particle":"","parse-names":false,"suffix":""}],"container-title":"Technology, Knowledge and Learning","id":"ITEM-1","issue":"1","issued":{"date-parts":[["2022"]]},"page":"255-273","publisher":"Springer Netherlands","title":"The Serious Game “Top Eleven” as an Educational Simulation Platform for Acquiring Knowledge and Skills in the Management of Sports Clubs","type":"article-journal","volume":"27"},"uris":["http://www.mendeley.com/documents/?uuid=30dcf59c-a82e-4fef-8228-412cc63cdcc0"]}],"mendeley":{"formattedCitation":"[10]","plainTextFormattedCitation":"[10]","previouslyFormattedCitation":"[10]"},"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[10]</w:t>
      </w:r>
      <w:r w:rsidRPr="00FC5E0A">
        <w:rPr>
          <w:rFonts w:ascii="Times New Roman" w:hAnsi="Times New Roman"/>
          <w:lang w:val="en-US"/>
        </w:rPr>
        <w:fldChar w:fldCharType="end"/>
      </w:r>
      <w:r w:rsidRPr="00FC5E0A">
        <w:rPr>
          <w:rFonts w:ascii="Times New Roman" w:hAnsi="Times New Roman"/>
          <w:lang w:val="en-US"/>
        </w:rPr>
        <w:t>.</w:t>
      </w:r>
      <w:bookmarkEnd w:id="8"/>
    </w:p>
    <w:p w14:paraId="10F88F73" w14:textId="77777777" w:rsidR="001457DF" w:rsidRPr="00FC5E0A" w:rsidRDefault="001457DF" w:rsidP="001457DF">
      <w:pPr>
        <w:pStyle w:val="Articlenormaltext"/>
        <w:ind w:firstLine="0"/>
        <w:rPr>
          <w:szCs w:val="22"/>
        </w:rPr>
      </w:pPr>
    </w:p>
    <w:p w14:paraId="2047F4A9" w14:textId="5EEE56AF" w:rsidR="00804E40" w:rsidRPr="00FC5E0A" w:rsidRDefault="002E5C49" w:rsidP="00804E40">
      <w:pPr>
        <w:tabs>
          <w:tab w:val="left" w:pos="851"/>
        </w:tabs>
        <w:jc w:val="both"/>
        <w:rPr>
          <w:rFonts w:ascii="Times New Roman" w:hAnsi="Times New Roman"/>
          <w:lang w:val="en-US"/>
        </w:rPr>
      </w:pPr>
      <w:r w:rsidRPr="00FC5E0A">
        <w:rPr>
          <w:rFonts w:ascii="Times New Roman" w:hAnsi="Times New Roman"/>
          <w:noProof/>
        </w:rPr>
        <w:drawing>
          <wp:inline distT="0" distB="0" distL="0" distR="0" wp14:anchorId="3AF39FB5" wp14:editId="7A47D276">
            <wp:extent cx="5273449" cy="1617378"/>
            <wp:effectExtent l="0" t="0" r="3810" b="1905"/>
            <wp:docPr id="336180155" name="Picture 1" descr="A diagram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80155" name="Picture 1" descr="A diagram of a game&#10;&#10;Description automatically generated"/>
                    <pic:cNvPicPr/>
                  </pic:nvPicPr>
                  <pic:blipFill>
                    <a:blip r:embed="rId13"/>
                    <a:stretch>
                      <a:fillRect/>
                    </a:stretch>
                  </pic:blipFill>
                  <pic:spPr>
                    <a:xfrm>
                      <a:off x="0" y="0"/>
                      <a:ext cx="5282710" cy="1620218"/>
                    </a:xfrm>
                    <a:prstGeom prst="rect">
                      <a:avLst/>
                    </a:prstGeom>
                  </pic:spPr>
                </pic:pic>
              </a:graphicData>
            </a:graphic>
          </wp:inline>
        </w:drawing>
      </w:r>
      <w:r w:rsidR="00804E40" w:rsidRPr="00FC5E0A">
        <w:rPr>
          <w:rFonts w:ascii="Times New Roman" w:hAnsi="Times New Roman"/>
          <w:b/>
          <w:bCs/>
          <w:lang w:val="en-US"/>
        </w:rPr>
        <w:t xml:space="preserve"> Figure </w:t>
      </w:r>
      <w:r w:rsidR="008B6D95" w:rsidRPr="00FC5E0A">
        <w:rPr>
          <w:rFonts w:ascii="Times New Roman" w:hAnsi="Times New Roman"/>
          <w:b/>
          <w:bCs/>
          <w:lang w:val="en-US"/>
        </w:rPr>
        <w:t>2</w:t>
      </w:r>
      <w:r w:rsidR="00804E40" w:rsidRPr="00FC5E0A">
        <w:rPr>
          <w:rFonts w:ascii="Times New Roman" w:hAnsi="Times New Roman"/>
          <w:b/>
          <w:bCs/>
          <w:lang w:val="en-US"/>
        </w:rPr>
        <w:t>.</w:t>
      </w:r>
      <w:r w:rsidR="00804E40" w:rsidRPr="00FC5E0A">
        <w:rPr>
          <w:rFonts w:ascii="Times New Roman" w:hAnsi="Times New Roman"/>
          <w:lang w:val="en-US"/>
        </w:rPr>
        <w:t xml:space="preserve"> </w:t>
      </w:r>
      <w:r w:rsidR="00804E40" w:rsidRPr="00FC5E0A">
        <w:rPr>
          <w:rFonts w:ascii="Times New Roman" w:hAnsi="Times New Roman"/>
          <w:lang w:val="en-US"/>
        </w:rPr>
        <w:tab/>
        <w:t xml:space="preserve">Educational approach to use Top Eleven as </w:t>
      </w:r>
      <w:r w:rsidR="00F96243" w:rsidRPr="00FC5E0A">
        <w:rPr>
          <w:rFonts w:ascii="Times New Roman" w:hAnsi="Times New Roman"/>
          <w:lang w:val="en-US"/>
        </w:rPr>
        <w:t>e</w:t>
      </w:r>
      <w:r w:rsidR="00804E40" w:rsidRPr="00FC5E0A">
        <w:rPr>
          <w:rFonts w:ascii="Times New Roman" w:hAnsi="Times New Roman"/>
          <w:lang w:val="en-US"/>
        </w:rPr>
        <w:t xml:space="preserve">vent </w:t>
      </w:r>
      <w:r w:rsidR="00F96243" w:rsidRPr="00FC5E0A">
        <w:rPr>
          <w:rFonts w:ascii="Times New Roman" w:hAnsi="Times New Roman"/>
          <w:lang w:val="en-US"/>
        </w:rPr>
        <w:t>m</w:t>
      </w:r>
      <w:r w:rsidR="00804E40" w:rsidRPr="00FC5E0A">
        <w:rPr>
          <w:rFonts w:ascii="Times New Roman" w:hAnsi="Times New Roman"/>
          <w:lang w:val="en-US"/>
        </w:rPr>
        <w:t xml:space="preserve">anagement </w:t>
      </w:r>
      <w:r w:rsidR="00F96243" w:rsidRPr="00FC5E0A">
        <w:rPr>
          <w:rFonts w:ascii="Times New Roman" w:hAnsi="Times New Roman"/>
          <w:lang w:val="en-US"/>
        </w:rPr>
        <w:t>s</w:t>
      </w:r>
      <w:r w:rsidR="00804E40" w:rsidRPr="00FC5E0A">
        <w:rPr>
          <w:rFonts w:ascii="Times New Roman" w:hAnsi="Times New Roman"/>
          <w:lang w:val="en-US"/>
        </w:rPr>
        <w:t xml:space="preserve">imulator </w:t>
      </w:r>
      <w:r w:rsidR="00804E40" w:rsidRPr="00FC5E0A">
        <w:rPr>
          <w:rFonts w:ascii="Times New Roman" w:hAnsi="Times New Roman"/>
          <w:lang w:val="en-US"/>
        </w:rPr>
        <w:fldChar w:fldCharType="begin" w:fldLock="1"/>
      </w:r>
      <w:r w:rsidR="00804E40" w:rsidRPr="00FC5E0A">
        <w:rPr>
          <w:rFonts w:ascii="Times New Roman" w:hAnsi="Times New Roman"/>
          <w:lang w:val="en-US"/>
        </w:rPr>
        <w:instrText>ADDIN CSL_CITATION {"citationItems":[{"id":"ITEM-1","itemData":{"DOI":"10.1007/s10758-021-09573-8","ISBN":"0123456789","ISSN":"22111670","abstract":"The aim of this study is to examine whether students of a sport management undergraduate course can gain knowledge in the management of a professional soccer club, by participating in a commercial serious game. Serious is considered the cyber game that its purpose exceeds entertainment. For this case study, the serious sport club management game was “Top Eleven”. The theoretical model that this study was based on, is Misfeldt’s “scenarios based learning” for the transformation of a serious game into an educational means. It includes dimensions that cover part of the sport management class content in the National and Kapodistrian University of Athens, School of Physical Education and Sport Science. The transformation consisted of educational scenarios vested to the serious game, in order to add educational parameters to its basic elements with the purpose to relate further to the sport management class. The application showed that Top Eleven covers adequately Misfeldt’s model dimensions; therefore it can be used as an educational tool. Furthermore, an evaluation of the class gamification was conducted by the participating students (n = 62). The data collected showed that the majority of the students (f = 61, 98.4%) agreed that the participation in the serious game was “helpful” to their sport management class education process. They further agreed that they gained “very” or “very much” knowledge related to the management of a professional soccer club (f = 41, 66.1%) and that 59.7% (f = 37) of them would choose to work in a position of “sport club manager” as a result of the experience they gained by participating in the serious game.","author":[{"dropping-particle":"","family":"Afthinos","given":"Yanni","non-dropping-particle":"","parse-names":false,"suffix":""},{"dropping-particle":"","family":"Kiaffas","given":"Zacharias","non-dropping-particle":"","parse-names":false,"suffix":""},{"dropping-particle":"","family":"Afthinos","given":"Theofilos","non-dropping-particle":"","parse-names":false,"suffix":""}],"container-title":"Technology, Knowledge and Learning","id":"ITEM-1","issue":"1","issued":{"date-parts":[["2022"]]},"page":"255-273","publisher":"Springer Netherlands","title":"The Serious Game “Top Eleven” as an Educational Simulation Platform for Acquiring Knowledge and Skills in the Management of Sports Clubs","type":"article-journal","volume":"27"},"uris":["http://www.mendeley.com/documents/?uuid=30dcf59c-a82e-4fef-8228-412cc63cdcc0"]}],"mendeley":{"formattedCitation":"[10]","plainTextFormattedCitation":"[10]","previouslyFormattedCitation":"[10]"},"properties":{"noteIndex":0},"schema":"https://github.com/citation-style-language/schema/raw/master/csl-citation.json"}</w:instrText>
      </w:r>
      <w:r w:rsidR="00804E40" w:rsidRPr="00FC5E0A">
        <w:rPr>
          <w:rFonts w:ascii="Times New Roman" w:hAnsi="Times New Roman"/>
          <w:lang w:val="en-US"/>
        </w:rPr>
        <w:fldChar w:fldCharType="separate"/>
      </w:r>
      <w:r w:rsidR="00804E40" w:rsidRPr="00FC5E0A">
        <w:rPr>
          <w:rFonts w:ascii="Times New Roman" w:hAnsi="Times New Roman"/>
          <w:noProof/>
          <w:lang w:val="en-US"/>
        </w:rPr>
        <w:t>[10]</w:t>
      </w:r>
      <w:r w:rsidR="00804E40" w:rsidRPr="00FC5E0A">
        <w:rPr>
          <w:rFonts w:ascii="Times New Roman" w:hAnsi="Times New Roman"/>
          <w:lang w:val="en-US"/>
        </w:rPr>
        <w:fldChar w:fldCharType="end"/>
      </w:r>
      <w:r w:rsidR="00804E40" w:rsidRPr="00FC5E0A">
        <w:rPr>
          <w:rFonts w:ascii="Times New Roman" w:hAnsi="Times New Roman"/>
          <w:lang w:val="en-US"/>
        </w:rPr>
        <w:t xml:space="preserve"> </w:t>
      </w:r>
    </w:p>
    <w:p w14:paraId="53559E0A" w14:textId="0DA8330B" w:rsidR="00436848" w:rsidRPr="00FC5E0A" w:rsidRDefault="00685FB1" w:rsidP="002A1A84">
      <w:pPr>
        <w:pStyle w:val="1"/>
        <w:rPr>
          <w:rFonts w:ascii="Times New Roman" w:hAnsi="Times New Roman" w:cs="Times New Roman"/>
          <w:color w:val="auto"/>
          <w:sz w:val="22"/>
        </w:rPr>
      </w:pPr>
      <w:r w:rsidRPr="00FC5E0A">
        <w:rPr>
          <w:rFonts w:ascii="Times New Roman" w:hAnsi="Times New Roman" w:cs="Times New Roman"/>
          <w:color w:val="auto"/>
          <w:sz w:val="22"/>
        </w:rPr>
        <w:t>Methodology</w:t>
      </w:r>
    </w:p>
    <w:p w14:paraId="2B87E4FE" w14:textId="7A310875" w:rsidR="0000547B" w:rsidRPr="00FC5E0A" w:rsidRDefault="0030369C" w:rsidP="00F96BB3">
      <w:pPr>
        <w:pStyle w:val="Articlenormaltext"/>
        <w:rPr>
          <w:szCs w:val="22"/>
        </w:rPr>
      </w:pPr>
      <w:r w:rsidRPr="00FC5E0A">
        <w:rPr>
          <w:szCs w:val="22"/>
        </w:rPr>
        <w:t xml:space="preserve">This is a case study on the use of a commercial sport SG for educational purposes, at the National and Kapodistrian University of Athens’s (NKUA) School of Physical Education and </w:t>
      </w:r>
      <w:r w:rsidRPr="00FC5E0A">
        <w:rPr>
          <w:szCs w:val="22"/>
        </w:rPr>
        <w:lastRenderedPageBreak/>
        <w:t xml:space="preserve">Sport Science (SPESS). </w:t>
      </w:r>
      <w:r w:rsidR="00E47724" w:rsidRPr="00FC5E0A">
        <w:rPr>
          <w:szCs w:val="22"/>
        </w:rPr>
        <w:t>To</w:t>
      </w:r>
      <w:r w:rsidR="00EA4F8C" w:rsidRPr="00FC5E0A">
        <w:rPr>
          <w:szCs w:val="22"/>
        </w:rPr>
        <w:t xml:space="preserve"> answer our main research question </w:t>
      </w:r>
      <w:r w:rsidR="008D5600" w:rsidRPr="00FC5E0A">
        <w:rPr>
          <w:szCs w:val="22"/>
        </w:rPr>
        <w:t xml:space="preserve">whether or not a Serious Game is capable of serving as an auxiliary educational tool </w:t>
      </w:r>
      <w:r w:rsidR="00E47724" w:rsidRPr="00FC5E0A">
        <w:rPr>
          <w:szCs w:val="22"/>
        </w:rPr>
        <w:t xml:space="preserve">for  </w:t>
      </w:r>
      <w:r w:rsidR="00E47724" w:rsidRPr="00FC5E0A" w:rsidDel="00CF3EC0">
        <w:rPr>
          <w:szCs w:val="22"/>
        </w:rPr>
        <w:t xml:space="preserve"> </w:t>
      </w:r>
      <w:r w:rsidR="00E47724" w:rsidRPr="00FC5E0A">
        <w:rPr>
          <w:szCs w:val="22"/>
        </w:rPr>
        <w:t xml:space="preserve">acquiring theoretical knowledge and gaining practical experiences </w:t>
      </w:r>
      <w:r w:rsidR="008D5600" w:rsidRPr="00FC5E0A">
        <w:rPr>
          <w:szCs w:val="22"/>
        </w:rPr>
        <w:t xml:space="preserve">in the field of sport event management </w:t>
      </w:r>
      <w:r w:rsidR="00BC4E1A" w:rsidRPr="00FC5E0A">
        <w:rPr>
          <w:szCs w:val="22"/>
        </w:rPr>
        <w:t xml:space="preserve">via the implementation of a hybrid approach, </w:t>
      </w:r>
      <w:r w:rsidR="00EA4F8C" w:rsidRPr="00FC5E0A">
        <w:rPr>
          <w:szCs w:val="22"/>
        </w:rPr>
        <w:t xml:space="preserve">we followed a methodology that </w:t>
      </w:r>
      <w:r w:rsidR="00F96BB3" w:rsidRPr="00FC5E0A">
        <w:rPr>
          <w:szCs w:val="22"/>
        </w:rPr>
        <w:t xml:space="preserve">entailed </w:t>
      </w:r>
      <w:r w:rsidR="00E47724" w:rsidRPr="00FC5E0A">
        <w:rPr>
          <w:szCs w:val="22"/>
        </w:rPr>
        <w:t xml:space="preserve">the use of the SG TOP Eleven and the </w:t>
      </w:r>
      <w:r w:rsidR="00F96BB3" w:rsidRPr="00FC5E0A">
        <w:rPr>
          <w:szCs w:val="22"/>
          <w:lang w:val="it-IT"/>
        </w:rPr>
        <w:t xml:space="preserve">the </w:t>
      </w:r>
      <w:r w:rsidR="0046446A" w:rsidRPr="00FC5E0A">
        <w:rPr>
          <w:szCs w:val="22"/>
        </w:rPr>
        <w:t xml:space="preserve">creation of </w:t>
      </w:r>
      <w:r w:rsidR="00E47724" w:rsidRPr="00FC5E0A">
        <w:rPr>
          <w:szCs w:val="22"/>
        </w:rPr>
        <w:t xml:space="preserve">a </w:t>
      </w:r>
      <w:r w:rsidR="0046446A" w:rsidRPr="00FC5E0A">
        <w:rPr>
          <w:szCs w:val="22"/>
        </w:rPr>
        <w:t>Virtual Intramural Football Tournament (VIFT)</w:t>
      </w:r>
      <w:r w:rsidR="00F96BB3" w:rsidRPr="00FC5E0A">
        <w:rPr>
          <w:szCs w:val="22"/>
        </w:rPr>
        <w:t xml:space="preserve"> </w:t>
      </w:r>
      <w:r w:rsidR="00F96BB3" w:rsidRPr="00FC5E0A">
        <w:rPr>
          <w:szCs w:val="22"/>
          <w:lang w:val="it-IT"/>
        </w:rPr>
        <w:t xml:space="preserve">within the </w:t>
      </w:r>
      <w:r w:rsidR="00E47724" w:rsidRPr="00FC5E0A">
        <w:rPr>
          <w:szCs w:val="22"/>
          <w:lang w:val="it-IT"/>
        </w:rPr>
        <w:t xml:space="preserve">Game </w:t>
      </w:r>
      <w:r w:rsidR="00F96BB3" w:rsidRPr="00FC5E0A">
        <w:rPr>
          <w:szCs w:val="22"/>
          <w:lang w:val="it-IT"/>
        </w:rPr>
        <w:t>Top Eleven</w:t>
      </w:r>
      <w:r w:rsidR="00F96BB3" w:rsidRPr="00FC5E0A">
        <w:rPr>
          <w:szCs w:val="22"/>
        </w:rPr>
        <w:t xml:space="preserve">, </w:t>
      </w:r>
      <w:r w:rsidR="00E47724" w:rsidRPr="00FC5E0A">
        <w:rPr>
          <w:szCs w:val="22"/>
        </w:rPr>
        <w:t xml:space="preserve">to prove that students can act as event managers and thus acquire knowledge and develop managerial skills. </w:t>
      </w:r>
      <w:r w:rsidR="0000547B" w:rsidRPr="00FC5E0A">
        <w:rPr>
          <w:szCs w:val="22"/>
          <w:lang w:val="it-IT"/>
        </w:rPr>
        <w:t xml:space="preserve">This was achieved through the gamification of the educational scenario, which leveraged the Game’s capability for users to organize friendly matches. </w:t>
      </w:r>
    </w:p>
    <w:p w14:paraId="2EF8A510" w14:textId="77777777" w:rsidR="00083830" w:rsidRPr="00FC5E0A" w:rsidRDefault="00083830" w:rsidP="00F96BB3">
      <w:pPr>
        <w:pStyle w:val="Articlenormaltext"/>
        <w:rPr>
          <w:szCs w:val="22"/>
        </w:rPr>
      </w:pPr>
    </w:p>
    <w:p w14:paraId="219142EF" w14:textId="60879935" w:rsidR="00182952" w:rsidRPr="00FC5E0A" w:rsidRDefault="00182952" w:rsidP="00182952">
      <w:pPr>
        <w:pStyle w:val="2"/>
        <w:rPr>
          <w:rFonts w:ascii="Times New Roman" w:hAnsi="Times New Roman" w:cs="Times New Roman"/>
          <w:sz w:val="22"/>
          <w:szCs w:val="22"/>
        </w:rPr>
      </w:pPr>
      <w:r w:rsidRPr="00FC5E0A">
        <w:rPr>
          <w:rFonts w:ascii="Times New Roman" w:hAnsi="Times New Roman" w:cs="Times New Roman"/>
          <w:sz w:val="22"/>
          <w:szCs w:val="22"/>
        </w:rPr>
        <w:t>Research Design</w:t>
      </w:r>
    </w:p>
    <w:p w14:paraId="189979F8" w14:textId="67D995EC" w:rsidR="00182952" w:rsidRPr="00FC5E0A" w:rsidRDefault="008B6D95" w:rsidP="00182952">
      <w:pPr>
        <w:spacing w:before="100" w:beforeAutospacing="1" w:after="100" w:afterAutospacing="1" w:line="240" w:lineRule="auto"/>
        <w:rPr>
          <w:rFonts w:ascii="Times New Roman" w:eastAsia="Times New Roman" w:hAnsi="Times New Roman"/>
          <w:lang w:val="en-US" w:eastAsia="el-GR"/>
        </w:rPr>
      </w:pPr>
      <w:r w:rsidRPr="00FC5E0A">
        <w:rPr>
          <w:rFonts w:ascii="Times New Roman" w:eastAsia="Times New Roman" w:hAnsi="Times New Roman"/>
          <w:lang w:val="en-US" w:eastAsia="el-GR"/>
        </w:rPr>
        <w:t>According to</w:t>
      </w:r>
      <w:r w:rsidR="00182952" w:rsidRPr="00FC5E0A">
        <w:rPr>
          <w:rFonts w:ascii="Times New Roman" w:eastAsia="Times New Roman" w:hAnsi="Times New Roman"/>
          <w:lang w:val="en-US" w:eastAsia="el-GR"/>
        </w:rPr>
        <w:t xml:space="preserve"> the research design, the methodology is structured around three key components:</w:t>
      </w:r>
    </w:p>
    <w:p w14:paraId="52E8D3EB" w14:textId="5EF7DFF0" w:rsidR="00182952" w:rsidRPr="00FC5E0A" w:rsidRDefault="00182952" w:rsidP="008B6D95">
      <w:pPr>
        <w:pStyle w:val="ac"/>
        <w:numPr>
          <w:ilvl w:val="0"/>
          <w:numId w:val="20"/>
        </w:numPr>
        <w:spacing w:before="100" w:beforeAutospacing="1" w:after="100" w:afterAutospacing="1" w:line="240" w:lineRule="auto"/>
        <w:ind w:left="0" w:firstLine="0"/>
        <w:jc w:val="both"/>
        <w:rPr>
          <w:rFonts w:ascii="Times New Roman" w:eastAsia="Times New Roman" w:hAnsi="Times New Roman" w:cs="Times New Roman"/>
          <w:lang w:val="en-US" w:eastAsia="el-GR"/>
        </w:rPr>
      </w:pPr>
      <w:r w:rsidRPr="00FC5E0A">
        <w:rPr>
          <w:rFonts w:ascii="Times New Roman" w:eastAsia="Times New Roman" w:hAnsi="Times New Roman" w:cs="Times New Roman"/>
          <w:lang w:val="en-US" w:eastAsia="el-GR"/>
        </w:rPr>
        <w:t xml:space="preserve">The development of educational scenarios for students, which would serve as a foundation for their roles as event organizers. Within this framework, students would be responsible for designing, organizing (through the production of specific deliverables listed in Table </w:t>
      </w:r>
      <w:r w:rsidR="008B6D95" w:rsidRPr="00FC5E0A">
        <w:rPr>
          <w:rFonts w:ascii="Times New Roman" w:eastAsia="Times New Roman" w:hAnsi="Times New Roman" w:cs="Times New Roman"/>
          <w:lang w:val="en-US" w:eastAsia="el-GR"/>
        </w:rPr>
        <w:t>2</w:t>
      </w:r>
      <w:r w:rsidRPr="00FC5E0A">
        <w:rPr>
          <w:rFonts w:ascii="Times New Roman" w:eastAsia="Times New Roman" w:hAnsi="Times New Roman" w:cs="Times New Roman"/>
          <w:lang w:val="en-US" w:eastAsia="el-GR"/>
        </w:rPr>
        <w:t>), and implementing the VIFT, the steps of which are outlined in detail below.</w:t>
      </w:r>
    </w:p>
    <w:p w14:paraId="70BEBCA1" w14:textId="491FE17F" w:rsidR="00182952" w:rsidRPr="00FC5E0A" w:rsidRDefault="009A2452" w:rsidP="008B6D95">
      <w:pPr>
        <w:pStyle w:val="ac"/>
        <w:ind w:left="0"/>
        <w:jc w:val="both"/>
        <w:rPr>
          <w:rFonts w:ascii="Times New Roman" w:hAnsi="Times New Roman" w:cs="Times New Roman"/>
          <w:lang w:val="en-US"/>
        </w:rPr>
      </w:pPr>
      <w:r w:rsidRPr="00FC5E0A">
        <w:rPr>
          <w:rFonts w:ascii="Times New Roman" w:hAnsi="Times New Roman" w:cs="Times New Roman"/>
          <w:lang w:val="en-US"/>
        </w:rPr>
        <w:t>Following</w:t>
      </w:r>
      <w:r w:rsidR="00182952" w:rsidRPr="00FC5E0A">
        <w:rPr>
          <w:rFonts w:ascii="Times New Roman" w:hAnsi="Times New Roman" w:cs="Times New Roman"/>
          <w:lang w:val="en-US"/>
        </w:rPr>
        <w:t xml:space="preserve"> the Misfeldt ‘s “Scenario Based Education Framework” [29] and its adaptation by Afthinos et al. [10], the course instructor created various educational scenarios for the students attending the course on event management. These scenarios are reliable, as they are based both on the event management literature and practical experience. Such scenarios allow students to act as organizers and, for example, invite participants to a technical meeting or conduct draws and create the competition schedule.</w:t>
      </w:r>
    </w:p>
    <w:p w14:paraId="4916BA62" w14:textId="23A0872F" w:rsidR="00182952" w:rsidRPr="00FC5E0A" w:rsidRDefault="00182952" w:rsidP="008B6D95">
      <w:pPr>
        <w:spacing w:before="100" w:beforeAutospacing="1" w:after="100" w:afterAutospacing="1" w:line="240" w:lineRule="auto"/>
        <w:jc w:val="both"/>
        <w:rPr>
          <w:rFonts w:ascii="Times New Roman" w:eastAsia="Times New Roman" w:hAnsi="Times New Roman"/>
          <w:lang w:val="en-US" w:eastAsia="el-GR"/>
        </w:rPr>
      </w:pPr>
      <w:r w:rsidRPr="00FC5E0A">
        <w:rPr>
          <w:rFonts w:ascii="Times New Roman" w:eastAsia="Times New Roman" w:hAnsi="Times New Roman"/>
          <w:lang w:val="en-US" w:eastAsia="el-GR"/>
        </w:rPr>
        <w:t xml:space="preserve">b) The administration of a written knowledge assessment, intended to evaluate students' understanding and acquisition of knowledge regarding the processes and </w:t>
      </w:r>
      <w:r w:rsidR="008B6D95" w:rsidRPr="00FC5E0A">
        <w:rPr>
          <w:rFonts w:ascii="Times New Roman" w:eastAsia="Times New Roman" w:hAnsi="Times New Roman"/>
          <w:lang w:val="en-US" w:eastAsia="el-GR"/>
        </w:rPr>
        <w:t>principals</w:t>
      </w:r>
      <w:r w:rsidRPr="00FC5E0A">
        <w:rPr>
          <w:rFonts w:ascii="Times New Roman" w:eastAsia="Times New Roman" w:hAnsi="Times New Roman"/>
          <w:lang w:val="en-US" w:eastAsia="el-GR"/>
        </w:rPr>
        <w:t xml:space="preserve"> involved in tournament organization.</w:t>
      </w:r>
    </w:p>
    <w:p w14:paraId="07F91D8B" w14:textId="77777777" w:rsidR="00182952" w:rsidRPr="00FC5E0A" w:rsidRDefault="00182952" w:rsidP="008B6D95">
      <w:pPr>
        <w:spacing w:before="100" w:beforeAutospacing="1" w:after="100" w:afterAutospacing="1" w:line="240" w:lineRule="auto"/>
        <w:jc w:val="both"/>
        <w:rPr>
          <w:rFonts w:ascii="Times New Roman" w:eastAsia="Times New Roman" w:hAnsi="Times New Roman"/>
          <w:lang w:val="en-US" w:eastAsia="el-GR"/>
        </w:rPr>
      </w:pPr>
      <w:r w:rsidRPr="00FC5E0A">
        <w:rPr>
          <w:rFonts w:ascii="Times New Roman" w:eastAsia="Times New Roman" w:hAnsi="Times New Roman"/>
          <w:lang w:val="en-US" w:eastAsia="el-GR"/>
        </w:rPr>
        <w:t>c) The evaluation of the tournament by the participants, aimed at gathering feedback on their experience, the effectiveness of the organization, and identifying areas for improvement in future events.</w:t>
      </w:r>
    </w:p>
    <w:p w14:paraId="3F49E09E" w14:textId="262E8EA9" w:rsidR="00F009A8" w:rsidRPr="00FC5E0A" w:rsidRDefault="00F009A8" w:rsidP="00F009A8">
      <w:pPr>
        <w:pStyle w:val="2"/>
        <w:rPr>
          <w:rFonts w:ascii="Times New Roman" w:hAnsi="Times New Roman" w:cs="Times New Roman"/>
          <w:sz w:val="22"/>
          <w:szCs w:val="22"/>
        </w:rPr>
      </w:pPr>
      <w:r w:rsidRPr="00FC5E0A">
        <w:rPr>
          <w:rFonts w:ascii="Times New Roman" w:hAnsi="Times New Roman" w:cs="Times New Roman"/>
          <w:sz w:val="22"/>
          <w:szCs w:val="22"/>
        </w:rPr>
        <w:t>Study Procedure</w:t>
      </w:r>
    </w:p>
    <w:p w14:paraId="76FA6A99" w14:textId="77777777" w:rsidR="00C03DB1" w:rsidRPr="00FC5E0A" w:rsidRDefault="00C03DB1" w:rsidP="00C03DB1">
      <w:pPr>
        <w:jc w:val="both"/>
        <w:rPr>
          <w:rFonts w:ascii="Times New Roman" w:hAnsi="Times New Roman"/>
          <w:lang w:val="en-US"/>
        </w:rPr>
      </w:pPr>
      <w:r w:rsidRPr="00FC5E0A">
        <w:rPr>
          <w:rFonts w:ascii="Times New Roman" w:hAnsi="Times New Roman"/>
          <w:lang w:val="en-US"/>
        </w:rPr>
        <w:t xml:space="preserve">The study procedure for the class laboratory was designed around the simulation of a football tournament using the SG Top Eleven platform, integrated with educational scenarios in a hybrid format. The process began with the organizers being briefed on the purpose and philosophy of the Virtual International Football Tournament (VIFT) and the establishment of its Organizing Committee (OC). The OC was structured into two distinct departments: sports and marketing. </w:t>
      </w:r>
    </w:p>
    <w:p w14:paraId="7FD876AD" w14:textId="77777777" w:rsidR="00C03DB1" w:rsidRPr="00FC5E0A" w:rsidRDefault="00C03DB1" w:rsidP="00C03DB1">
      <w:pPr>
        <w:jc w:val="both"/>
        <w:rPr>
          <w:rFonts w:ascii="Times New Roman" w:hAnsi="Times New Roman"/>
          <w:lang w:val="en-US"/>
        </w:rPr>
      </w:pPr>
    </w:p>
    <w:p w14:paraId="2E4DB7DF" w14:textId="77777777" w:rsidR="00C03DB1" w:rsidRPr="00FC5E0A" w:rsidRDefault="00C03DB1" w:rsidP="00C03DB1">
      <w:pPr>
        <w:jc w:val="both"/>
        <w:rPr>
          <w:rFonts w:ascii="Times New Roman" w:hAnsi="Times New Roman"/>
          <w:lang w:val="en-US"/>
        </w:rPr>
      </w:pPr>
      <w:r w:rsidRPr="00FC5E0A">
        <w:rPr>
          <w:rFonts w:ascii="Times New Roman" w:hAnsi="Times New Roman"/>
          <w:lang w:val="en-US"/>
        </w:rPr>
        <w:t>The marketing department of the VIFT was tasked with two primary responsibilities: (a) creating and managing a website and a Facebook account to serve as official communication channels, and (b) designing and implementing a sponsorship program. Despite the tournament being virtual, the marketing department, operating on a full-scale basis, successfully secured sponsorships from real-world entities, such as Adidas Hellas and the Hellenic Football Federation, which provided trophies and prizes for the winners during the virtual closing ceremony.</w:t>
      </w:r>
    </w:p>
    <w:p w14:paraId="7693A493" w14:textId="77777777" w:rsidR="00C03DB1" w:rsidRPr="00FC5E0A" w:rsidRDefault="00C03DB1" w:rsidP="00C03DB1">
      <w:pPr>
        <w:jc w:val="both"/>
        <w:rPr>
          <w:rFonts w:ascii="Times New Roman" w:hAnsi="Times New Roman"/>
          <w:lang w:val="en-US"/>
        </w:rPr>
      </w:pPr>
    </w:p>
    <w:p w14:paraId="3D2400CB" w14:textId="695E188A" w:rsidR="00C03DB1" w:rsidRPr="00FC5E0A" w:rsidRDefault="00C03DB1" w:rsidP="00C03DB1">
      <w:pPr>
        <w:jc w:val="both"/>
        <w:rPr>
          <w:rFonts w:ascii="Times New Roman" w:hAnsi="Times New Roman"/>
          <w:lang w:val="en-US"/>
        </w:rPr>
      </w:pPr>
      <w:r w:rsidRPr="00FC5E0A">
        <w:rPr>
          <w:rFonts w:ascii="Times New Roman" w:hAnsi="Times New Roman"/>
          <w:lang w:val="en-US"/>
        </w:rPr>
        <w:t xml:space="preserve">The subsequent phase of the VIFT planning process involved the development of a Project Charter (Map), a detailed Timetable, and a Structured Task Analysis for both the sports and marketing departments, along with the formulation of the tournament’s Rules and Regulations. Following this, the organizers utilized the SPESS e-class platform to invite virtual team managers to participate in </w:t>
      </w:r>
      <w:r w:rsidRPr="00FC5E0A">
        <w:rPr>
          <w:rFonts w:ascii="Times New Roman" w:hAnsi="Times New Roman"/>
          <w:lang w:val="en-US"/>
        </w:rPr>
        <w:lastRenderedPageBreak/>
        <w:t>the tournament. Through this platform, the VIFT Participation Forms, Terms and Conditions, and Rules and Regulations were disseminated.</w:t>
      </w:r>
      <w:r w:rsidR="00B92D18" w:rsidRPr="00FC5E0A">
        <w:rPr>
          <w:rFonts w:ascii="Times New Roman" w:hAnsi="Times New Roman"/>
          <w:lang w:val="en-US"/>
        </w:rPr>
        <w:t xml:space="preserve"> </w:t>
      </w:r>
      <w:r w:rsidRPr="00FC5E0A">
        <w:rPr>
          <w:rFonts w:ascii="Times New Roman" w:hAnsi="Times New Roman"/>
          <w:lang w:val="en-US"/>
        </w:rPr>
        <w:t xml:space="preserve">At this stage, the members of the OC transitioned into the role of Project Managers (PMs), taking on the responsibility of overseeing the first phase (group stage) of the VIFT. The OC provided the PMs with a list of participating teams, which were then randomly divided into 82 groups of four teams each, forming the initial round-robin group stage. Each PM was assigned to manage one or two groups and was required to send a "Facebook friend" request to the team managers via email. </w:t>
      </w:r>
    </w:p>
    <w:p w14:paraId="293F3F25" w14:textId="77777777" w:rsidR="00C03DB1" w:rsidRPr="00FC5E0A" w:rsidRDefault="00C03DB1" w:rsidP="00C03DB1">
      <w:pPr>
        <w:jc w:val="both"/>
        <w:rPr>
          <w:rFonts w:ascii="Times New Roman" w:hAnsi="Times New Roman"/>
          <w:lang w:val="en-US"/>
        </w:rPr>
      </w:pPr>
    </w:p>
    <w:p w14:paraId="7A662848" w14:textId="77777777" w:rsidR="00C03DB1" w:rsidRPr="00FC5E0A" w:rsidRDefault="00C03DB1" w:rsidP="00C03DB1">
      <w:pPr>
        <w:jc w:val="both"/>
        <w:rPr>
          <w:rFonts w:ascii="Times New Roman" w:hAnsi="Times New Roman"/>
          <w:lang w:val="en-US"/>
        </w:rPr>
      </w:pPr>
      <w:r w:rsidRPr="00FC5E0A">
        <w:rPr>
          <w:rFonts w:ascii="Times New Roman" w:hAnsi="Times New Roman"/>
          <w:lang w:val="en-US"/>
        </w:rPr>
        <w:t>The PMs subsequently invited their assigned teams to a Technical Meeting conducted via the Webex platform. During this meeting, the PMs elaborated on the tournament’s objectives, philosophy, operational procedures, and Rules and Regulations. They also distributed the Timetable and Competition Schedule, outlining the participants' responsibilities, such as inviting their opponents to friendly matches as per the schedule and reporting match results to their respective PMs. Additionally, PMs informed participants about the available channels for contacting the OC (email and Facebook Messenger) and addressed any questions or concerns, thereby enhancing their communication skills.</w:t>
      </w:r>
    </w:p>
    <w:p w14:paraId="00CB8FFD" w14:textId="57A705C0" w:rsidR="00F009A8" w:rsidRPr="00FC5E0A" w:rsidRDefault="00C03DB1" w:rsidP="00083830">
      <w:pPr>
        <w:pStyle w:val="Articlenormaltext"/>
        <w:ind w:firstLine="0"/>
        <w:rPr>
          <w:szCs w:val="22"/>
        </w:rPr>
      </w:pPr>
      <w:r w:rsidRPr="00FC5E0A">
        <w:rPr>
          <w:szCs w:val="22"/>
        </w:rPr>
        <w:t>As per the VIFT protocol, the home team was required to invite their opponent to a "friendly match" using the Top Eleven platform, creating an intramural championship exclusively for SPESS students. After each match, the home team manager was obligated to report the final score to their PM by submitting a screenshot of the result. The marketing department then updated the group scoreboard and uploaded it to the official VIFT website. The tournament proceeded smoothly, enabling continuous monitoring and evaluation of the educational process at every stage. In instances where issues or delays arose, the PMs, acting as organizers, proposed solutions, thereby developing their problem-solving and decision-making skills. The group stage concluded with the advancement of winning teams to the knockout rounds and ultimately to the final match</w:t>
      </w:r>
      <w:r w:rsidR="000513AD" w:rsidRPr="00FC5E0A">
        <w:rPr>
          <w:szCs w:val="22"/>
        </w:rPr>
        <w:t>.</w:t>
      </w:r>
    </w:p>
    <w:p w14:paraId="64413C4A" w14:textId="73131A11" w:rsidR="000513AD" w:rsidRPr="00FC5E0A" w:rsidRDefault="000513AD" w:rsidP="00C03DB1">
      <w:pPr>
        <w:pStyle w:val="Articlenormaltext"/>
        <w:rPr>
          <w:szCs w:val="22"/>
          <w:lang w:val="it-IT"/>
        </w:rPr>
      </w:pPr>
      <w:r w:rsidRPr="00FC5E0A">
        <w:rPr>
          <w:szCs w:val="22"/>
        </w:rPr>
        <w:t xml:space="preserve">Following the conclusion of the tournament, the OC proceeded to conduct a comprehensive evaluation of the VIFT. This evaluation aimed to assess the effectiveness of the tournament's organization, its alignment with educational objectives, and the overall experience of participants. </w:t>
      </w:r>
      <w:r w:rsidR="00054114" w:rsidRPr="00FC5E0A">
        <w:rPr>
          <w:szCs w:val="22"/>
          <w:lang w:val="it-IT"/>
        </w:rPr>
        <w:t xml:space="preserve">The entire procedure is comprehensively outlined in Figure </w:t>
      </w:r>
      <w:r w:rsidR="008B6D95" w:rsidRPr="00FC5E0A">
        <w:rPr>
          <w:szCs w:val="22"/>
          <w:lang w:val="it-IT"/>
        </w:rPr>
        <w:t>3</w:t>
      </w:r>
      <w:r w:rsidR="00B92D18" w:rsidRPr="00FC5E0A">
        <w:rPr>
          <w:szCs w:val="22"/>
          <w:lang w:val="it-IT"/>
        </w:rPr>
        <w:t>.</w:t>
      </w:r>
    </w:p>
    <w:p w14:paraId="15929A0F" w14:textId="6C0D2800" w:rsidR="00054114" w:rsidRPr="00FC5E0A" w:rsidRDefault="00054114" w:rsidP="00054114">
      <w:pPr>
        <w:pStyle w:val="Articlenormaltext"/>
        <w:rPr>
          <w:szCs w:val="22"/>
          <w:lang w:val="el-GR"/>
        </w:rPr>
      </w:pPr>
      <w:r w:rsidRPr="00FC5E0A">
        <w:rPr>
          <w:noProof/>
          <w:szCs w:val="22"/>
          <w:lang w:val="el-GR"/>
        </w:rPr>
        <w:drawing>
          <wp:inline distT="0" distB="0" distL="0" distR="0" wp14:anchorId="6E5D8A61" wp14:editId="6D878DA7">
            <wp:extent cx="5487749" cy="3346450"/>
            <wp:effectExtent l="0" t="0" r="0" b="6350"/>
            <wp:docPr id="1105828201" name="Εικόνα 4" descr="Εικόνα που περιέχει κείμενο, διάγραμμα, γραμματοσειρά,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28201" name="Εικόνα 4" descr="Εικόνα που περιέχει κείμενο, διάγραμμα, γραμματοσειρά, στιγμιότυπο οθόνης&#10;&#10;Περιγραφή που δημιουργήθηκε αυτόματ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2500" cy="3367641"/>
                    </a:xfrm>
                    <a:prstGeom prst="rect">
                      <a:avLst/>
                    </a:prstGeom>
                    <a:noFill/>
                    <a:ln>
                      <a:noFill/>
                    </a:ln>
                  </pic:spPr>
                </pic:pic>
              </a:graphicData>
            </a:graphic>
          </wp:inline>
        </w:drawing>
      </w:r>
    </w:p>
    <w:p w14:paraId="614AD10C" w14:textId="22E9A783" w:rsidR="00054114" w:rsidRPr="00FC5E0A" w:rsidRDefault="00B92D18" w:rsidP="00C03DB1">
      <w:pPr>
        <w:pStyle w:val="Articlenormaltext"/>
        <w:rPr>
          <w:szCs w:val="22"/>
        </w:rPr>
      </w:pPr>
      <w:r w:rsidRPr="00FC5E0A">
        <w:rPr>
          <w:szCs w:val="22"/>
          <w:lang w:val="it-IT"/>
        </w:rPr>
        <w:t xml:space="preserve">Figure </w:t>
      </w:r>
      <w:r w:rsidR="008B6D95" w:rsidRPr="00FC5E0A">
        <w:rPr>
          <w:szCs w:val="22"/>
          <w:lang w:val="it-IT"/>
        </w:rPr>
        <w:t>3</w:t>
      </w:r>
      <w:r w:rsidRPr="00FC5E0A">
        <w:rPr>
          <w:szCs w:val="22"/>
          <w:lang w:val="it-IT"/>
        </w:rPr>
        <w:t>: Study Procedure</w:t>
      </w:r>
    </w:p>
    <w:p w14:paraId="2B01C39C" w14:textId="759FB7A0" w:rsidR="00054114" w:rsidRPr="00FC5E0A" w:rsidRDefault="00054114" w:rsidP="00C03DB1">
      <w:pPr>
        <w:pStyle w:val="Articlenormaltext"/>
        <w:rPr>
          <w:szCs w:val="22"/>
          <w:lang w:val="it-IT"/>
        </w:rPr>
      </w:pPr>
    </w:p>
    <w:p w14:paraId="192C5D0D" w14:textId="0B2A76A8" w:rsidR="0000547B" w:rsidRPr="00FC5E0A" w:rsidRDefault="0000547B" w:rsidP="00FC5E0A">
      <w:pPr>
        <w:pStyle w:val="Articlenormaltext"/>
        <w:ind w:firstLine="0"/>
        <w:rPr>
          <w:szCs w:val="22"/>
        </w:rPr>
      </w:pPr>
      <w:r w:rsidRPr="00FC5E0A">
        <w:rPr>
          <w:szCs w:val="22"/>
        </w:rPr>
        <w:t xml:space="preserve"> </w:t>
      </w:r>
      <w:r w:rsidR="00292454" w:rsidRPr="00FC5E0A">
        <w:rPr>
          <w:b/>
          <w:bCs/>
          <w:szCs w:val="22"/>
        </w:rPr>
        <w:t>3.</w:t>
      </w:r>
      <w:r w:rsidR="009A2452" w:rsidRPr="00FC5E0A">
        <w:rPr>
          <w:b/>
          <w:bCs/>
          <w:szCs w:val="22"/>
        </w:rPr>
        <w:t>3</w:t>
      </w:r>
      <w:r w:rsidR="00292454" w:rsidRPr="00FC5E0A">
        <w:rPr>
          <w:szCs w:val="22"/>
        </w:rPr>
        <w:t xml:space="preserve"> </w:t>
      </w:r>
      <w:r w:rsidRPr="00FC5E0A">
        <w:rPr>
          <w:szCs w:val="22"/>
        </w:rPr>
        <w:t>The SG Top Eleven</w:t>
      </w:r>
    </w:p>
    <w:p w14:paraId="2C163B66" w14:textId="7D6E805E" w:rsidR="00083830" w:rsidRPr="00FC5E0A" w:rsidRDefault="00083830" w:rsidP="00083830">
      <w:pPr>
        <w:pStyle w:val="Articlenormaltext"/>
        <w:ind w:firstLine="0"/>
      </w:pPr>
      <w:r w:rsidRPr="00FC5E0A">
        <w:t>Top Eleven is a free digital football game by Nordeus, launched in 2010 and available in 31 languages. It can be played on PC, laptops, mobile phones, and tablets via Facebook. The game focuses on decision-making rather than player avatars and users are not required during matches. Its core concept revolves four elements: (a) club resource development, (b) budget management, (c) investment in assets, and (d) improving team efficiency (photos 1 &amp; 2).</w:t>
      </w:r>
    </w:p>
    <w:p w14:paraId="5D62C95D" w14:textId="77777777" w:rsidR="0000547B" w:rsidRPr="00FC5E0A" w:rsidRDefault="0000547B" w:rsidP="0000547B">
      <w:pPr>
        <w:pStyle w:val="Articlenormaltext"/>
        <w:rPr>
          <w:szCs w:val="22"/>
        </w:rPr>
      </w:pPr>
      <w:r w:rsidRPr="00FC5E0A">
        <w:rPr>
          <w:noProof/>
          <w:szCs w:val="22"/>
        </w:rPr>
        <w:drawing>
          <wp:inline distT="0" distB="0" distL="0" distR="0" wp14:anchorId="525DDE5B" wp14:editId="4B83B2B0">
            <wp:extent cx="2424211" cy="1717803"/>
            <wp:effectExtent l="0" t="0" r="0" b="0"/>
            <wp:docPr id="1730141148" name="Εικόνα 1" descr="Εικόνα που περιέχει κείμενο, στιγμιότυπο οθόνης, λογισμικό, εικονίδιο υπολογιστ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41148" name="Εικόνα 1" descr="Εικόνα που περιέχει κείμενο, στιγμιότυπο οθόνης, λογισμικό, εικονίδιο υπολογιστή&#10;&#10;Περιγραφή που δημιουργήθηκε αυτόματα"/>
                    <pic:cNvPicPr/>
                  </pic:nvPicPr>
                  <pic:blipFill>
                    <a:blip r:embed="rId15"/>
                    <a:stretch>
                      <a:fillRect/>
                    </a:stretch>
                  </pic:blipFill>
                  <pic:spPr>
                    <a:xfrm>
                      <a:off x="0" y="0"/>
                      <a:ext cx="2451458" cy="1737110"/>
                    </a:xfrm>
                    <a:prstGeom prst="rect">
                      <a:avLst/>
                    </a:prstGeom>
                  </pic:spPr>
                </pic:pic>
              </a:graphicData>
            </a:graphic>
          </wp:inline>
        </w:drawing>
      </w:r>
      <w:r w:rsidRPr="00FC5E0A">
        <w:rPr>
          <w:szCs w:val="22"/>
        </w:rPr>
        <w:t xml:space="preserve">   </w:t>
      </w:r>
      <w:r w:rsidRPr="00FC5E0A">
        <w:rPr>
          <w:noProof/>
          <w:szCs w:val="22"/>
        </w:rPr>
        <w:drawing>
          <wp:inline distT="0" distB="0" distL="0" distR="0" wp14:anchorId="7B851218" wp14:editId="20FB8C7B">
            <wp:extent cx="2771553" cy="1723089"/>
            <wp:effectExtent l="0" t="0" r="0" b="0"/>
            <wp:docPr id="2089261171" name="Εικόνα 1" descr="Εικόνα που περιέχει χάρτης, στιγμιότυπο οθόνης, πολεοδομικό σχέδιο, Αερο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61171" name="Εικόνα 1" descr="Εικόνα που περιέχει χάρτης, στιγμιότυπο οθόνης, πολεοδομικό σχέδιο, Αεροφωτογραφία"/>
                    <pic:cNvPicPr/>
                  </pic:nvPicPr>
                  <pic:blipFill>
                    <a:blip r:embed="rId16"/>
                    <a:stretch>
                      <a:fillRect/>
                    </a:stretch>
                  </pic:blipFill>
                  <pic:spPr>
                    <a:xfrm>
                      <a:off x="0" y="0"/>
                      <a:ext cx="2794943" cy="1737631"/>
                    </a:xfrm>
                    <a:prstGeom prst="rect">
                      <a:avLst/>
                    </a:prstGeom>
                  </pic:spPr>
                </pic:pic>
              </a:graphicData>
            </a:graphic>
          </wp:inline>
        </w:drawing>
      </w:r>
    </w:p>
    <w:p w14:paraId="31D3EA80" w14:textId="77777777" w:rsidR="0000547B" w:rsidRPr="00FC5E0A" w:rsidRDefault="0000547B" w:rsidP="0000547B">
      <w:pPr>
        <w:pStyle w:val="Articlenormaltext"/>
        <w:rPr>
          <w:szCs w:val="22"/>
        </w:rPr>
      </w:pPr>
    </w:p>
    <w:p w14:paraId="6029B60C" w14:textId="2503F18D" w:rsidR="00F90159" w:rsidRPr="00FC5E0A" w:rsidRDefault="00F90159" w:rsidP="0000547B">
      <w:pPr>
        <w:pStyle w:val="Articlenormaltext"/>
        <w:rPr>
          <w:szCs w:val="22"/>
        </w:rPr>
      </w:pPr>
      <w:r w:rsidRPr="00FC5E0A">
        <w:rPr>
          <w:szCs w:val="22"/>
        </w:rPr>
        <w:t>Photo 1.</w:t>
      </w:r>
      <w:r w:rsidR="0003360B" w:rsidRPr="00FC5E0A">
        <w:rPr>
          <w:szCs w:val="22"/>
        </w:rPr>
        <w:t xml:space="preserve"> Club’s </w:t>
      </w:r>
      <w:r w:rsidRPr="00FC5E0A">
        <w:rPr>
          <w:szCs w:val="22"/>
        </w:rPr>
        <w:t xml:space="preserve">Financial </w:t>
      </w:r>
      <w:r w:rsidR="003C6FB8" w:rsidRPr="00FC5E0A">
        <w:rPr>
          <w:szCs w:val="22"/>
        </w:rPr>
        <w:t>O</w:t>
      </w:r>
      <w:r w:rsidRPr="00FC5E0A">
        <w:rPr>
          <w:szCs w:val="22"/>
        </w:rPr>
        <w:t xml:space="preserve">verview </w:t>
      </w:r>
      <w:r w:rsidR="003C6FB8" w:rsidRPr="00FC5E0A">
        <w:rPr>
          <w:szCs w:val="22"/>
        </w:rPr>
        <w:tab/>
      </w:r>
      <w:r w:rsidR="003C6FB8" w:rsidRPr="00FC5E0A">
        <w:rPr>
          <w:szCs w:val="22"/>
        </w:rPr>
        <w:tab/>
        <w:t xml:space="preserve">Photo 2. Club’s </w:t>
      </w:r>
      <w:r w:rsidR="0003360B" w:rsidRPr="00FC5E0A">
        <w:rPr>
          <w:szCs w:val="22"/>
        </w:rPr>
        <w:t>facility development</w:t>
      </w:r>
      <w:r w:rsidRPr="00FC5E0A">
        <w:rPr>
          <w:szCs w:val="22"/>
        </w:rPr>
        <w:t xml:space="preserve"> </w:t>
      </w:r>
    </w:p>
    <w:p w14:paraId="32E381CB" w14:textId="77777777" w:rsidR="00F90159" w:rsidRPr="00FC5E0A" w:rsidRDefault="00F90159" w:rsidP="0000547B">
      <w:pPr>
        <w:pStyle w:val="Articlenormaltext"/>
        <w:rPr>
          <w:szCs w:val="22"/>
        </w:rPr>
      </w:pPr>
    </w:p>
    <w:p w14:paraId="0FFF45C8" w14:textId="77777777" w:rsidR="00F90159" w:rsidRPr="00FC5E0A" w:rsidRDefault="00F90159" w:rsidP="0000547B">
      <w:pPr>
        <w:pStyle w:val="Articlenormaltext"/>
        <w:rPr>
          <w:szCs w:val="22"/>
        </w:rPr>
      </w:pPr>
    </w:p>
    <w:p w14:paraId="29D7F1B0" w14:textId="456F5DB1" w:rsidR="0000547B" w:rsidRPr="00FC5E0A" w:rsidRDefault="0000547B" w:rsidP="0000547B">
      <w:pPr>
        <w:pStyle w:val="Articlenormaltext"/>
        <w:rPr>
          <w:szCs w:val="22"/>
        </w:rPr>
      </w:pPr>
      <w:r w:rsidRPr="00FC5E0A">
        <w:rPr>
          <w:szCs w:val="22"/>
        </w:rPr>
        <w:t xml:space="preserve">The relevant model was illustrated by Afthinos </w:t>
      </w:r>
      <w:r w:rsidRPr="00FC5E0A">
        <w:rPr>
          <w:i/>
          <w:iCs/>
          <w:szCs w:val="22"/>
        </w:rPr>
        <w:t>et al.</w:t>
      </w:r>
      <w:r w:rsidRPr="00FC5E0A">
        <w:rPr>
          <w:szCs w:val="22"/>
        </w:rPr>
        <w:t xml:space="preserve"> </w:t>
      </w:r>
      <w:r w:rsidRPr="00FC5E0A">
        <w:rPr>
          <w:szCs w:val="22"/>
        </w:rPr>
        <w:fldChar w:fldCharType="begin" w:fldLock="1"/>
      </w:r>
      <w:r w:rsidRPr="00FC5E0A">
        <w:rPr>
          <w:szCs w:val="22"/>
        </w:rPr>
        <w:instrText>ADDIN CSL_CITATION {"citationItems":[{"id":"ITEM-1","itemData":{"DOI":"10.1007/s10758-021-09573-8","ISBN":"0123456789","ISSN":"22111670","abstract":"The aim of this study is to examine whether students of a sport management undergraduate course can gain knowledge in the management of a professional soccer club, by participating in a commercial serious game. Serious is considered the cyber game that its purpose exceeds entertainment. For this case study, the serious sport club management game was “Top Eleven”. The theoretical model that this study was based on, is Misfeldt’s “scenarios based learning” for the transformation of a serious game into an educational means. It includes dimensions that cover part of the sport management class content in the National and Kapodistrian University of Athens, School of Physical Education and Sport Science. The transformation consisted of educational scenarios vested to the serious game, in order to add educational parameters to its basic elements with the purpose to relate further to the sport management class. The application showed that Top Eleven covers adequately Misfeldt’s model dimensions; therefore it can be used as an educational tool. Furthermore, an evaluation of the class gamification was conducted by the participating students (n = 62). The data collected showed that the majority of the students (f = 61, 98.4%) agreed that the participation in the serious game was “helpful” to their sport management class education process. They further agreed that they gained “very” or “very much” knowledge related to the management of a professional soccer club (f = 41, 66.1%) and that 59.7% (f = 37) of them would choose to work in a position of “sport club manager” as a result of the experience they gained by participating in the serious game.","author":[{"dropping-particle":"","family":"Afthinos","given":"Yanni","non-dropping-particle":"","parse-names":false,"suffix":""},{"dropping-particle":"","family":"Kiaffas","given":"Zacharias","non-dropping-particle":"","parse-names":false,"suffix":""},{"dropping-particle":"","family":"Afthinos","given":"Theofilos","non-dropping-particle":"","parse-names":false,"suffix":""}],"container-title":"Technology, Knowledge and Learning","id":"ITEM-1","issue":"1","issued":{"date-parts":[["2022"]]},"page":"255-273","publisher":"Springer Netherlands","title":"The Serious Game “Top Eleven” as an Educational Simulation Platform for Acquiring Knowledge and Skills in the Management of Sports Clubs","type":"article-journal","volume":"27"},"uris":["http://www.mendeley.com/documents/?uuid=30dcf59c-a82e-4fef-8228-412cc63cdcc0"]}],"mendeley":{"formattedCitation":"[10]","plainTextFormattedCitation":"[10]","previouslyFormattedCitation":"[10]"},"properties":{"noteIndex":0},"schema":"https://github.com/citation-style-language/schema/raw/master/csl-citation.json"}</w:instrText>
      </w:r>
      <w:r w:rsidRPr="00FC5E0A">
        <w:rPr>
          <w:szCs w:val="22"/>
        </w:rPr>
        <w:fldChar w:fldCharType="separate"/>
      </w:r>
      <w:r w:rsidRPr="00FC5E0A">
        <w:rPr>
          <w:noProof/>
          <w:szCs w:val="22"/>
        </w:rPr>
        <w:t>[10]</w:t>
      </w:r>
      <w:r w:rsidRPr="00FC5E0A">
        <w:rPr>
          <w:szCs w:val="22"/>
        </w:rPr>
        <w:fldChar w:fldCharType="end"/>
      </w:r>
      <w:r w:rsidRPr="00FC5E0A">
        <w:rPr>
          <w:szCs w:val="22"/>
        </w:rPr>
        <w:t xml:space="preserve"> as shown in Figure </w:t>
      </w:r>
      <w:r w:rsidR="008B6D95" w:rsidRPr="00FC5E0A">
        <w:rPr>
          <w:szCs w:val="22"/>
        </w:rPr>
        <w:t>4</w:t>
      </w:r>
      <w:r w:rsidRPr="00FC5E0A">
        <w:rPr>
          <w:szCs w:val="22"/>
        </w:rPr>
        <w:t>.</w:t>
      </w:r>
    </w:p>
    <w:p w14:paraId="5C5FC7D3" w14:textId="77777777" w:rsidR="0000547B" w:rsidRPr="00FC5E0A" w:rsidRDefault="0000547B" w:rsidP="0000547B">
      <w:pPr>
        <w:pStyle w:val="Articlenormaltext"/>
        <w:rPr>
          <w:szCs w:val="22"/>
        </w:rPr>
      </w:pPr>
    </w:p>
    <w:p w14:paraId="6181D027" w14:textId="77777777" w:rsidR="0000547B" w:rsidRPr="00FC5E0A" w:rsidRDefault="0000547B" w:rsidP="0000547B">
      <w:pPr>
        <w:pStyle w:val="Articlenormaltext"/>
        <w:rPr>
          <w:szCs w:val="22"/>
        </w:rPr>
      </w:pPr>
      <w:r w:rsidRPr="00FC5E0A">
        <w:rPr>
          <w:szCs w:val="22"/>
        </w:rPr>
        <w:t xml:space="preserve"> </w:t>
      </w:r>
      <w:r w:rsidRPr="00FC5E0A">
        <w:rPr>
          <w:noProof/>
          <w:sz w:val="20"/>
        </w:rPr>
        <w:drawing>
          <wp:inline distT="0" distB="0" distL="0" distR="0" wp14:anchorId="108672B9" wp14:editId="2DF480F9">
            <wp:extent cx="3696614" cy="1876370"/>
            <wp:effectExtent l="0" t="0" r="0" b="0"/>
            <wp:docPr id="425636266" name="Εικόνα 42563626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descr="A screenshot of a computer screen&#10;&#10;Description automatically generated"/>
                    <pic:cNvPicPr/>
                  </pic:nvPicPr>
                  <pic:blipFill rotWithShape="1">
                    <a:blip r:embed="rId17"/>
                    <a:srcRect l="15146" t="13267" r="14707" b="13362"/>
                    <a:stretch/>
                  </pic:blipFill>
                  <pic:spPr bwMode="auto">
                    <a:xfrm>
                      <a:off x="0" y="0"/>
                      <a:ext cx="3706105" cy="1881187"/>
                    </a:xfrm>
                    <a:prstGeom prst="rect">
                      <a:avLst/>
                    </a:prstGeom>
                    <a:ln>
                      <a:noFill/>
                    </a:ln>
                    <a:extLst>
                      <a:ext uri="{53640926-AAD7-44D8-BBD7-CCE9431645EC}">
                        <a14:shadowObscured xmlns:a14="http://schemas.microsoft.com/office/drawing/2010/main"/>
                      </a:ext>
                    </a:extLst>
                  </pic:spPr>
                </pic:pic>
              </a:graphicData>
            </a:graphic>
          </wp:inline>
        </w:drawing>
      </w:r>
    </w:p>
    <w:p w14:paraId="4C1B5497" w14:textId="5BA6A570" w:rsidR="0000547B" w:rsidRPr="00FC5E0A" w:rsidRDefault="0000547B" w:rsidP="0000547B">
      <w:pPr>
        <w:pStyle w:val="Articlenormaltext"/>
        <w:tabs>
          <w:tab w:val="left" w:pos="851"/>
        </w:tabs>
        <w:ind w:firstLine="0"/>
        <w:rPr>
          <w:szCs w:val="22"/>
        </w:rPr>
      </w:pPr>
      <w:r w:rsidRPr="00FC5E0A">
        <w:rPr>
          <w:b/>
          <w:bCs/>
          <w:szCs w:val="22"/>
        </w:rPr>
        <w:t>Figure</w:t>
      </w:r>
      <w:r w:rsidR="008B6D95" w:rsidRPr="00FC5E0A">
        <w:rPr>
          <w:b/>
          <w:bCs/>
          <w:szCs w:val="22"/>
        </w:rPr>
        <w:t>4</w:t>
      </w:r>
      <w:r w:rsidRPr="00FC5E0A">
        <w:rPr>
          <w:b/>
          <w:bCs/>
          <w:szCs w:val="22"/>
        </w:rPr>
        <w:t>.</w:t>
      </w:r>
      <w:r w:rsidRPr="00FC5E0A">
        <w:rPr>
          <w:szCs w:val="22"/>
        </w:rPr>
        <w:t xml:space="preserve"> </w:t>
      </w:r>
      <w:r w:rsidRPr="00FC5E0A">
        <w:rPr>
          <w:szCs w:val="22"/>
        </w:rPr>
        <w:tab/>
        <w:t xml:space="preserve">Basic game concept [10] </w:t>
      </w:r>
    </w:p>
    <w:p w14:paraId="4F88F853" w14:textId="77777777" w:rsidR="0000547B" w:rsidRPr="00FC5E0A" w:rsidRDefault="0000547B" w:rsidP="0000547B">
      <w:pPr>
        <w:pStyle w:val="Articlenormaltext"/>
        <w:ind w:firstLine="0"/>
        <w:rPr>
          <w:szCs w:val="22"/>
        </w:rPr>
      </w:pPr>
    </w:p>
    <w:p w14:paraId="54AB6F54" w14:textId="77777777" w:rsidR="0000547B" w:rsidRPr="00FC5E0A" w:rsidRDefault="0000547B" w:rsidP="0000547B">
      <w:pPr>
        <w:spacing w:line="264" w:lineRule="auto"/>
        <w:ind w:firstLine="284"/>
        <w:jc w:val="both"/>
        <w:rPr>
          <w:rFonts w:ascii="Times New Roman" w:hAnsi="Times New Roman"/>
          <w:lang w:val="en-US"/>
        </w:rPr>
      </w:pPr>
      <w:r w:rsidRPr="00FC5E0A">
        <w:rPr>
          <w:rFonts w:ascii="Times New Roman" w:hAnsi="Times New Roman"/>
          <w:lang w:val="en-US"/>
        </w:rPr>
        <w:t>The Top Eleven player acts as a football club/team manager with the duty to lead his/her team into winning titles. The game’s structure covers basic management functions of a conventional sport club simulating management work positions including the sport event manager. Regarding the sport event management work position, Top Eleven allows users’ team to participate in various events and tournaments, such as:</w:t>
      </w:r>
    </w:p>
    <w:p w14:paraId="4FDAC7ED" w14:textId="77777777" w:rsidR="0000547B" w:rsidRPr="00FC5E0A" w:rsidRDefault="0000547B" w:rsidP="0000547B">
      <w:pPr>
        <w:pStyle w:val="Articlenormaltext"/>
        <w:rPr>
          <w:szCs w:val="22"/>
        </w:rPr>
      </w:pPr>
      <w:r w:rsidRPr="00FC5E0A">
        <w:rPr>
          <w:szCs w:val="22"/>
        </w:rPr>
        <w:t>•</w:t>
      </w:r>
      <w:r w:rsidRPr="00FC5E0A">
        <w:rPr>
          <w:szCs w:val="22"/>
        </w:rPr>
        <w:tab/>
        <w:t>League</w:t>
      </w:r>
    </w:p>
    <w:p w14:paraId="1734A3D8" w14:textId="77777777" w:rsidR="0000547B" w:rsidRPr="00FC5E0A" w:rsidRDefault="0000547B" w:rsidP="0000547B">
      <w:pPr>
        <w:pStyle w:val="Articlenormaltext"/>
        <w:rPr>
          <w:szCs w:val="22"/>
        </w:rPr>
      </w:pPr>
      <w:r w:rsidRPr="00FC5E0A">
        <w:rPr>
          <w:szCs w:val="22"/>
        </w:rPr>
        <w:t>•</w:t>
      </w:r>
      <w:r w:rsidRPr="00FC5E0A">
        <w:rPr>
          <w:szCs w:val="22"/>
        </w:rPr>
        <w:tab/>
        <w:t>Champions League</w:t>
      </w:r>
    </w:p>
    <w:p w14:paraId="597E59A7" w14:textId="77777777" w:rsidR="0000547B" w:rsidRPr="00FC5E0A" w:rsidRDefault="0000547B" w:rsidP="0000547B">
      <w:pPr>
        <w:pStyle w:val="Articlenormaltext"/>
        <w:rPr>
          <w:szCs w:val="22"/>
        </w:rPr>
      </w:pPr>
      <w:r w:rsidRPr="00FC5E0A">
        <w:rPr>
          <w:szCs w:val="22"/>
        </w:rPr>
        <w:t>•</w:t>
      </w:r>
      <w:r w:rsidRPr="00FC5E0A">
        <w:rPr>
          <w:szCs w:val="22"/>
        </w:rPr>
        <w:tab/>
        <w:t>Super League</w:t>
      </w:r>
    </w:p>
    <w:p w14:paraId="5F4240BF" w14:textId="77777777" w:rsidR="0000547B" w:rsidRPr="00FC5E0A" w:rsidRDefault="0000547B" w:rsidP="0000547B">
      <w:pPr>
        <w:pStyle w:val="Articlenormaltext"/>
        <w:rPr>
          <w:szCs w:val="22"/>
        </w:rPr>
      </w:pPr>
      <w:r w:rsidRPr="00FC5E0A">
        <w:rPr>
          <w:szCs w:val="22"/>
        </w:rPr>
        <w:t>•</w:t>
      </w:r>
      <w:r w:rsidRPr="00FC5E0A">
        <w:rPr>
          <w:szCs w:val="22"/>
        </w:rPr>
        <w:tab/>
        <w:t>Cup</w:t>
      </w:r>
    </w:p>
    <w:p w14:paraId="0BBABA81" w14:textId="77777777" w:rsidR="0000547B" w:rsidRPr="00FC5E0A" w:rsidRDefault="0000547B" w:rsidP="0000547B">
      <w:pPr>
        <w:pStyle w:val="Articlenormaltext"/>
        <w:rPr>
          <w:szCs w:val="22"/>
        </w:rPr>
      </w:pPr>
      <w:r w:rsidRPr="00FC5E0A">
        <w:rPr>
          <w:szCs w:val="22"/>
        </w:rPr>
        <w:t>•</w:t>
      </w:r>
      <w:r w:rsidRPr="00FC5E0A">
        <w:rPr>
          <w:szCs w:val="22"/>
        </w:rPr>
        <w:tab/>
        <w:t>Super Cup</w:t>
      </w:r>
    </w:p>
    <w:p w14:paraId="1591958C" w14:textId="77777777" w:rsidR="0000547B" w:rsidRPr="00FC5E0A" w:rsidRDefault="0000547B" w:rsidP="0000547B">
      <w:pPr>
        <w:pStyle w:val="Articlenormaltext"/>
        <w:rPr>
          <w:szCs w:val="22"/>
        </w:rPr>
      </w:pPr>
      <w:r w:rsidRPr="00FC5E0A">
        <w:rPr>
          <w:szCs w:val="22"/>
        </w:rPr>
        <w:t>•</w:t>
      </w:r>
      <w:r w:rsidRPr="00FC5E0A">
        <w:rPr>
          <w:szCs w:val="22"/>
        </w:rPr>
        <w:tab/>
        <w:t>Association Tournaments</w:t>
      </w:r>
    </w:p>
    <w:p w14:paraId="0D22D58F" w14:textId="77777777" w:rsidR="0000547B" w:rsidRPr="00FC5E0A" w:rsidRDefault="0000547B" w:rsidP="0000547B">
      <w:pPr>
        <w:pStyle w:val="Articlenormaltext"/>
        <w:rPr>
          <w:szCs w:val="22"/>
        </w:rPr>
      </w:pPr>
      <w:r w:rsidRPr="00FC5E0A">
        <w:rPr>
          <w:szCs w:val="22"/>
        </w:rPr>
        <w:t>•</w:t>
      </w:r>
      <w:r w:rsidRPr="00FC5E0A">
        <w:rPr>
          <w:szCs w:val="22"/>
        </w:rPr>
        <w:tab/>
        <w:t>Special Tournaments</w:t>
      </w:r>
    </w:p>
    <w:p w14:paraId="0C677D2F" w14:textId="77777777" w:rsidR="0000547B" w:rsidRPr="00FC5E0A" w:rsidRDefault="0000547B" w:rsidP="0000547B">
      <w:pPr>
        <w:pStyle w:val="Articlenormaltext"/>
        <w:rPr>
          <w:szCs w:val="22"/>
        </w:rPr>
      </w:pPr>
      <w:r w:rsidRPr="00FC5E0A">
        <w:rPr>
          <w:szCs w:val="22"/>
        </w:rPr>
        <w:t xml:space="preserve">On top of these, the users of the game can arrange: </w:t>
      </w:r>
    </w:p>
    <w:p w14:paraId="793A2A52" w14:textId="77777777" w:rsidR="0000547B" w:rsidRPr="00FC5E0A" w:rsidRDefault="0000547B" w:rsidP="0000547B">
      <w:pPr>
        <w:pStyle w:val="Articlenormaltext"/>
        <w:rPr>
          <w:szCs w:val="22"/>
        </w:rPr>
      </w:pPr>
      <w:r w:rsidRPr="00FC5E0A">
        <w:rPr>
          <w:szCs w:val="22"/>
        </w:rPr>
        <w:t>•</w:t>
      </w:r>
      <w:r w:rsidRPr="00FC5E0A">
        <w:rPr>
          <w:szCs w:val="22"/>
        </w:rPr>
        <w:tab/>
        <w:t>Friendly matches, and</w:t>
      </w:r>
    </w:p>
    <w:p w14:paraId="4776791C" w14:textId="1A01203C" w:rsidR="0000547B" w:rsidRPr="00FC5E0A" w:rsidRDefault="0000547B" w:rsidP="0000547B">
      <w:pPr>
        <w:pStyle w:val="Articlenormaltext"/>
        <w:rPr>
          <w:szCs w:val="22"/>
        </w:rPr>
      </w:pPr>
      <w:r w:rsidRPr="00FC5E0A">
        <w:rPr>
          <w:szCs w:val="22"/>
        </w:rPr>
        <w:t>•</w:t>
      </w:r>
      <w:r w:rsidRPr="00FC5E0A">
        <w:rPr>
          <w:szCs w:val="22"/>
        </w:rPr>
        <w:tab/>
        <w:t>Friendly Tournaments</w:t>
      </w:r>
      <w:r w:rsidR="0003360B" w:rsidRPr="00FC5E0A">
        <w:rPr>
          <w:szCs w:val="22"/>
        </w:rPr>
        <w:t xml:space="preserve"> (photos 3&amp; 4)</w:t>
      </w:r>
    </w:p>
    <w:p w14:paraId="2711019D" w14:textId="77777777" w:rsidR="0000547B" w:rsidRPr="00FC5E0A" w:rsidRDefault="0000547B" w:rsidP="0000547B">
      <w:pPr>
        <w:pStyle w:val="Articlenormaltext"/>
        <w:rPr>
          <w:szCs w:val="22"/>
          <w:lang w:val="el-GR"/>
        </w:rPr>
      </w:pPr>
      <w:r w:rsidRPr="00FC5E0A">
        <w:rPr>
          <w:noProof/>
          <w:szCs w:val="22"/>
        </w:rPr>
        <w:lastRenderedPageBreak/>
        <w:drawing>
          <wp:inline distT="0" distB="0" distL="0" distR="0" wp14:anchorId="441BD7CA" wp14:editId="7B322683">
            <wp:extent cx="2465408" cy="1880235"/>
            <wp:effectExtent l="0" t="0" r="0" b="5715"/>
            <wp:docPr id="318758063" name="Εικόνα 1" descr="Εικόνα που περιέχει κείμενο, λογότυπο, γραφικά, στιγμιότυπο οθόν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58063" name="Εικόνα 1" descr="Εικόνα που περιέχει κείμενο, λογότυπο, γραφικά, στιγμιότυπο οθόνης&#10;&#10;Περιγραφή που δημιουργήθηκε αυτόματα"/>
                    <pic:cNvPicPr/>
                  </pic:nvPicPr>
                  <pic:blipFill>
                    <a:blip r:embed="rId18"/>
                    <a:stretch>
                      <a:fillRect/>
                    </a:stretch>
                  </pic:blipFill>
                  <pic:spPr>
                    <a:xfrm>
                      <a:off x="0" y="0"/>
                      <a:ext cx="2487102" cy="1896780"/>
                    </a:xfrm>
                    <a:prstGeom prst="rect">
                      <a:avLst/>
                    </a:prstGeom>
                  </pic:spPr>
                </pic:pic>
              </a:graphicData>
            </a:graphic>
          </wp:inline>
        </w:drawing>
      </w:r>
      <w:r w:rsidRPr="00FC5E0A">
        <w:rPr>
          <w:noProof/>
          <w:szCs w:val="22"/>
        </w:rPr>
        <w:drawing>
          <wp:inline distT="0" distB="0" distL="0" distR="0" wp14:anchorId="4DFC7064" wp14:editId="68708F75">
            <wp:extent cx="2789499" cy="1840230"/>
            <wp:effectExtent l="0" t="0" r="0" b="7620"/>
            <wp:docPr id="87232493" name="Εικόνα 1" descr="Εικόνα που περιέχει τρόπαιο, εσωτερικός χώρ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2493" name="Εικόνα 1" descr="Εικόνα που περιέχει τρόπαιο, εσωτερικός χώρος&#10;&#10;Περιγραφή που δημιουργήθηκε αυτόματα"/>
                    <pic:cNvPicPr/>
                  </pic:nvPicPr>
                  <pic:blipFill>
                    <a:blip r:embed="rId19"/>
                    <a:stretch>
                      <a:fillRect/>
                    </a:stretch>
                  </pic:blipFill>
                  <pic:spPr>
                    <a:xfrm>
                      <a:off x="0" y="0"/>
                      <a:ext cx="2803573" cy="1849515"/>
                    </a:xfrm>
                    <a:prstGeom prst="rect">
                      <a:avLst/>
                    </a:prstGeom>
                  </pic:spPr>
                </pic:pic>
              </a:graphicData>
            </a:graphic>
          </wp:inline>
        </w:drawing>
      </w:r>
    </w:p>
    <w:p w14:paraId="4D9D8F9D" w14:textId="7876EDA1" w:rsidR="0003360B" w:rsidRPr="00FC5E0A" w:rsidRDefault="0003360B" w:rsidP="0000547B">
      <w:pPr>
        <w:pStyle w:val="Articlenormaltext"/>
        <w:rPr>
          <w:szCs w:val="22"/>
        </w:rPr>
      </w:pPr>
      <w:r w:rsidRPr="00FC5E0A">
        <w:rPr>
          <w:b/>
          <w:bCs/>
          <w:szCs w:val="22"/>
        </w:rPr>
        <w:t>Photo 3:</w:t>
      </w:r>
      <w:r w:rsidRPr="00FC5E0A">
        <w:rPr>
          <w:szCs w:val="22"/>
        </w:rPr>
        <w:t xml:space="preserve"> Friendly </w:t>
      </w:r>
      <w:r w:rsidR="003C6FB8" w:rsidRPr="00FC5E0A">
        <w:rPr>
          <w:szCs w:val="22"/>
        </w:rPr>
        <w:t>M</w:t>
      </w:r>
      <w:r w:rsidRPr="00FC5E0A">
        <w:rPr>
          <w:szCs w:val="22"/>
        </w:rPr>
        <w:t xml:space="preserve">atches </w:t>
      </w:r>
      <w:r w:rsidR="003C6FB8" w:rsidRPr="00FC5E0A">
        <w:rPr>
          <w:szCs w:val="22"/>
        </w:rPr>
        <w:tab/>
      </w:r>
      <w:r w:rsidR="003C6FB8" w:rsidRPr="00FC5E0A">
        <w:rPr>
          <w:szCs w:val="22"/>
        </w:rPr>
        <w:tab/>
      </w:r>
      <w:r w:rsidR="003C6FB8" w:rsidRPr="00FC5E0A">
        <w:rPr>
          <w:szCs w:val="22"/>
        </w:rPr>
        <w:tab/>
      </w:r>
      <w:r w:rsidR="003C6FB8" w:rsidRPr="00FC5E0A">
        <w:rPr>
          <w:b/>
          <w:bCs/>
          <w:szCs w:val="22"/>
        </w:rPr>
        <w:t xml:space="preserve">Photo </w:t>
      </w:r>
      <w:r w:rsidR="00B92D18" w:rsidRPr="00FC5E0A">
        <w:rPr>
          <w:b/>
          <w:bCs/>
          <w:szCs w:val="22"/>
        </w:rPr>
        <w:t>4</w:t>
      </w:r>
      <w:r w:rsidR="003C6FB8" w:rsidRPr="00FC5E0A">
        <w:rPr>
          <w:szCs w:val="22"/>
        </w:rPr>
        <w:t xml:space="preserve">: Various Competition </w:t>
      </w:r>
      <w:r w:rsidRPr="00FC5E0A">
        <w:rPr>
          <w:szCs w:val="22"/>
        </w:rPr>
        <w:t>Tournaments</w:t>
      </w:r>
    </w:p>
    <w:p w14:paraId="522147B8" w14:textId="77777777" w:rsidR="0003360B" w:rsidRPr="00FC5E0A" w:rsidRDefault="0003360B" w:rsidP="0000547B">
      <w:pPr>
        <w:pStyle w:val="Articlenormaltext"/>
        <w:rPr>
          <w:szCs w:val="22"/>
        </w:rPr>
      </w:pPr>
    </w:p>
    <w:p w14:paraId="5277A0BA" w14:textId="309B5539" w:rsidR="0000547B" w:rsidRPr="00FC5E0A" w:rsidRDefault="0000547B" w:rsidP="0000547B">
      <w:pPr>
        <w:pStyle w:val="Articlenormaltext"/>
        <w:rPr>
          <w:szCs w:val="22"/>
        </w:rPr>
      </w:pPr>
      <w:r w:rsidRPr="00FC5E0A">
        <w:rPr>
          <w:szCs w:val="22"/>
        </w:rPr>
        <w:t>The approach to use SG Top Eleven as an educational simulator is based on the game’s ability to allow the club managers to play friendly matches and therefore to create virtual independent friendly tournaments. In this football SG, the fixtures are determined, and the matches are played automatically by the game except friendly matches.</w:t>
      </w:r>
    </w:p>
    <w:p w14:paraId="33F6ECCD" w14:textId="04CEAE6D" w:rsidR="008D5600" w:rsidRPr="00FC5E0A" w:rsidRDefault="008D5600" w:rsidP="005E527D">
      <w:pPr>
        <w:pStyle w:val="Articlenormaltext"/>
        <w:ind w:firstLine="0"/>
        <w:rPr>
          <w:szCs w:val="22"/>
        </w:rPr>
      </w:pPr>
    </w:p>
    <w:p w14:paraId="7692678D" w14:textId="3EEA0CB9" w:rsidR="00436848" w:rsidRPr="00FC5E0A" w:rsidRDefault="0030369C" w:rsidP="005E527D">
      <w:pPr>
        <w:pStyle w:val="Articlenormaltext"/>
        <w:ind w:firstLine="0"/>
        <w:rPr>
          <w:szCs w:val="22"/>
        </w:rPr>
      </w:pPr>
      <w:r w:rsidRPr="00FC5E0A">
        <w:rPr>
          <w:szCs w:val="22"/>
        </w:rPr>
        <w:t>The overall methodological approach to teaching sport event management is hybrid, since the management of the VIFT was mainly digital, while some management and marketing aspects were life sized.</w:t>
      </w:r>
    </w:p>
    <w:p w14:paraId="15BB30A3" w14:textId="6945DCAE" w:rsidR="0030369C" w:rsidRPr="00FC5E0A" w:rsidRDefault="00B92D18" w:rsidP="00B92D18">
      <w:pPr>
        <w:pStyle w:val="2"/>
        <w:numPr>
          <w:ilvl w:val="0"/>
          <w:numId w:val="0"/>
        </w:numPr>
        <w:ind w:left="284"/>
        <w:rPr>
          <w:rFonts w:ascii="Times New Roman" w:hAnsi="Times New Roman" w:cs="Times New Roman"/>
          <w:sz w:val="22"/>
          <w:szCs w:val="22"/>
        </w:rPr>
      </w:pPr>
      <w:r w:rsidRPr="00FC5E0A">
        <w:rPr>
          <w:rFonts w:ascii="Times New Roman" w:hAnsi="Times New Roman" w:cs="Times New Roman"/>
          <w:sz w:val="22"/>
          <w:szCs w:val="22"/>
        </w:rPr>
        <w:t>3.</w:t>
      </w:r>
      <w:r w:rsidR="009A2452" w:rsidRPr="00FC5E0A">
        <w:rPr>
          <w:rFonts w:ascii="Times New Roman" w:hAnsi="Times New Roman" w:cs="Times New Roman"/>
          <w:sz w:val="22"/>
          <w:szCs w:val="22"/>
        </w:rPr>
        <w:t>4</w:t>
      </w:r>
      <w:r w:rsidRPr="00FC5E0A">
        <w:rPr>
          <w:rFonts w:ascii="Times New Roman" w:hAnsi="Times New Roman" w:cs="Times New Roman"/>
          <w:sz w:val="22"/>
          <w:szCs w:val="22"/>
        </w:rPr>
        <w:tab/>
      </w:r>
      <w:r w:rsidR="00C04142" w:rsidRPr="00FC5E0A">
        <w:rPr>
          <w:rFonts w:ascii="Times New Roman" w:hAnsi="Times New Roman" w:cs="Times New Roman"/>
          <w:sz w:val="22"/>
          <w:szCs w:val="22"/>
        </w:rPr>
        <w:t xml:space="preserve">Population and sample </w:t>
      </w:r>
    </w:p>
    <w:p w14:paraId="4945A9B7" w14:textId="2899B7D5" w:rsidR="0030369C" w:rsidRPr="00FC5E0A" w:rsidRDefault="00415B5C" w:rsidP="007D3DC3">
      <w:pPr>
        <w:pStyle w:val="Articlenormaltext"/>
        <w:ind w:firstLine="0"/>
        <w:rPr>
          <w:szCs w:val="22"/>
        </w:rPr>
      </w:pPr>
      <w:r w:rsidRPr="00FC5E0A">
        <w:rPr>
          <w:szCs w:val="22"/>
        </w:rPr>
        <w:t xml:space="preserve">The population of this study was N=372 </w:t>
      </w:r>
      <w:r w:rsidR="00C660D9" w:rsidRPr="00FC5E0A">
        <w:rPr>
          <w:szCs w:val="22"/>
        </w:rPr>
        <w:t>School of Physical Education and Sport Science (</w:t>
      </w:r>
      <w:r w:rsidRPr="00FC5E0A">
        <w:rPr>
          <w:szCs w:val="22"/>
        </w:rPr>
        <w:t>SPESS</w:t>
      </w:r>
      <w:r w:rsidR="00C660D9" w:rsidRPr="00FC5E0A">
        <w:rPr>
          <w:szCs w:val="22"/>
        </w:rPr>
        <w:t>)</w:t>
      </w:r>
      <w:r w:rsidRPr="00FC5E0A">
        <w:rPr>
          <w:szCs w:val="22"/>
        </w:rPr>
        <w:t xml:space="preserve"> students divided in two groups: (a) the organizers consisted of Ν=44 senior students majoring in sport event management and attending the Sport Event Management class and b) the participants, consisted of Ν=328 freshmen students attending an introductory Sport Management class as football team managers of the virtual football teams</w:t>
      </w:r>
      <w:r w:rsidR="008F052B" w:rsidRPr="00FC5E0A">
        <w:rPr>
          <w:szCs w:val="22"/>
        </w:rPr>
        <w:t xml:space="preserve"> (Table </w:t>
      </w:r>
      <w:r w:rsidR="0003360B" w:rsidRPr="00FC5E0A">
        <w:rPr>
          <w:szCs w:val="22"/>
        </w:rPr>
        <w:t>1</w:t>
      </w:r>
      <w:r w:rsidR="008F052B" w:rsidRPr="00FC5E0A">
        <w:rPr>
          <w:szCs w:val="22"/>
        </w:rPr>
        <w:t>)</w:t>
      </w:r>
      <w:r w:rsidRPr="00FC5E0A">
        <w:rPr>
          <w:szCs w:val="22"/>
        </w:rPr>
        <w:t>.</w:t>
      </w:r>
    </w:p>
    <w:p w14:paraId="0C0F39C0" w14:textId="77777777" w:rsidR="008F052B" w:rsidRPr="00FC5E0A" w:rsidRDefault="008F052B" w:rsidP="007D3DC3">
      <w:pPr>
        <w:pStyle w:val="Articlenormaltext"/>
        <w:ind w:firstLine="0"/>
        <w:rPr>
          <w:szCs w:val="22"/>
        </w:rPr>
      </w:pPr>
    </w:p>
    <w:p w14:paraId="45C0824D" w14:textId="0088ADE3" w:rsidR="00A60779" w:rsidRPr="00FC5E0A" w:rsidRDefault="008F052B" w:rsidP="007D3DC3">
      <w:pPr>
        <w:pStyle w:val="Articlenormaltext"/>
        <w:ind w:firstLine="0"/>
        <w:rPr>
          <w:szCs w:val="22"/>
        </w:rPr>
      </w:pPr>
      <w:r w:rsidRPr="00FC5E0A">
        <w:rPr>
          <w:szCs w:val="22"/>
        </w:rPr>
        <w:t xml:space="preserve">Table </w:t>
      </w:r>
      <w:r w:rsidR="0003360B" w:rsidRPr="00FC5E0A">
        <w:rPr>
          <w:szCs w:val="22"/>
        </w:rPr>
        <w:t>1</w:t>
      </w:r>
      <w:r w:rsidRPr="00FC5E0A">
        <w:rPr>
          <w:szCs w:val="22"/>
        </w:rPr>
        <w:t>:Population of the study</w:t>
      </w:r>
    </w:p>
    <w:p w14:paraId="63E7C679" w14:textId="047375EB" w:rsidR="00C660D9" w:rsidRPr="00FC5E0A" w:rsidRDefault="00A60779" w:rsidP="002A1A84">
      <w:pPr>
        <w:pStyle w:val="Articlenormaltext"/>
        <w:pBdr>
          <w:top w:val="single" w:sz="4" w:space="1" w:color="auto"/>
          <w:bottom w:val="single" w:sz="4" w:space="1" w:color="auto"/>
        </w:pBdr>
        <w:ind w:firstLine="0"/>
        <w:rPr>
          <w:szCs w:val="22"/>
        </w:rPr>
      </w:pPr>
      <w:r w:rsidRPr="00FC5E0A">
        <w:rPr>
          <w:szCs w:val="22"/>
        </w:rPr>
        <w:t>Population of the study</w:t>
      </w:r>
      <w:r w:rsidRPr="00FC5E0A">
        <w:rPr>
          <w:szCs w:val="22"/>
        </w:rPr>
        <w:tab/>
      </w:r>
      <w:r w:rsidRPr="00FC5E0A">
        <w:rPr>
          <w:szCs w:val="22"/>
        </w:rPr>
        <w:tab/>
        <w:t xml:space="preserve">  </w:t>
      </w:r>
      <w:r w:rsidR="003F74E2" w:rsidRPr="00FC5E0A">
        <w:rPr>
          <w:szCs w:val="22"/>
        </w:rPr>
        <w:tab/>
      </w:r>
      <w:r w:rsidR="003F74E2" w:rsidRPr="00FC5E0A">
        <w:rPr>
          <w:szCs w:val="22"/>
        </w:rPr>
        <w:tab/>
      </w:r>
      <w:r w:rsidRPr="00FC5E0A">
        <w:rPr>
          <w:szCs w:val="22"/>
        </w:rPr>
        <w:t>f</w:t>
      </w:r>
      <w:r w:rsidRPr="00FC5E0A">
        <w:rPr>
          <w:szCs w:val="22"/>
        </w:rPr>
        <w:tab/>
      </w:r>
      <w:r w:rsidRPr="00FC5E0A">
        <w:rPr>
          <w:szCs w:val="22"/>
        </w:rPr>
        <w:tab/>
        <w:t>%</w:t>
      </w:r>
      <w:r w:rsidRPr="00FC5E0A">
        <w:rPr>
          <w:szCs w:val="22"/>
        </w:rPr>
        <w:tab/>
      </w:r>
    </w:p>
    <w:p w14:paraId="356CDBC8" w14:textId="03958F01" w:rsidR="00A60779" w:rsidRPr="00FC5E0A" w:rsidRDefault="00A60779" w:rsidP="007D3DC3">
      <w:pPr>
        <w:pStyle w:val="Articlenormaltext"/>
        <w:ind w:firstLine="0"/>
        <w:rPr>
          <w:szCs w:val="22"/>
        </w:rPr>
      </w:pPr>
      <w:r w:rsidRPr="00FC5E0A">
        <w:rPr>
          <w:szCs w:val="22"/>
        </w:rPr>
        <w:t>Organizers</w:t>
      </w:r>
      <w:r w:rsidRPr="00FC5E0A">
        <w:rPr>
          <w:szCs w:val="22"/>
        </w:rPr>
        <w:tab/>
      </w:r>
      <w:r w:rsidR="003F74E2" w:rsidRPr="00FC5E0A">
        <w:rPr>
          <w:szCs w:val="22"/>
        </w:rPr>
        <w:t>(senior students)</w:t>
      </w:r>
      <w:r w:rsidRPr="00FC5E0A">
        <w:rPr>
          <w:szCs w:val="22"/>
        </w:rPr>
        <w:tab/>
      </w:r>
      <w:r w:rsidRPr="00FC5E0A">
        <w:rPr>
          <w:szCs w:val="22"/>
        </w:rPr>
        <w:tab/>
      </w:r>
      <w:r w:rsidRPr="00FC5E0A">
        <w:rPr>
          <w:szCs w:val="22"/>
        </w:rPr>
        <w:tab/>
        <w:t xml:space="preserve"> 44</w:t>
      </w:r>
      <w:r w:rsidRPr="00FC5E0A">
        <w:rPr>
          <w:szCs w:val="22"/>
        </w:rPr>
        <w:tab/>
      </w:r>
      <w:r w:rsidRPr="00FC5E0A">
        <w:rPr>
          <w:szCs w:val="22"/>
        </w:rPr>
        <w:tab/>
        <w:t>11.83</w:t>
      </w:r>
    </w:p>
    <w:p w14:paraId="7FF91135" w14:textId="465EC872" w:rsidR="00A60779" w:rsidRPr="00FC5E0A" w:rsidRDefault="00A60779" w:rsidP="007D3DC3">
      <w:pPr>
        <w:pStyle w:val="Articlenormaltext"/>
        <w:ind w:firstLine="0"/>
        <w:rPr>
          <w:szCs w:val="22"/>
        </w:rPr>
      </w:pPr>
      <w:r w:rsidRPr="00FC5E0A">
        <w:rPr>
          <w:szCs w:val="22"/>
        </w:rPr>
        <w:t>Participants</w:t>
      </w:r>
      <w:r w:rsidRPr="00FC5E0A">
        <w:rPr>
          <w:szCs w:val="22"/>
        </w:rPr>
        <w:tab/>
      </w:r>
      <w:r w:rsidR="003F74E2" w:rsidRPr="00FC5E0A">
        <w:rPr>
          <w:szCs w:val="22"/>
        </w:rPr>
        <w:t>(freshmen students)</w:t>
      </w:r>
      <w:r w:rsidRPr="00FC5E0A">
        <w:rPr>
          <w:szCs w:val="22"/>
        </w:rPr>
        <w:tab/>
      </w:r>
      <w:r w:rsidRPr="00FC5E0A">
        <w:rPr>
          <w:szCs w:val="22"/>
        </w:rPr>
        <w:tab/>
      </w:r>
      <w:r w:rsidRPr="00FC5E0A">
        <w:rPr>
          <w:szCs w:val="22"/>
        </w:rPr>
        <w:tab/>
        <w:t>328</w:t>
      </w:r>
      <w:r w:rsidRPr="00FC5E0A">
        <w:rPr>
          <w:szCs w:val="22"/>
        </w:rPr>
        <w:tab/>
      </w:r>
      <w:r w:rsidRPr="00FC5E0A">
        <w:rPr>
          <w:szCs w:val="22"/>
        </w:rPr>
        <w:tab/>
        <w:t>88.17</w:t>
      </w:r>
    </w:p>
    <w:p w14:paraId="7DFD2006" w14:textId="7F71471B" w:rsidR="00A60779" w:rsidRPr="00FC5E0A" w:rsidRDefault="00A60779" w:rsidP="002A1A84">
      <w:pPr>
        <w:pStyle w:val="Articlenormaltext"/>
        <w:pBdr>
          <w:bottom w:val="single" w:sz="4" w:space="1" w:color="auto"/>
        </w:pBdr>
        <w:ind w:firstLine="0"/>
        <w:rPr>
          <w:szCs w:val="22"/>
        </w:rPr>
      </w:pPr>
      <w:r w:rsidRPr="00FC5E0A">
        <w:rPr>
          <w:szCs w:val="22"/>
        </w:rPr>
        <w:t>Total</w:t>
      </w:r>
      <w:r w:rsidRPr="00FC5E0A">
        <w:rPr>
          <w:szCs w:val="22"/>
        </w:rPr>
        <w:tab/>
      </w:r>
      <w:r w:rsidRPr="00FC5E0A">
        <w:rPr>
          <w:szCs w:val="22"/>
        </w:rPr>
        <w:tab/>
      </w:r>
      <w:r w:rsidRPr="00FC5E0A">
        <w:rPr>
          <w:szCs w:val="22"/>
        </w:rPr>
        <w:tab/>
      </w:r>
      <w:r w:rsidRPr="00FC5E0A">
        <w:rPr>
          <w:szCs w:val="22"/>
        </w:rPr>
        <w:tab/>
      </w:r>
      <w:r w:rsidRPr="00FC5E0A">
        <w:rPr>
          <w:szCs w:val="22"/>
        </w:rPr>
        <w:tab/>
      </w:r>
      <w:r w:rsidR="003F74E2" w:rsidRPr="00FC5E0A">
        <w:rPr>
          <w:szCs w:val="22"/>
          <w:lang w:val="el-GR"/>
        </w:rPr>
        <w:tab/>
      </w:r>
      <w:r w:rsidR="003F74E2" w:rsidRPr="00FC5E0A">
        <w:rPr>
          <w:szCs w:val="22"/>
          <w:lang w:val="el-GR"/>
        </w:rPr>
        <w:tab/>
      </w:r>
      <w:r w:rsidRPr="00FC5E0A">
        <w:rPr>
          <w:szCs w:val="22"/>
        </w:rPr>
        <w:t>372</w:t>
      </w:r>
      <w:r w:rsidRPr="00FC5E0A">
        <w:rPr>
          <w:szCs w:val="22"/>
        </w:rPr>
        <w:tab/>
      </w:r>
      <w:r w:rsidRPr="00FC5E0A">
        <w:rPr>
          <w:szCs w:val="22"/>
        </w:rPr>
        <w:tab/>
        <w:t>100</w:t>
      </w:r>
    </w:p>
    <w:p w14:paraId="32B043AD" w14:textId="573E443C" w:rsidR="0030369C" w:rsidRPr="00FC5E0A" w:rsidRDefault="00E94316" w:rsidP="009A2452">
      <w:pPr>
        <w:pStyle w:val="2"/>
        <w:numPr>
          <w:ilvl w:val="1"/>
          <w:numId w:val="21"/>
        </w:numPr>
        <w:rPr>
          <w:rFonts w:ascii="Times New Roman" w:hAnsi="Times New Roman" w:cs="Times New Roman"/>
          <w:sz w:val="22"/>
          <w:szCs w:val="22"/>
        </w:rPr>
      </w:pPr>
      <w:r w:rsidRPr="00FC5E0A">
        <w:rPr>
          <w:rFonts w:ascii="Times New Roman" w:hAnsi="Times New Roman" w:cs="Times New Roman"/>
          <w:sz w:val="22"/>
          <w:szCs w:val="22"/>
        </w:rPr>
        <w:t xml:space="preserve">Data </w:t>
      </w:r>
      <w:r w:rsidRPr="00FC5E0A">
        <w:rPr>
          <w:rFonts w:ascii="Times New Roman" w:hAnsi="Times New Roman" w:cs="Times New Roman"/>
          <w:strike/>
          <w:sz w:val="22"/>
          <w:szCs w:val="22"/>
        </w:rPr>
        <w:t>collection</w:t>
      </w:r>
      <w:r w:rsidRPr="00FC5E0A">
        <w:rPr>
          <w:rFonts w:ascii="Times New Roman" w:hAnsi="Times New Roman" w:cs="Times New Roman"/>
          <w:sz w:val="22"/>
          <w:szCs w:val="22"/>
        </w:rPr>
        <w:t xml:space="preserve"> instruments </w:t>
      </w:r>
    </w:p>
    <w:p w14:paraId="2B996A58" w14:textId="52FF31F4" w:rsidR="00920C37" w:rsidRPr="00FC5E0A" w:rsidRDefault="00920C37" w:rsidP="00C16080">
      <w:pPr>
        <w:spacing w:line="22" w:lineRule="atLeast"/>
        <w:jc w:val="both"/>
        <w:rPr>
          <w:rFonts w:ascii="Times New Roman" w:hAnsi="Times New Roman"/>
          <w:lang w:val="en-US"/>
        </w:rPr>
      </w:pPr>
      <w:r w:rsidRPr="00FC5E0A">
        <w:rPr>
          <w:rFonts w:ascii="Times New Roman" w:hAnsi="Times New Roman"/>
        </w:rPr>
        <w:t>Τ</w:t>
      </w:r>
      <w:r w:rsidRPr="00FC5E0A">
        <w:rPr>
          <w:rFonts w:ascii="Times New Roman" w:hAnsi="Times New Roman"/>
          <w:lang w:val="en-US"/>
        </w:rPr>
        <w:t xml:space="preserve">he teaching of the Sport Event Management class consist of the delivery of knowledge and theory and the development of sport event management skills through class laboratories. The laboratory approach was hybrid since the intended skills were developed both virtually (through the SG) and in </w:t>
      </w:r>
      <w:r w:rsidR="00FC5E0A" w:rsidRPr="00FC5E0A">
        <w:rPr>
          <w:rFonts w:ascii="Times New Roman" w:hAnsi="Times New Roman"/>
          <w:lang w:val="en-US"/>
        </w:rPr>
        <w:t>real life</w:t>
      </w:r>
      <w:r w:rsidRPr="00FC5E0A">
        <w:rPr>
          <w:rFonts w:ascii="Times New Roman" w:hAnsi="Times New Roman"/>
          <w:lang w:val="en-US"/>
        </w:rPr>
        <w:t xml:space="preserve"> (i.e. through real communication with the stakeholders). </w:t>
      </w:r>
    </w:p>
    <w:p w14:paraId="36ECA4BB" w14:textId="2C53AE37" w:rsidR="00021C0D" w:rsidRPr="00FC5E0A" w:rsidRDefault="00021C0D" w:rsidP="00021C0D">
      <w:pPr>
        <w:pStyle w:val="Articlenormaltext"/>
        <w:spacing w:line="22" w:lineRule="atLeast"/>
        <w:rPr>
          <w:szCs w:val="22"/>
        </w:rPr>
      </w:pPr>
      <w:r w:rsidRPr="00FC5E0A">
        <w:rPr>
          <w:szCs w:val="22"/>
        </w:rPr>
        <w:t xml:space="preserve">The VIFT process was conceptualized by two models that mentioned before: the “Unified Model of Events Management” </w:t>
      </w:r>
      <w:r w:rsidRPr="00FC5E0A">
        <w:rPr>
          <w:szCs w:val="22"/>
        </w:rPr>
        <w:fldChar w:fldCharType="begin" w:fldLock="1"/>
      </w:r>
      <w:r w:rsidRPr="00FC5E0A">
        <w:rPr>
          <w:szCs w:val="22"/>
        </w:rPr>
        <w:instrText>ADDIN CSL_CITATION {"citationItems":[{"id":"ITEM-1","itemData":{"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[21]","plainTextFormattedCitation":"[21]","previouslyFormattedCitation":"[21]"},"properties":{"noteIndex":0},"schema":"https://github.com/citation-style-language/schema/raw/master/csl-citation.json"}</w:instrText>
      </w:r>
      <w:r w:rsidRPr="00FC5E0A">
        <w:rPr>
          <w:szCs w:val="22"/>
        </w:rPr>
        <w:fldChar w:fldCharType="separate"/>
      </w:r>
      <w:r w:rsidRPr="00FC5E0A">
        <w:rPr>
          <w:noProof/>
          <w:szCs w:val="22"/>
        </w:rPr>
        <w:t>[21]</w:t>
      </w:r>
      <w:r w:rsidRPr="00FC5E0A">
        <w:rPr>
          <w:szCs w:val="22"/>
        </w:rPr>
        <w:fldChar w:fldCharType="end"/>
      </w:r>
      <w:r w:rsidRPr="00FC5E0A">
        <w:rPr>
          <w:szCs w:val="22"/>
        </w:rPr>
        <w:t xml:space="preserve"> and the “Scenario Based Education Framework” </w:t>
      </w:r>
      <w:r w:rsidRPr="00FC5E0A">
        <w:rPr>
          <w:szCs w:val="22"/>
        </w:rPr>
        <w:fldChar w:fldCharType="begin" w:fldLock="1"/>
      </w:r>
      <w:r w:rsidRPr="00FC5E0A">
        <w:rPr>
          <w:szCs w:val="22"/>
        </w:rPr>
        <w:instrText>ADDIN CSL_CITATION {"citationItems":[{"id":"ITEM-1","itemData":{"ISSN":"14794403","abstract":"In this paper I describe s how students use a project management simulation game based on an attack-defense mechanism where two teams of players compete by challenging each other’s projects. The project management simulation game is intended to be played by pre-service construction workers and engineers. The gameplay has two parts: a planning part, where the player make managerial decisions about his construction site, and a challenge part where the player chooses between typical problems to occur on the opponent’s construction site. Playing the game involves analyzing both your own and you opponent’s building project for weak spots. The intention of the project management simulation game, is to provide students with an increased sensitivity towards the relation between planning and reality in complex construction projects. The project management simulation game can be interpreted both as a competitive game and as a simulation. Both of these views are meaningful and can be seen as supporting learning. Emphasizing the simulation aspect let us explain how students learn by being immersed into a simulated world, where the players identify with specific roles, live out specific situations, and experiment with relevant parameters. Emphasizing the competition game aspect we can see how play and competition allow players to experience intrinsic motivation and engagement, as well as thinking strategically about their choices, and hence put attention towards all the things that can go wrong in construction work. The goal of the paper is to investigate empirically how these two understandings influence game experience and learning outcome. This question is approached by qualitative post-game interviews about the experienced fun, competition and realism. Specific attention is given to how the understandings of the experience (for instance as a game and as a simulation) is entangled when the students describe their experience. Using the concepts frame and domain it is analyzed how the students conceptualize and make meaning of the particular educational scenario manifested by the project management simulation game. We take as an outset that students interpret the situations in the project management simulation game as relating to one or several domains, especially the domains competition and simulation. Results suggest that the views of the scenario as a competition and as a simulation do coexist, and that these views merge in a subtle way. The players consider the…","author":[{"dropping-particle":"","family":"Misfeldt","given":"Morten","non-dropping-particle":"","parse-names":false,"suffix":""}],"container-title":"Electronic Journal of e-Learning","id":"ITEM-1","issue":"3","issued":{"date-parts":[["2015"]]},"page":"181-191","title":"Scenario based education as a framework for understanding students engagement and learning in a project management simulation game","type":"article-journal","volume":"13"},"uris":["http://www.mendeley.com/documents/?uuid=092313e4-c29d-4f9b-b151-b70746c3b863"]}],"mendeley":{"formattedCitation":"[29]","plainTextFormattedCitation":"[29]","previouslyFormattedCitation":"[29]"},"properties":{"noteIndex":0},"schema":"https://github.com/citation-style-language/schema/raw/master/csl-citation.json"}</w:instrText>
      </w:r>
      <w:r w:rsidRPr="00FC5E0A">
        <w:rPr>
          <w:szCs w:val="22"/>
        </w:rPr>
        <w:fldChar w:fldCharType="separate"/>
      </w:r>
      <w:r w:rsidRPr="00FC5E0A">
        <w:rPr>
          <w:noProof/>
          <w:szCs w:val="22"/>
        </w:rPr>
        <w:t>[29]</w:t>
      </w:r>
      <w:r w:rsidRPr="00FC5E0A">
        <w:rPr>
          <w:szCs w:val="22"/>
        </w:rPr>
        <w:fldChar w:fldCharType="end"/>
      </w:r>
      <w:r w:rsidRPr="00FC5E0A">
        <w:rPr>
          <w:szCs w:val="22"/>
        </w:rPr>
        <w:t>. All students participated in this study as part of their attending classes’ assignments.</w:t>
      </w:r>
      <w:r w:rsidRPr="00FC5E0A">
        <w:rPr>
          <w:rFonts w:eastAsia="Times New Roman"/>
          <w:szCs w:val="22"/>
          <w:lang w:eastAsia="el-GR"/>
        </w:rPr>
        <w:t xml:space="preserve"> </w:t>
      </w:r>
      <w:r w:rsidRPr="00FC5E0A">
        <w:rPr>
          <w:szCs w:val="22"/>
        </w:rPr>
        <w:t xml:space="preserve">Based on the Salem model, after the decision to create the event was made, we proceeded with </w:t>
      </w:r>
      <w:r w:rsidR="00FC5E0A" w:rsidRPr="00FC5E0A">
        <w:rPr>
          <w:szCs w:val="22"/>
        </w:rPr>
        <w:t>detailed</w:t>
      </w:r>
      <w:r w:rsidRPr="00FC5E0A">
        <w:rPr>
          <w:szCs w:val="22"/>
        </w:rPr>
        <w:t xml:space="preserve"> planning of the tournament (for example, establishing an organizing committee, creating announcements, mapping out the tournament, etc.). Subsequently, we moved forward with the tournament's implementation (technical meetings, draws, conducting matches, score tables, etc.), and in the end, we carried out an evaluation of the tournament.</w:t>
      </w:r>
    </w:p>
    <w:p w14:paraId="2F78769F" w14:textId="77777777" w:rsidR="00021C0D" w:rsidRPr="00FC5E0A" w:rsidRDefault="00021C0D" w:rsidP="00021C0D">
      <w:pPr>
        <w:pStyle w:val="Articlenormaltext"/>
        <w:spacing w:line="22" w:lineRule="atLeast"/>
        <w:rPr>
          <w:szCs w:val="22"/>
        </w:rPr>
      </w:pPr>
      <w:r w:rsidRPr="00FC5E0A">
        <w:rPr>
          <w:szCs w:val="22"/>
        </w:rPr>
        <w:t xml:space="preserve">Regarding the model, a scenario was created in which all students enrolled in the course on event organization were transformed into an organizing committee and project managers, each responsible for managing the participating teams assigned to their group. Within this </w:t>
      </w:r>
      <w:r w:rsidRPr="00FC5E0A">
        <w:rPr>
          <w:szCs w:val="22"/>
        </w:rPr>
        <w:lastRenderedPageBreak/>
        <w:t>framework, they were required to communicate with participants, send them informational material, resolve administrative issues, and make decisions</w:t>
      </w:r>
    </w:p>
    <w:p w14:paraId="180AAA37" w14:textId="77777777" w:rsidR="00021C0D" w:rsidRPr="00FC5E0A" w:rsidRDefault="00021C0D" w:rsidP="00C16080">
      <w:pPr>
        <w:pStyle w:val="Articlenormaltext"/>
        <w:spacing w:line="22" w:lineRule="atLeast"/>
        <w:rPr>
          <w:szCs w:val="22"/>
        </w:rPr>
      </w:pPr>
    </w:p>
    <w:p w14:paraId="6A500AA9" w14:textId="28C64E05" w:rsidR="00920C37" w:rsidRPr="00FC5E0A" w:rsidRDefault="00920C37" w:rsidP="002A1A84">
      <w:pPr>
        <w:pStyle w:val="Articlenormaltext"/>
        <w:spacing w:line="22" w:lineRule="atLeast"/>
        <w:ind w:firstLine="0"/>
        <w:rPr>
          <w:szCs w:val="22"/>
        </w:rPr>
      </w:pPr>
      <w:r w:rsidRPr="00FC5E0A">
        <w:rPr>
          <w:szCs w:val="22"/>
        </w:rPr>
        <w:t>The data were collected by</w:t>
      </w:r>
      <w:r w:rsidR="008B6EC3" w:rsidRPr="00FC5E0A">
        <w:rPr>
          <w:szCs w:val="22"/>
        </w:rPr>
        <w:t>:</w:t>
      </w:r>
      <w:r w:rsidRPr="00FC5E0A">
        <w:rPr>
          <w:szCs w:val="22"/>
        </w:rPr>
        <w:t xml:space="preserve"> a) a set of deliverables </w:t>
      </w:r>
      <w:r w:rsidR="008B6EC3" w:rsidRPr="00FC5E0A">
        <w:rPr>
          <w:szCs w:val="22"/>
        </w:rPr>
        <w:t xml:space="preserve">b) </w:t>
      </w:r>
      <w:r w:rsidRPr="00FC5E0A">
        <w:rPr>
          <w:szCs w:val="22"/>
        </w:rPr>
        <w:t xml:space="preserve">a written test that assessed skills in sport event management acquired by organizers, c) the Chertoff’s </w:t>
      </w:r>
      <w:r w:rsidRPr="00FC5E0A">
        <w:rPr>
          <w:i/>
          <w:iCs/>
          <w:szCs w:val="22"/>
        </w:rPr>
        <w:t>et al.</w:t>
      </w:r>
      <w:r w:rsidRPr="00FC5E0A">
        <w:rPr>
          <w:szCs w:val="22"/>
        </w:rPr>
        <w:t xml:space="preserve"> </w:t>
      </w:r>
      <w:r w:rsidRPr="00FC5E0A">
        <w:rPr>
          <w:szCs w:val="22"/>
        </w:rPr>
        <w:fldChar w:fldCharType="begin" w:fldLock="1"/>
      </w:r>
      <w:r w:rsidR="00B67A73" w:rsidRPr="00FC5E0A">
        <w:rPr>
          <w:szCs w:val="22"/>
        </w:rPr>
        <w:instrText>ADDIN CSL_CITATION {"citationItems":[{"id":"ITEM-1","itemData":{"DOI":"10.1109/VR.2010.5444804","ISBN":"9781424462582","abstract":"We present the development and evaluation of the Virtual Experience Test (VET). The VET is a survey instrument used to measure holistic virtual environment experiences based upon the five dimensions of experiential design: sensory, cognitive, affective, active, and relational. Experiential Design (ED) is a holistic approach to enhance presence in virtual environments that goes beyond existing presence theory (i.e. a focus on the sensory aspects of VE experiences) to include affective and cognitive factors. To evaluate the VET, 62 participants played the commercial video game Mirror's Edge. After gameplay both the VET and the ITC-Sense of Presence Inventory (ITC-SOPI) were administered. A principal component analysis was performed on the VET and it was determined that the actual question clustering coincided with the proposed dimensions of experiential design. Furthermore, scores from the VET were shown to have a significant relationship with presence scores on the ITC-SOPI. The results of this research produced a validated measure of holistic experience that could be used to evaluate virtual environments. Furthermore, our experiment indicates that virtual environments utilizing holistic designs can result in significantly higher presence. ©2010 IEEE.","author":[{"dropping-particle":"","family":"Chertoff","given":"Dustin B.","non-dropping-particle":"","parse-names":false,"suffix":""},{"dropping-particle":"","family":"Goldiez","given":"Brian","non-dropping-particle":"","parse-names":false,"suffix":""},{"dropping-particle":"","family":"LaViola","given":"Joseph J.","non-dropping-particle":"","parse-names":false,"suffix":""}],"container-title":"Proceedings - IEEE Virtual Reality","id":"ITEM-1","issued":{"date-parts":[["2010"]]},"page":"103-110","publisher":"IEEE","title":"Virtual experience test: A virtual environment evaluation questionnaire","type":"article-journal"},"uris":["http://www.mendeley.com/documents/?uuid=06e35755-f8da-419e-a3dd-709335fc66a8"]}],"mendeley":{"formattedCitation":"[31]","plainTextFormattedCitation":"[31]","previouslyFormattedCitation":"[31]"},"properties":{"noteIndex":0},"schema":"https://github.com/citation-style-language/schema/raw/master/csl-citation.json"}</w:instrText>
      </w:r>
      <w:r w:rsidRPr="00FC5E0A">
        <w:rPr>
          <w:szCs w:val="22"/>
        </w:rPr>
        <w:fldChar w:fldCharType="separate"/>
      </w:r>
      <w:r w:rsidRPr="00FC5E0A">
        <w:rPr>
          <w:noProof/>
          <w:szCs w:val="22"/>
        </w:rPr>
        <w:t>[31]</w:t>
      </w:r>
      <w:r w:rsidRPr="00FC5E0A">
        <w:rPr>
          <w:szCs w:val="22"/>
        </w:rPr>
        <w:fldChar w:fldCharType="end"/>
      </w:r>
      <w:r w:rsidRPr="00FC5E0A">
        <w:rPr>
          <w:szCs w:val="22"/>
        </w:rPr>
        <w:t xml:space="preserve"> “Virtual Environment Evaluation Questionnaire”, that assessed organizers’ sport management efficiency and the overall VIFT evaluation. </w:t>
      </w:r>
    </w:p>
    <w:p w14:paraId="7CC1D172" w14:textId="5558591C" w:rsidR="00597B71" w:rsidRPr="00FC5E0A" w:rsidRDefault="0031127C" w:rsidP="00597B71">
      <w:pPr>
        <w:pStyle w:val="3"/>
        <w:rPr>
          <w:rFonts w:ascii="Times New Roman" w:hAnsi="Times New Roman" w:cs="Times New Roman"/>
          <w:sz w:val="22"/>
          <w:szCs w:val="22"/>
        </w:rPr>
      </w:pPr>
      <w:r w:rsidRPr="00FC5E0A">
        <w:rPr>
          <w:rFonts w:ascii="Times New Roman" w:hAnsi="Times New Roman" w:cs="Times New Roman"/>
          <w:sz w:val="22"/>
          <w:szCs w:val="22"/>
        </w:rPr>
        <w:t xml:space="preserve"> </w:t>
      </w:r>
      <w:r w:rsidR="0016177D" w:rsidRPr="00FC5E0A">
        <w:rPr>
          <w:rFonts w:ascii="Times New Roman" w:hAnsi="Times New Roman" w:cs="Times New Roman"/>
          <w:sz w:val="22"/>
          <w:szCs w:val="22"/>
        </w:rPr>
        <w:t>Deliverables</w:t>
      </w:r>
    </w:p>
    <w:p w14:paraId="74444695" w14:textId="5DB7C28D" w:rsidR="00597B71" w:rsidRPr="00FC5E0A" w:rsidRDefault="00864D78" w:rsidP="00597B71">
      <w:pPr>
        <w:pStyle w:val="Articlenormaltext"/>
        <w:ind w:firstLine="0"/>
        <w:rPr>
          <w:szCs w:val="22"/>
        </w:rPr>
      </w:pPr>
      <w:r w:rsidRPr="00FC5E0A">
        <w:rPr>
          <w:szCs w:val="22"/>
        </w:rPr>
        <w:t>The deliverables, as class assignments related to sport event management skills development, have set as part of the official assessment of the organizers before, during and after the completion of the VIFT</w:t>
      </w:r>
      <w:r w:rsidR="0031127C" w:rsidRPr="00FC5E0A">
        <w:rPr>
          <w:szCs w:val="22"/>
        </w:rPr>
        <w:t>. The organizers were obliged to deliver to the class instructor a set of event management tools such as the</w:t>
      </w:r>
      <w:r w:rsidRPr="00FC5E0A">
        <w:rPr>
          <w:szCs w:val="22"/>
        </w:rPr>
        <w:t xml:space="preserve"> </w:t>
      </w:r>
      <w:r w:rsidR="0031127C" w:rsidRPr="00FC5E0A">
        <w:rPr>
          <w:szCs w:val="22"/>
        </w:rPr>
        <w:t xml:space="preserve">organization chart, the </w:t>
      </w:r>
      <w:r w:rsidR="0003360B" w:rsidRPr="00FC5E0A">
        <w:rPr>
          <w:szCs w:val="22"/>
        </w:rPr>
        <w:t>project charter (</w:t>
      </w:r>
      <w:r w:rsidR="0031127C" w:rsidRPr="00FC5E0A">
        <w:rPr>
          <w:szCs w:val="22"/>
        </w:rPr>
        <w:t>map</w:t>
      </w:r>
      <w:r w:rsidR="0003360B" w:rsidRPr="00FC5E0A">
        <w:rPr>
          <w:szCs w:val="22"/>
        </w:rPr>
        <w:t>)</w:t>
      </w:r>
      <w:r w:rsidR="0031127C" w:rsidRPr="00FC5E0A">
        <w:rPr>
          <w:szCs w:val="22"/>
        </w:rPr>
        <w:t xml:space="preserve"> and the timetable of the event, the Structured Task Analysis etc. All deliverables are listed in Table </w:t>
      </w:r>
      <w:r w:rsidR="0003360B" w:rsidRPr="00FC5E0A">
        <w:rPr>
          <w:szCs w:val="22"/>
        </w:rPr>
        <w:t>2</w:t>
      </w:r>
      <w:r w:rsidR="0031127C" w:rsidRPr="00FC5E0A">
        <w:rPr>
          <w:szCs w:val="22"/>
        </w:rPr>
        <w:t xml:space="preserve">. The aim of deliverables was to develop </w:t>
      </w:r>
      <w:r w:rsidR="0003360B" w:rsidRPr="00FC5E0A">
        <w:rPr>
          <w:szCs w:val="22"/>
        </w:rPr>
        <w:t>students’</w:t>
      </w:r>
      <w:r w:rsidR="0031127C" w:rsidRPr="00FC5E0A">
        <w:rPr>
          <w:szCs w:val="22"/>
        </w:rPr>
        <w:t xml:space="preserve"> </w:t>
      </w:r>
      <w:r w:rsidR="002A1A84" w:rsidRPr="00FC5E0A">
        <w:rPr>
          <w:szCs w:val="22"/>
        </w:rPr>
        <w:t>skills (</w:t>
      </w:r>
      <w:r w:rsidRPr="00FC5E0A">
        <w:rPr>
          <w:szCs w:val="22"/>
        </w:rPr>
        <w:t xml:space="preserve">i.e., skills on preparing </w:t>
      </w:r>
      <w:r w:rsidR="0031127C" w:rsidRPr="00FC5E0A">
        <w:rPr>
          <w:szCs w:val="22"/>
        </w:rPr>
        <w:t xml:space="preserve">timetables, </w:t>
      </w:r>
      <w:r w:rsidRPr="00FC5E0A">
        <w:rPr>
          <w:szCs w:val="22"/>
        </w:rPr>
        <w:t xml:space="preserve">competition </w:t>
      </w:r>
      <w:r w:rsidR="0031127C" w:rsidRPr="00FC5E0A">
        <w:rPr>
          <w:szCs w:val="22"/>
        </w:rPr>
        <w:t xml:space="preserve">draw and </w:t>
      </w:r>
      <w:r w:rsidRPr="00FC5E0A">
        <w:rPr>
          <w:szCs w:val="22"/>
        </w:rPr>
        <w:t xml:space="preserve">schedules, scoreboard arraignments, </w:t>
      </w:r>
      <w:r w:rsidR="0031127C" w:rsidRPr="00FC5E0A">
        <w:rPr>
          <w:szCs w:val="22"/>
        </w:rPr>
        <w:t>etc</w:t>
      </w:r>
      <w:r w:rsidRPr="00FC5E0A">
        <w:rPr>
          <w:szCs w:val="22"/>
        </w:rPr>
        <w:t>).</w:t>
      </w:r>
      <w:r w:rsidR="00D85526" w:rsidRPr="00FC5E0A">
        <w:rPr>
          <w:szCs w:val="22"/>
          <w:lang w:val="it-IT"/>
        </w:rPr>
        <w:t xml:space="preserve"> The evaluation of the deliverables was done on a scale from </w:t>
      </w:r>
      <w:r w:rsidR="0003360B" w:rsidRPr="00FC5E0A">
        <w:rPr>
          <w:szCs w:val="22"/>
          <w:lang w:val="it-IT"/>
        </w:rPr>
        <w:t>1</w:t>
      </w:r>
      <w:r w:rsidR="00D85526" w:rsidRPr="00FC5E0A">
        <w:rPr>
          <w:szCs w:val="22"/>
          <w:lang w:val="it-IT"/>
        </w:rPr>
        <w:t xml:space="preserve"> to 10</w:t>
      </w:r>
      <w:r w:rsidR="00001EB8" w:rsidRPr="00FC5E0A">
        <w:rPr>
          <w:szCs w:val="22"/>
          <w:lang w:val="it-IT"/>
        </w:rPr>
        <w:t xml:space="preserve">. Table </w:t>
      </w:r>
      <w:r w:rsidR="0003360B" w:rsidRPr="00FC5E0A">
        <w:rPr>
          <w:szCs w:val="22"/>
          <w:lang w:val="it-IT"/>
        </w:rPr>
        <w:t>2</w:t>
      </w:r>
      <w:r w:rsidR="00001EB8" w:rsidRPr="00FC5E0A">
        <w:rPr>
          <w:szCs w:val="22"/>
          <w:lang w:val="it-IT"/>
        </w:rPr>
        <w:t xml:space="preserve"> presents the class average </w:t>
      </w:r>
      <w:r w:rsidR="00001EB8" w:rsidRPr="00FC5E0A">
        <w:rPr>
          <w:szCs w:val="22"/>
        </w:rPr>
        <w:t xml:space="preserve">score </w:t>
      </w:r>
      <w:r w:rsidR="00001EB8" w:rsidRPr="00FC5E0A">
        <w:rPr>
          <w:szCs w:val="22"/>
          <w:lang w:val="it-IT"/>
        </w:rPr>
        <w:t>for each deliverable.</w:t>
      </w:r>
    </w:p>
    <w:p w14:paraId="50B72E2C" w14:textId="433AD647" w:rsidR="001E616A" w:rsidRPr="00FC5E0A" w:rsidRDefault="001E616A" w:rsidP="001E616A">
      <w:pPr>
        <w:pStyle w:val="3"/>
        <w:rPr>
          <w:rFonts w:ascii="Times New Roman" w:hAnsi="Times New Roman" w:cs="Times New Roman"/>
          <w:sz w:val="22"/>
          <w:szCs w:val="22"/>
        </w:rPr>
      </w:pPr>
      <w:r w:rsidRPr="00FC5E0A">
        <w:rPr>
          <w:rFonts w:ascii="Times New Roman" w:hAnsi="Times New Roman" w:cs="Times New Roman"/>
          <w:sz w:val="22"/>
          <w:szCs w:val="22"/>
        </w:rPr>
        <w:t>Knowledge Written Test</w:t>
      </w:r>
    </w:p>
    <w:p w14:paraId="2F891130" w14:textId="36521400" w:rsidR="00B55D4C" w:rsidRPr="00FC5E0A" w:rsidRDefault="0087239D" w:rsidP="002A1A84">
      <w:pPr>
        <w:pStyle w:val="Articlenormaltext"/>
        <w:ind w:firstLine="0"/>
        <w:rPr>
          <w:szCs w:val="22"/>
        </w:rPr>
      </w:pPr>
      <w:r w:rsidRPr="00FC5E0A">
        <w:rPr>
          <w:szCs w:val="22"/>
        </w:rPr>
        <w:t xml:space="preserve">The written test aimed to evaluate the students' </w:t>
      </w:r>
      <w:r w:rsidR="00242E30" w:rsidRPr="00FC5E0A">
        <w:rPr>
          <w:szCs w:val="22"/>
        </w:rPr>
        <w:t>acquired</w:t>
      </w:r>
      <w:r w:rsidR="000678BA" w:rsidRPr="00FC5E0A">
        <w:rPr>
          <w:szCs w:val="22"/>
        </w:rPr>
        <w:t xml:space="preserve"> theoretical</w:t>
      </w:r>
      <w:r w:rsidR="00242E30" w:rsidRPr="00FC5E0A">
        <w:rPr>
          <w:szCs w:val="22"/>
        </w:rPr>
        <w:t xml:space="preserve"> </w:t>
      </w:r>
      <w:r w:rsidRPr="00FC5E0A">
        <w:rPr>
          <w:szCs w:val="22"/>
        </w:rPr>
        <w:t xml:space="preserve">knowledge on sports event management topics and were given </w:t>
      </w:r>
      <w:r w:rsidR="00001EB8" w:rsidRPr="00FC5E0A">
        <w:rPr>
          <w:szCs w:val="22"/>
        </w:rPr>
        <w:t>after the completion of the VIFT</w:t>
      </w:r>
      <w:r w:rsidR="00B55D4C" w:rsidRPr="00FC5E0A">
        <w:rPr>
          <w:szCs w:val="22"/>
        </w:rPr>
        <w:t>.</w:t>
      </w:r>
      <w:r w:rsidR="00001EB8" w:rsidRPr="00FC5E0A">
        <w:rPr>
          <w:szCs w:val="22"/>
        </w:rPr>
        <w:t xml:space="preserve"> </w:t>
      </w:r>
      <w:r w:rsidR="00B55D4C" w:rsidRPr="00FC5E0A">
        <w:rPr>
          <w:szCs w:val="22"/>
          <w:lang w:val="it-IT"/>
        </w:rPr>
        <w:t xml:space="preserve">This test was created by the class instructor and included 20 multiple-choice </w:t>
      </w:r>
      <w:r w:rsidR="00B55D4C" w:rsidRPr="00FC5E0A">
        <w:rPr>
          <w:szCs w:val="22"/>
        </w:rPr>
        <w:t>and open-ended questions</w:t>
      </w:r>
      <w:r w:rsidR="00B55D4C" w:rsidRPr="00FC5E0A">
        <w:rPr>
          <w:szCs w:val="22"/>
          <w:lang w:val="it-IT"/>
        </w:rPr>
        <w:t xml:space="preserve"> on various </w:t>
      </w:r>
      <w:r w:rsidR="0003360B" w:rsidRPr="00FC5E0A">
        <w:rPr>
          <w:szCs w:val="22"/>
          <w:lang w:val="it-IT"/>
        </w:rPr>
        <w:t xml:space="preserve">event </w:t>
      </w:r>
      <w:r w:rsidR="00B55D4C" w:rsidRPr="00FC5E0A">
        <w:rPr>
          <w:szCs w:val="22"/>
          <w:lang w:val="it-IT"/>
        </w:rPr>
        <w:t>organizational topics, such as</w:t>
      </w:r>
      <w:r w:rsidR="00B55D4C" w:rsidRPr="00FC5E0A">
        <w:rPr>
          <w:szCs w:val="22"/>
        </w:rPr>
        <w:t xml:space="preserve"> planning of a sports tournament, (i.e. </w:t>
      </w:r>
      <w:r w:rsidR="00B55D4C" w:rsidRPr="00FC5E0A">
        <w:rPr>
          <w:i/>
          <w:iCs/>
          <w:szCs w:val="22"/>
        </w:rPr>
        <w:t xml:space="preserve">“what do you know about the </w:t>
      </w:r>
      <w:r w:rsidR="0003360B" w:rsidRPr="00FC5E0A">
        <w:rPr>
          <w:i/>
          <w:iCs/>
          <w:szCs w:val="22"/>
        </w:rPr>
        <w:t>project charter</w:t>
      </w:r>
      <w:r w:rsidR="00B55D4C" w:rsidRPr="00FC5E0A">
        <w:rPr>
          <w:i/>
          <w:iCs/>
          <w:szCs w:val="22"/>
        </w:rPr>
        <w:t xml:space="preserve"> </w:t>
      </w:r>
      <w:r w:rsidR="0003360B" w:rsidRPr="00FC5E0A">
        <w:rPr>
          <w:i/>
          <w:iCs/>
          <w:szCs w:val="22"/>
        </w:rPr>
        <w:t>(</w:t>
      </w:r>
      <w:r w:rsidR="00B55D4C" w:rsidRPr="00FC5E0A">
        <w:rPr>
          <w:i/>
          <w:iCs/>
          <w:szCs w:val="22"/>
        </w:rPr>
        <w:t>map</w:t>
      </w:r>
      <w:r w:rsidR="0003360B" w:rsidRPr="00FC5E0A">
        <w:rPr>
          <w:i/>
          <w:iCs/>
          <w:szCs w:val="22"/>
        </w:rPr>
        <w:t>)</w:t>
      </w:r>
      <w:r w:rsidR="00B55D4C" w:rsidRPr="00FC5E0A">
        <w:rPr>
          <w:i/>
          <w:iCs/>
          <w:szCs w:val="22"/>
        </w:rPr>
        <w:t xml:space="preserve"> </w:t>
      </w:r>
      <w:r w:rsidR="00B55D4C" w:rsidRPr="00FC5E0A">
        <w:rPr>
          <w:szCs w:val="22"/>
        </w:rPr>
        <w:t>”), the competition announcements, (i.e. “</w:t>
      </w:r>
      <w:r w:rsidR="00B55D4C" w:rsidRPr="00FC5E0A">
        <w:rPr>
          <w:i/>
          <w:iCs/>
          <w:szCs w:val="22"/>
          <w:lang w:val="it-IT"/>
        </w:rPr>
        <w:t>what is included in a football tournament general announcement</w:t>
      </w:r>
      <w:r w:rsidR="00B55D4C" w:rsidRPr="00FC5E0A">
        <w:rPr>
          <w:szCs w:val="22"/>
        </w:rPr>
        <w:t>”)</w:t>
      </w:r>
      <w:r w:rsidR="0021647B" w:rsidRPr="00FC5E0A">
        <w:rPr>
          <w:szCs w:val="22"/>
        </w:rPr>
        <w:t xml:space="preserve">, </w:t>
      </w:r>
      <w:r w:rsidR="00B55D4C" w:rsidRPr="00FC5E0A">
        <w:rPr>
          <w:szCs w:val="22"/>
          <w:lang w:val="it-IT"/>
        </w:rPr>
        <w:t>participants’ management (e.g “</w:t>
      </w:r>
      <w:r w:rsidR="00B55D4C" w:rsidRPr="00FC5E0A">
        <w:rPr>
          <w:i/>
          <w:iCs/>
          <w:szCs w:val="22"/>
          <w:lang w:val="it-IT"/>
        </w:rPr>
        <w:t>what kind of information should be included in a registration form</w:t>
      </w:r>
      <w:r w:rsidR="00B55D4C" w:rsidRPr="00FC5E0A">
        <w:rPr>
          <w:szCs w:val="22"/>
          <w:lang w:val="it-IT"/>
        </w:rPr>
        <w:t>”), technical meeting (e.g “</w:t>
      </w:r>
      <w:r w:rsidR="00B55D4C" w:rsidRPr="00FC5E0A">
        <w:rPr>
          <w:i/>
          <w:iCs/>
          <w:szCs w:val="22"/>
          <w:lang w:val="it-IT"/>
        </w:rPr>
        <w:t>what kind of information should be communicated to participants during a technical meeting</w:t>
      </w:r>
      <w:r w:rsidR="00B55D4C" w:rsidRPr="00FC5E0A">
        <w:rPr>
          <w:szCs w:val="22"/>
          <w:lang w:val="it-IT"/>
        </w:rPr>
        <w:t>”), calculation of the number of matches (“</w:t>
      </w:r>
      <w:r w:rsidR="00B55D4C" w:rsidRPr="00FC5E0A">
        <w:rPr>
          <w:i/>
          <w:iCs/>
          <w:szCs w:val="22"/>
          <w:lang w:val="it-IT"/>
        </w:rPr>
        <w:t>which mathematical type calculates the total number of the matches in a robin round system</w:t>
      </w:r>
      <w:r w:rsidR="00B55D4C" w:rsidRPr="00FC5E0A">
        <w:rPr>
          <w:szCs w:val="22"/>
          <w:lang w:val="it-IT"/>
        </w:rPr>
        <w:t>”), qualification criteria, (e.g. “</w:t>
      </w:r>
      <w:r w:rsidR="00B55D4C" w:rsidRPr="00FC5E0A">
        <w:rPr>
          <w:i/>
          <w:iCs/>
          <w:szCs w:val="22"/>
          <w:lang w:val="it-IT"/>
        </w:rPr>
        <w:t>what are the most common qualification criteria for teams  that are tied in the standings in a robin round system</w:t>
      </w:r>
      <w:r w:rsidR="00B55D4C" w:rsidRPr="00FC5E0A">
        <w:rPr>
          <w:szCs w:val="22"/>
        </w:rPr>
        <w:t>”)</w:t>
      </w:r>
      <w:r w:rsidR="00B55D4C" w:rsidRPr="00FC5E0A">
        <w:rPr>
          <w:szCs w:val="22"/>
          <w:lang w:val="it-IT"/>
        </w:rPr>
        <w:t xml:space="preserve"> etc. </w:t>
      </w:r>
    </w:p>
    <w:p w14:paraId="73DA2802" w14:textId="18CB6A5D" w:rsidR="0087239D" w:rsidRPr="00FC5E0A" w:rsidRDefault="00001EB8" w:rsidP="002A1A84">
      <w:pPr>
        <w:pStyle w:val="Articlenormaltext"/>
        <w:ind w:firstLine="0"/>
        <w:rPr>
          <w:szCs w:val="22"/>
        </w:rPr>
      </w:pPr>
      <w:r w:rsidRPr="00FC5E0A">
        <w:rPr>
          <w:szCs w:val="22"/>
          <w:lang w:val="it-IT"/>
        </w:rPr>
        <w:t xml:space="preserve">The assessment of the written test was conducted on a scale of 1 to 10 </w:t>
      </w:r>
      <w:r w:rsidR="00D85526" w:rsidRPr="00FC5E0A">
        <w:rPr>
          <w:szCs w:val="22"/>
          <w:lang w:val="it-IT"/>
        </w:rPr>
        <w:t xml:space="preserve">(Table </w:t>
      </w:r>
      <w:r w:rsidR="0003360B" w:rsidRPr="00FC5E0A">
        <w:rPr>
          <w:szCs w:val="22"/>
          <w:lang w:val="it-IT"/>
        </w:rPr>
        <w:t>3</w:t>
      </w:r>
      <w:r w:rsidR="00D85526" w:rsidRPr="00FC5E0A">
        <w:rPr>
          <w:szCs w:val="22"/>
          <w:lang w:val="it-IT"/>
        </w:rPr>
        <w:t>)</w:t>
      </w:r>
      <w:r w:rsidRPr="00FC5E0A">
        <w:rPr>
          <w:szCs w:val="22"/>
        </w:rPr>
        <w:t>.</w:t>
      </w:r>
    </w:p>
    <w:p w14:paraId="1E732979" w14:textId="133DD83B" w:rsidR="001E616A" w:rsidRPr="00FC5E0A" w:rsidRDefault="001E616A" w:rsidP="001E616A">
      <w:pPr>
        <w:pStyle w:val="Articlenormaltext"/>
        <w:ind w:firstLine="0"/>
        <w:rPr>
          <w:szCs w:val="22"/>
        </w:rPr>
      </w:pPr>
    </w:p>
    <w:p w14:paraId="3F43E4B8" w14:textId="7285DDBA" w:rsidR="00597B71" w:rsidRPr="00FC5E0A" w:rsidRDefault="007E5148" w:rsidP="00597B71">
      <w:pPr>
        <w:pStyle w:val="3"/>
        <w:rPr>
          <w:rFonts w:ascii="Times New Roman" w:hAnsi="Times New Roman" w:cs="Times New Roman"/>
          <w:sz w:val="22"/>
          <w:szCs w:val="22"/>
        </w:rPr>
      </w:pPr>
      <w:r w:rsidRPr="00FC5E0A">
        <w:rPr>
          <w:rFonts w:ascii="Times New Roman" w:hAnsi="Times New Roman" w:cs="Times New Roman"/>
          <w:sz w:val="22"/>
          <w:szCs w:val="22"/>
        </w:rPr>
        <w:t>VIFT Evaluation</w:t>
      </w:r>
    </w:p>
    <w:p w14:paraId="07FE8017" w14:textId="5B46F09F" w:rsidR="00512406" w:rsidRPr="00FC5E0A" w:rsidRDefault="00001EB8" w:rsidP="00512406">
      <w:pPr>
        <w:pStyle w:val="Articlenormaltext"/>
        <w:ind w:firstLine="0"/>
        <w:rPr>
          <w:szCs w:val="22"/>
        </w:rPr>
      </w:pPr>
      <w:r w:rsidRPr="00FC5E0A">
        <w:rPr>
          <w:szCs w:val="22"/>
        </w:rPr>
        <w:t xml:space="preserve">The VIFT evaluation conducted through </w:t>
      </w:r>
      <w:r w:rsidR="002A1A84" w:rsidRPr="00FC5E0A">
        <w:rPr>
          <w:szCs w:val="22"/>
        </w:rPr>
        <w:t>the</w:t>
      </w:r>
      <w:r w:rsidR="00512406" w:rsidRPr="00FC5E0A">
        <w:rPr>
          <w:szCs w:val="22"/>
        </w:rPr>
        <w:t xml:space="preserve"> “Virtual Environment Evaluation Questionnaire” </w:t>
      </w:r>
      <w:r w:rsidRPr="00FC5E0A">
        <w:rPr>
          <w:szCs w:val="22"/>
        </w:rPr>
        <w:t xml:space="preserve">that had been </w:t>
      </w:r>
      <w:r w:rsidR="00512406" w:rsidRPr="00FC5E0A">
        <w:rPr>
          <w:szCs w:val="22"/>
        </w:rPr>
        <w:t xml:space="preserve">adapted for the specific needs of the study. Some questions were modified to be more suitable for this research, while those that did not fit this survey were removed. Following that, the questionnaire was tested for its face validity by a committee of four faculty members, who agreed on its final form without further changes. </w:t>
      </w:r>
      <w:r w:rsidR="00232D3D" w:rsidRPr="00FC5E0A">
        <w:rPr>
          <w:szCs w:val="22"/>
          <w:lang w:val="it-IT"/>
        </w:rPr>
        <w:t>The questionnaire was sent via Google Forms to the 32</w:t>
      </w:r>
      <w:r w:rsidR="002329FC" w:rsidRPr="00FC5E0A">
        <w:rPr>
          <w:szCs w:val="22"/>
          <w:lang w:val="it-IT"/>
        </w:rPr>
        <w:t>8</w:t>
      </w:r>
      <w:r w:rsidR="00232D3D" w:rsidRPr="00FC5E0A">
        <w:rPr>
          <w:szCs w:val="22"/>
          <w:lang w:val="it-IT"/>
        </w:rPr>
        <w:t xml:space="preserve"> first-year students who participated in the tournament with their teams. A total of 206 completed questionnaires were returned.</w:t>
      </w:r>
    </w:p>
    <w:p w14:paraId="4155B831" w14:textId="1CADAB82" w:rsidR="005E25C4" w:rsidRPr="00FC5E0A" w:rsidRDefault="00512406" w:rsidP="00FD0231">
      <w:pPr>
        <w:pStyle w:val="Articlenormaltext"/>
        <w:rPr>
          <w:szCs w:val="22"/>
        </w:rPr>
      </w:pPr>
      <w:r w:rsidRPr="00FC5E0A">
        <w:rPr>
          <w:szCs w:val="22"/>
        </w:rPr>
        <w:t xml:space="preserve">The assessment instrument used in this study consisted of 27 questions </w:t>
      </w:r>
      <w:r w:rsidR="00097B59" w:rsidRPr="00FC5E0A">
        <w:rPr>
          <w:szCs w:val="22"/>
        </w:rPr>
        <w:t>evaluated: a)</w:t>
      </w:r>
      <w:r w:rsidR="00C040DB" w:rsidRPr="00FC5E0A">
        <w:rPr>
          <w:szCs w:val="22"/>
        </w:rPr>
        <w:t xml:space="preserve"> </w:t>
      </w:r>
      <w:r w:rsidRPr="00FC5E0A">
        <w:rPr>
          <w:szCs w:val="22"/>
        </w:rPr>
        <w:t xml:space="preserve">organizers </w:t>
      </w:r>
      <w:r w:rsidR="002329FC" w:rsidRPr="00FC5E0A">
        <w:rPr>
          <w:szCs w:val="22"/>
        </w:rPr>
        <w:t>efficiency</w:t>
      </w:r>
      <w:r w:rsidR="00C040DB" w:rsidRPr="00FC5E0A">
        <w:rPr>
          <w:szCs w:val="22"/>
        </w:rPr>
        <w:t>,</w:t>
      </w:r>
      <w:r w:rsidR="002329FC" w:rsidRPr="00FC5E0A">
        <w:rPr>
          <w:szCs w:val="22"/>
        </w:rPr>
        <w:t xml:space="preserve"> </w:t>
      </w:r>
      <w:r w:rsidRPr="00FC5E0A">
        <w:rPr>
          <w:szCs w:val="22"/>
        </w:rPr>
        <w:t>and (</w:t>
      </w:r>
      <w:r w:rsidR="00C040DB" w:rsidRPr="00FC5E0A">
        <w:rPr>
          <w:szCs w:val="22"/>
        </w:rPr>
        <w:t>b</w:t>
      </w:r>
      <w:r w:rsidRPr="00FC5E0A">
        <w:rPr>
          <w:szCs w:val="22"/>
        </w:rPr>
        <w:t>) VIFT</w:t>
      </w:r>
      <w:r w:rsidR="00C040DB" w:rsidRPr="00FC5E0A">
        <w:rPr>
          <w:szCs w:val="22"/>
        </w:rPr>
        <w:t xml:space="preserve"> </w:t>
      </w:r>
      <w:r w:rsidR="00BE0E0B" w:rsidRPr="00FC5E0A">
        <w:rPr>
          <w:szCs w:val="22"/>
        </w:rPr>
        <w:t>organization</w:t>
      </w:r>
      <w:r w:rsidR="009E3784" w:rsidRPr="00FC5E0A">
        <w:rPr>
          <w:szCs w:val="22"/>
        </w:rPr>
        <w:t xml:space="preserve"> &amp; </w:t>
      </w:r>
      <w:r w:rsidR="00C040DB" w:rsidRPr="00FC5E0A">
        <w:rPr>
          <w:szCs w:val="22"/>
        </w:rPr>
        <w:t>implementatio</w:t>
      </w:r>
      <w:r w:rsidR="00380C2C" w:rsidRPr="00FC5E0A">
        <w:rPr>
          <w:szCs w:val="22"/>
        </w:rPr>
        <w:t>n</w:t>
      </w:r>
      <w:r w:rsidRPr="00FC5E0A">
        <w:rPr>
          <w:szCs w:val="22"/>
        </w:rPr>
        <w:t xml:space="preserve">. </w:t>
      </w:r>
      <w:r w:rsidR="002329FC" w:rsidRPr="00FC5E0A">
        <w:rPr>
          <w:szCs w:val="22"/>
        </w:rPr>
        <w:t>Answers were given on</w:t>
      </w:r>
      <w:r w:rsidRPr="00FC5E0A">
        <w:rPr>
          <w:szCs w:val="22"/>
        </w:rPr>
        <w:t xml:space="preserve"> a Likert scale 1-5 (1=absolutely disagree and 5=absolutely agree)</w:t>
      </w:r>
      <w:r w:rsidR="00FD0231" w:rsidRPr="00FC5E0A">
        <w:rPr>
          <w:szCs w:val="22"/>
        </w:rPr>
        <w:t>.</w:t>
      </w:r>
    </w:p>
    <w:p w14:paraId="4764D2FF" w14:textId="77777777" w:rsidR="006B72C6" w:rsidRPr="00FC5E0A" w:rsidRDefault="006B72C6" w:rsidP="00FD0231">
      <w:pPr>
        <w:pStyle w:val="Articlenormaltext"/>
        <w:rPr>
          <w:szCs w:val="22"/>
        </w:rPr>
      </w:pPr>
    </w:p>
    <w:p w14:paraId="6104AFCB" w14:textId="77777777" w:rsidR="00815F5D" w:rsidRPr="00FC5E0A" w:rsidRDefault="00815F5D" w:rsidP="00FD0231">
      <w:pPr>
        <w:pStyle w:val="Articlenormaltext"/>
        <w:rPr>
          <w:szCs w:val="22"/>
        </w:rPr>
      </w:pPr>
    </w:p>
    <w:p w14:paraId="1BCB43B5" w14:textId="77777777" w:rsidR="00815F5D" w:rsidRPr="00FC5E0A" w:rsidRDefault="00815F5D" w:rsidP="00FD0231">
      <w:pPr>
        <w:pStyle w:val="Articlenormaltext"/>
        <w:rPr>
          <w:szCs w:val="22"/>
        </w:rPr>
      </w:pPr>
    </w:p>
    <w:p w14:paraId="4213496D" w14:textId="77777777" w:rsidR="00815F5D" w:rsidRPr="00FC5E0A" w:rsidRDefault="00815F5D" w:rsidP="00FD0231">
      <w:pPr>
        <w:pStyle w:val="Articlenormaltext"/>
        <w:rPr>
          <w:szCs w:val="22"/>
        </w:rPr>
      </w:pPr>
    </w:p>
    <w:p w14:paraId="5C623963" w14:textId="77777777" w:rsidR="00815F5D" w:rsidRPr="00FC5E0A" w:rsidRDefault="00815F5D" w:rsidP="00FD0231">
      <w:pPr>
        <w:pStyle w:val="Articlenormaltext"/>
        <w:rPr>
          <w:szCs w:val="22"/>
        </w:rPr>
      </w:pPr>
    </w:p>
    <w:tbl>
      <w:tblPr>
        <w:tblStyle w:val="a7"/>
        <w:tblpPr w:leftFromText="180" w:rightFromText="180" w:vertAnchor="text" w:tblpY="-750"/>
        <w:tblW w:w="8364" w:type="dxa"/>
        <w:tblBorders>
          <w:insideH w:val="none" w:sz="0" w:space="0" w:color="auto"/>
          <w:insideV w:val="none" w:sz="0" w:space="0" w:color="auto"/>
        </w:tblBorders>
        <w:tblLook w:val="04A0" w:firstRow="1" w:lastRow="0" w:firstColumn="1" w:lastColumn="0" w:noHBand="0" w:noVBand="1"/>
      </w:tblPr>
      <w:tblGrid>
        <w:gridCol w:w="884"/>
        <w:gridCol w:w="3099"/>
        <w:gridCol w:w="3106"/>
        <w:gridCol w:w="1275"/>
      </w:tblGrid>
      <w:tr w:rsidR="00FC5E0A" w:rsidRPr="00FC5E0A" w14:paraId="663B530A" w14:textId="77777777" w:rsidTr="00815F5D">
        <w:trPr>
          <w:trHeight w:val="514"/>
        </w:trPr>
        <w:tc>
          <w:tcPr>
            <w:tcW w:w="884" w:type="dxa"/>
            <w:tcBorders>
              <w:top w:val="single" w:sz="4" w:space="0" w:color="auto"/>
              <w:right w:val="single" w:sz="4" w:space="0" w:color="auto"/>
            </w:tcBorders>
            <w:vAlign w:val="center"/>
          </w:tcPr>
          <w:p w14:paraId="394814F0" w14:textId="77777777" w:rsidR="00815F5D" w:rsidRPr="00FC5E0A" w:rsidRDefault="00815F5D" w:rsidP="00815F5D">
            <w:pPr>
              <w:tabs>
                <w:tab w:val="left" w:pos="32"/>
              </w:tabs>
              <w:spacing w:line="259" w:lineRule="auto"/>
              <w:contextualSpacing/>
              <w:jc w:val="center"/>
              <w:rPr>
                <w:rFonts w:ascii="Times New Roman" w:hAnsi="Times New Roman"/>
                <w:b/>
                <w:bCs/>
                <w:sz w:val="20"/>
                <w:szCs w:val="20"/>
                <w:lang w:val="en-US"/>
              </w:rPr>
            </w:pPr>
            <w:bookmarkStart w:id="9" w:name="_Hlk182133420"/>
            <w:r w:rsidRPr="00FC5E0A">
              <w:rPr>
                <w:rFonts w:ascii="Times New Roman" w:hAnsi="Times New Roman"/>
                <w:b/>
                <w:bCs/>
                <w:sz w:val="20"/>
                <w:szCs w:val="20"/>
                <w:lang w:val="en-US"/>
              </w:rPr>
              <w:lastRenderedPageBreak/>
              <w:t xml:space="preserve">Salem’s </w:t>
            </w:r>
            <w:r w:rsidRPr="00FC5E0A">
              <w:rPr>
                <w:rFonts w:ascii="Times New Roman" w:hAnsi="Times New Roman"/>
                <w:b/>
                <w:bCs/>
                <w:i/>
                <w:sz w:val="20"/>
                <w:szCs w:val="20"/>
                <w:lang w:val="en-US"/>
              </w:rPr>
              <w:t>et al.</w:t>
            </w:r>
            <w:r w:rsidRPr="00FC5E0A">
              <w:rPr>
                <w:rFonts w:ascii="Times New Roman" w:hAnsi="Times New Roman"/>
                <w:b/>
                <w:bCs/>
                <w:sz w:val="20"/>
                <w:szCs w:val="20"/>
                <w:lang w:val="en-US"/>
              </w:rPr>
              <w:t xml:space="preserve"> [20] model</w:t>
            </w:r>
          </w:p>
        </w:tc>
        <w:tc>
          <w:tcPr>
            <w:tcW w:w="3099" w:type="dxa"/>
            <w:tcBorders>
              <w:top w:val="single" w:sz="4" w:space="0" w:color="auto"/>
              <w:right w:val="single" w:sz="4" w:space="0" w:color="auto"/>
            </w:tcBorders>
            <w:vAlign w:val="center"/>
          </w:tcPr>
          <w:p w14:paraId="1D581EFF" w14:textId="77777777" w:rsidR="00815F5D" w:rsidRPr="00FC5E0A" w:rsidRDefault="00815F5D" w:rsidP="00815F5D">
            <w:pPr>
              <w:tabs>
                <w:tab w:val="left" w:pos="32"/>
              </w:tabs>
              <w:spacing w:after="160" w:line="259" w:lineRule="auto"/>
              <w:contextualSpacing/>
              <w:jc w:val="center"/>
              <w:rPr>
                <w:rFonts w:ascii="Times New Roman" w:hAnsi="Times New Roman"/>
                <w:b/>
                <w:bCs/>
                <w:sz w:val="20"/>
                <w:szCs w:val="20"/>
                <w:lang w:val="en-US"/>
              </w:rPr>
            </w:pPr>
            <w:r w:rsidRPr="00FC5E0A">
              <w:rPr>
                <w:rFonts w:ascii="Times New Roman" w:hAnsi="Times New Roman"/>
                <w:b/>
                <w:bCs/>
                <w:sz w:val="20"/>
                <w:szCs w:val="20"/>
                <w:lang w:val="en-US"/>
              </w:rPr>
              <w:t>Sport event management educational scenarios vested to SG Top Eleven</w:t>
            </w:r>
          </w:p>
        </w:tc>
        <w:tc>
          <w:tcPr>
            <w:tcW w:w="3106" w:type="dxa"/>
            <w:tcBorders>
              <w:top w:val="single" w:sz="4" w:space="0" w:color="auto"/>
              <w:left w:val="single" w:sz="4" w:space="0" w:color="auto"/>
              <w:right w:val="single" w:sz="4" w:space="0" w:color="auto"/>
            </w:tcBorders>
            <w:vAlign w:val="center"/>
          </w:tcPr>
          <w:p w14:paraId="58A9CE03" w14:textId="77777777" w:rsidR="00815F5D" w:rsidRPr="00FC5E0A" w:rsidRDefault="00815F5D" w:rsidP="00815F5D">
            <w:pPr>
              <w:spacing w:after="160" w:line="259" w:lineRule="auto"/>
              <w:contextualSpacing/>
              <w:jc w:val="center"/>
              <w:rPr>
                <w:rFonts w:ascii="Times New Roman" w:hAnsi="Times New Roman"/>
                <w:b/>
                <w:bCs/>
                <w:sz w:val="20"/>
                <w:szCs w:val="20"/>
                <w:lang w:val="en-US"/>
              </w:rPr>
            </w:pPr>
          </w:p>
          <w:p w14:paraId="05513DD5" w14:textId="77777777" w:rsidR="00815F5D" w:rsidRPr="00FC5E0A" w:rsidRDefault="00815F5D" w:rsidP="00815F5D">
            <w:pPr>
              <w:spacing w:after="160" w:line="259" w:lineRule="auto"/>
              <w:contextualSpacing/>
              <w:jc w:val="center"/>
              <w:rPr>
                <w:rFonts w:ascii="Times New Roman" w:hAnsi="Times New Roman"/>
                <w:b/>
                <w:bCs/>
                <w:sz w:val="20"/>
                <w:szCs w:val="20"/>
                <w:lang w:val="en-US"/>
              </w:rPr>
            </w:pPr>
            <w:r w:rsidRPr="00FC5E0A">
              <w:rPr>
                <w:rFonts w:ascii="Times New Roman" w:hAnsi="Times New Roman"/>
                <w:b/>
                <w:bCs/>
                <w:sz w:val="20"/>
                <w:szCs w:val="20"/>
              </w:rPr>
              <w:t xml:space="preserve">Educational </w:t>
            </w:r>
            <w:r w:rsidRPr="00FC5E0A">
              <w:rPr>
                <w:rFonts w:ascii="Times New Roman" w:hAnsi="Times New Roman"/>
                <w:b/>
                <w:bCs/>
                <w:sz w:val="20"/>
                <w:szCs w:val="20"/>
                <w:lang w:val="en-US"/>
              </w:rPr>
              <w:t>objectives/skills</w:t>
            </w:r>
          </w:p>
        </w:tc>
        <w:tc>
          <w:tcPr>
            <w:tcW w:w="1275" w:type="dxa"/>
            <w:tcBorders>
              <w:top w:val="single" w:sz="4" w:space="0" w:color="auto"/>
              <w:left w:val="single" w:sz="4" w:space="0" w:color="auto"/>
              <w:bottom w:val="single" w:sz="4" w:space="0" w:color="auto"/>
            </w:tcBorders>
            <w:vAlign w:val="center"/>
          </w:tcPr>
          <w:p w14:paraId="18BDC7B5" w14:textId="77777777" w:rsidR="00815F5D" w:rsidRPr="00FC5E0A" w:rsidRDefault="00815F5D" w:rsidP="00815F5D">
            <w:pPr>
              <w:spacing w:line="259" w:lineRule="auto"/>
              <w:jc w:val="center"/>
              <w:rPr>
                <w:rFonts w:ascii="Times New Roman" w:hAnsi="Times New Roman"/>
                <w:b/>
                <w:bCs/>
                <w:sz w:val="20"/>
                <w:szCs w:val="20"/>
                <w:lang w:val="en-US"/>
              </w:rPr>
            </w:pPr>
            <w:r w:rsidRPr="00FC5E0A">
              <w:rPr>
                <w:rFonts w:ascii="Times New Roman" w:hAnsi="Times New Roman"/>
                <w:b/>
                <w:bCs/>
                <w:sz w:val="20"/>
                <w:szCs w:val="20"/>
                <w:lang w:val="en-US"/>
              </w:rPr>
              <w:t>Instructor’s</w:t>
            </w:r>
          </w:p>
          <w:p w14:paraId="43A32E7D" w14:textId="77777777" w:rsidR="00815F5D" w:rsidRPr="00FC5E0A" w:rsidRDefault="00815F5D" w:rsidP="00815F5D">
            <w:pPr>
              <w:spacing w:line="259" w:lineRule="auto"/>
              <w:jc w:val="center"/>
              <w:rPr>
                <w:rFonts w:ascii="Times New Roman" w:hAnsi="Times New Roman"/>
                <w:sz w:val="20"/>
                <w:szCs w:val="20"/>
                <w:lang w:val="en-US"/>
              </w:rPr>
            </w:pPr>
            <w:r w:rsidRPr="00FC5E0A">
              <w:rPr>
                <w:rFonts w:ascii="Times New Roman" w:hAnsi="Times New Roman"/>
                <w:b/>
                <w:bCs/>
                <w:sz w:val="20"/>
                <w:szCs w:val="20"/>
                <w:lang w:val="en-US"/>
              </w:rPr>
              <w:t>evaluation</w:t>
            </w:r>
            <w:r w:rsidRPr="00FC5E0A" w:rsidDel="00A116E4">
              <w:rPr>
                <w:rFonts w:ascii="Times New Roman" w:hAnsi="Times New Roman"/>
                <w:b/>
                <w:bCs/>
                <w:sz w:val="20"/>
                <w:szCs w:val="20"/>
                <w:lang w:val="en-US"/>
              </w:rPr>
              <w:t xml:space="preserve"> </w:t>
            </w:r>
            <w:r w:rsidRPr="00FC5E0A">
              <w:rPr>
                <w:rFonts w:ascii="Times New Roman" w:hAnsi="Times New Roman"/>
                <w:sz w:val="20"/>
                <w:szCs w:val="20"/>
                <w:lang w:val="en-US"/>
              </w:rPr>
              <w:t>mean score (M)</w:t>
            </w:r>
          </w:p>
        </w:tc>
      </w:tr>
      <w:tr w:rsidR="00FC5E0A" w:rsidRPr="00FC5E0A" w14:paraId="5C8ECD86" w14:textId="77777777" w:rsidTr="00815F5D">
        <w:tc>
          <w:tcPr>
            <w:tcW w:w="884" w:type="dxa"/>
            <w:vMerge w:val="restart"/>
            <w:tcBorders>
              <w:top w:val="single" w:sz="4" w:space="0" w:color="auto"/>
              <w:right w:val="single" w:sz="4" w:space="0" w:color="auto"/>
            </w:tcBorders>
            <w:textDirection w:val="btLr"/>
            <w:vAlign w:val="center"/>
          </w:tcPr>
          <w:p w14:paraId="0CED9A7A" w14:textId="77777777" w:rsidR="00815F5D" w:rsidRPr="00FC5E0A" w:rsidRDefault="00815F5D" w:rsidP="00815F5D">
            <w:pPr>
              <w:tabs>
                <w:tab w:val="left" w:pos="316"/>
                <w:tab w:val="left" w:pos="458"/>
              </w:tabs>
              <w:spacing w:line="259" w:lineRule="auto"/>
              <w:ind w:left="360"/>
              <w:jc w:val="center"/>
              <w:rPr>
                <w:rFonts w:ascii="Times New Roman" w:hAnsi="Times New Roman"/>
                <w:b/>
                <w:bCs/>
                <w:sz w:val="20"/>
                <w:szCs w:val="20"/>
                <w:lang w:val="en-US"/>
              </w:rPr>
            </w:pPr>
            <w:r w:rsidRPr="00FC5E0A">
              <w:rPr>
                <w:rFonts w:ascii="Times New Roman" w:hAnsi="Times New Roman"/>
                <w:b/>
                <w:bCs/>
                <w:sz w:val="20"/>
                <w:szCs w:val="20"/>
                <w:lang w:val="en-US"/>
              </w:rPr>
              <w:t>DECISION</w:t>
            </w:r>
          </w:p>
        </w:tc>
        <w:tc>
          <w:tcPr>
            <w:tcW w:w="3099" w:type="dxa"/>
            <w:tcBorders>
              <w:top w:val="single" w:sz="4" w:space="0" w:color="auto"/>
              <w:bottom w:val="single" w:sz="4" w:space="0" w:color="auto"/>
              <w:right w:val="single" w:sz="4" w:space="0" w:color="auto"/>
            </w:tcBorders>
            <w:vAlign w:val="center"/>
          </w:tcPr>
          <w:p w14:paraId="124BE6C2" w14:textId="77777777" w:rsidR="00815F5D" w:rsidRPr="00FC5E0A" w:rsidRDefault="00815F5D" w:rsidP="00815F5D">
            <w:pPr>
              <w:pStyle w:val="ac"/>
              <w:numPr>
                <w:ilvl w:val="0"/>
                <w:numId w:val="12"/>
              </w:numPr>
              <w:tabs>
                <w:tab w:val="left" w:pos="316"/>
                <w:tab w:val="left" w:pos="458"/>
              </w:tabs>
              <w:spacing w:after="0"/>
              <w:ind w:left="357" w:hanging="284"/>
              <w:rPr>
                <w:rFonts w:ascii="Times New Roman" w:hAnsi="Times New Roman" w:cs="Times New Roman"/>
                <w:sz w:val="20"/>
                <w:szCs w:val="20"/>
                <w:lang w:val="en-US"/>
              </w:rPr>
            </w:pPr>
            <w:r w:rsidRPr="00FC5E0A">
              <w:rPr>
                <w:rFonts w:ascii="Times New Roman" w:hAnsi="Times New Roman" w:cs="Times New Roman"/>
                <w:sz w:val="20"/>
                <w:szCs w:val="20"/>
                <w:lang w:val="en-US"/>
              </w:rPr>
              <w:t>The OC members create the event’s organization chart.</w:t>
            </w:r>
          </w:p>
        </w:tc>
        <w:tc>
          <w:tcPr>
            <w:tcW w:w="3106" w:type="dxa"/>
            <w:tcBorders>
              <w:top w:val="single" w:sz="4" w:space="0" w:color="auto"/>
              <w:left w:val="single" w:sz="4" w:space="0" w:color="auto"/>
              <w:bottom w:val="single" w:sz="4" w:space="0" w:color="auto"/>
            </w:tcBorders>
            <w:vAlign w:val="center"/>
          </w:tcPr>
          <w:p w14:paraId="04E048F1" w14:textId="77777777" w:rsidR="00815F5D" w:rsidRPr="00FC5E0A" w:rsidRDefault="00815F5D" w:rsidP="00815F5D">
            <w:pPr>
              <w:spacing w:after="160" w:line="259" w:lineRule="auto"/>
              <w:contextualSpacing/>
              <w:rPr>
                <w:rFonts w:ascii="Times New Roman" w:hAnsi="Times New Roman"/>
                <w:sz w:val="20"/>
                <w:szCs w:val="20"/>
                <w:lang w:val="en-US"/>
              </w:rPr>
            </w:pPr>
            <w:r w:rsidRPr="00FC5E0A">
              <w:rPr>
                <w:rFonts w:ascii="Times New Roman" w:hAnsi="Times New Roman"/>
                <w:sz w:val="20"/>
                <w:szCs w:val="20"/>
                <w:lang w:val="en-US"/>
              </w:rPr>
              <w:t xml:space="preserve">Students learn how to create an event organization chart by using office software. </w:t>
            </w:r>
          </w:p>
        </w:tc>
        <w:tc>
          <w:tcPr>
            <w:tcW w:w="1275" w:type="dxa"/>
            <w:tcBorders>
              <w:top w:val="single" w:sz="4" w:space="0" w:color="auto"/>
              <w:left w:val="single" w:sz="4" w:space="0" w:color="auto"/>
              <w:bottom w:val="single" w:sz="4" w:space="0" w:color="auto"/>
            </w:tcBorders>
            <w:vAlign w:val="center"/>
          </w:tcPr>
          <w:p w14:paraId="2B5AFC53" w14:textId="77777777" w:rsidR="00815F5D" w:rsidRPr="00FC5E0A" w:rsidRDefault="00815F5D" w:rsidP="00815F5D">
            <w:pPr>
              <w:spacing w:line="259" w:lineRule="auto"/>
              <w:contextualSpacing/>
              <w:rPr>
                <w:rFonts w:ascii="Times New Roman" w:hAnsi="Times New Roman"/>
                <w:sz w:val="20"/>
                <w:szCs w:val="20"/>
              </w:rPr>
            </w:pPr>
            <w:r w:rsidRPr="00FC5E0A">
              <w:rPr>
                <w:rFonts w:ascii="Times New Roman" w:hAnsi="Times New Roman"/>
                <w:sz w:val="20"/>
                <w:szCs w:val="20"/>
              </w:rPr>
              <w:t>7.85</w:t>
            </w:r>
          </w:p>
        </w:tc>
      </w:tr>
      <w:tr w:rsidR="00FC5E0A" w:rsidRPr="00FC5E0A" w14:paraId="6E3F10B9" w14:textId="77777777" w:rsidTr="00815F5D">
        <w:tc>
          <w:tcPr>
            <w:tcW w:w="884" w:type="dxa"/>
            <w:vMerge/>
            <w:tcBorders>
              <w:bottom w:val="single" w:sz="4" w:space="0" w:color="auto"/>
              <w:right w:val="single" w:sz="4" w:space="0" w:color="auto"/>
            </w:tcBorders>
            <w:vAlign w:val="center"/>
          </w:tcPr>
          <w:p w14:paraId="6D6F718F" w14:textId="77777777" w:rsidR="00815F5D" w:rsidRPr="00FC5E0A" w:rsidRDefault="00815F5D" w:rsidP="00815F5D">
            <w:pPr>
              <w:tabs>
                <w:tab w:val="left" w:pos="32"/>
              </w:tabs>
              <w:spacing w:line="259" w:lineRule="auto"/>
              <w:ind w:left="360"/>
              <w:jc w:val="center"/>
              <w:rPr>
                <w:rFonts w:ascii="Times New Roman" w:hAnsi="Times New Roman"/>
                <w:b/>
                <w:bCs/>
                <w:sz w:val="20"/>
                <w:szCs w:val="20"/>
                <w:lang w:val="en-US"/>
              </w:rPr>
            </w:pPr>
          </w:p>
        </w:tc>
        <w:tc>
          <w:tcPr>
            <w:tcW w:w="3099" w:type="dxa"/>
            <w:tcBorders>
              <w:top w:val="single" w:sz="4" w:space="0" w:color="auto"/>
              <w:bottom w:val="single" w:sz="4" w:space="0" w:color="auto"/>
              <w:right w:val="single" w:sz="4" w:space="0" w:color="auto"/>
            </w:tcBorders>
            <w:vAlign w:val="center"/>
          </w:tcPr>
          <w:p w14:paraId="676459A8" w14:textId="77777777" w:rsidR="00815F5D" w:rsidRPr="00FC5E0A" w:rsidRDefault="00815F5D" w:rsidP="00815F5D">
            <w:pPr>
              <w:pStyle w:val="ac"/>
              <w:numPr>
                <w:ilvl w:val="0"/>
                <w:numId w:val="12"/>
              </w:numPr>
              <w:tabs>
                <w:tab w:val="left" w:pos="32"/>
              </w:tabs>
              <w:spacing w:after="0"/>
              <w:ind w:left="357" w:hanging="284"/>
              <w:rPr>
                <w:rFonts w:ascii="Times New Roman" w:hAnsi="Times New Roman" w:cs="Times New Roman"/>
                <w:sz w:val="20"/>
                <w:szCs w:val="20"/>
                <w:lang w:val="en-US"/>
              </w:rPr>
            </w:pPr>
            <w:r w:rsidRPr="00FC5E0A">
              <w:rPr>
                <w:rFonts w:ascii="Times New Roman" w:hAnsi="Times New Roman" w:cs="Times New Roman"/>
                <w:sz w:val="20"/>
                <w:szCs w:val="20"/>
                <w:lang w:val="en-US"/>
              </w:rPr>
              <w:t>The OC members create the project map of the event.</w:t>
            </w:r>
          </w:p>
        </w:tc>
        <w:tc>
          <w:tcPr>
            <w:tcW w:w="3106" w:type="dxa"/>
            <w:tcBorders>
              <w:top w:val="single" w:sz="4" w:space="0" w:color="auto"/>
              <w:left w:val="single" w:sz="4" w:space="0" w:color="auto"/>
              <w:bottom w:val="single" w:sz="4" w:space="0" w:color="auto"/>
            </w:tcBorders>
            <w:vAlign w:val="center"/>
          </w:tcPr>
          <w:p w14:paraId="0FD072A7" w14:textId="77777777" w:rsidR="00815F5D" w:rsidRPr="00FC5E0A" w:rsidRDefault="00815F5D" w:rsidP="00815F5D">
            <w:pPr>
              <w:spacing w:after="160" w:line="259" w:lineRule="auto"/>
              <w:contextualSpacing/>
              <w:rPr>
                <w:rFonts w:ascii="Times New Roman" w:hAnsi="Times New Roman"/>
                <w:sz w:val="20"/>
                <w:szCs w:val="20"/>
                <w:lang w:val="en-US"/>
              </w:rPr>
            </w:pPr>
            <w:r w:rsidRPr="00FC5E0A">
              <w:rPr>
                <w:rFonts w:ascii="Times New Roman" w:hAnsi="Times New Roman"/>
                <w:sz w:val="20"/>
                <w:szCs w:val="20"/>
                <w:lang w:val="en-US"/>
              </w:rPr>
              <w:t>Students learn how to create a project map by using office software</w:t>
            </w:r>
            <w:r w:rsidRPr="00FC5E0A" w:rsidDel="002540EE">
              <w:rPr>
                <w:rFonts w:ascii="Times New Roman" w:hAnsi="Times New Roman"/>
                <w:sz w:val="20"/>
                <w:szCs w:val="20"/>
                <w:lang w:val="en-US"/>
              </w:rPr>
              <w:t xml:space="preserve"> </w:t>
            </w:r>
            <w:r w:rsidRPr="00FC5E0A">
              <w:rPr>
                <w:rFonts w:ascii="Times New Roman" w:hAnsi="Times New Roman"/>
                <w:sz w:val="20"/>
                <w:szCs w:val="20"/>
                <w:lang w:val="en-US"/>
              </w:rPr>
              <w:t>(Word/Excel).</w:t>
            </w:r>
          </w:p>
        </w:tc>
        <w:tc>
          <w:tcPr>
            <w:tcW w:w="1275" w:type="dxa"/>
            <w:tcBorders>
              <w:top w:val="single" w:sz="4" w:space="0" w:color="auto"/>
              <w:left w:val="single" w:sz="4" w:space="0" w:color="auto"/>
              <w:bottom w:val="single" w:sz="4" w:space="0" w:color="auto"/>
            </w:tcBorders>
            <w:vAlign w:val="center"/>
          </w:tcPr>
          <w:p w14:paraId="4ACB245E" w14:textId="77777777" w:rsidR="00815F5D" w:rsidRPr="00FC5E0A" w:rsidRDefault="00815F5D" w:rsidP="00815F5D">
            <w:pPr>
              <w:spacing w:line="259" w:lineRule="auto"/>
              <w:contextualSpacing/>
              <w:rPr>
                <w:rFonts w:ascii="Times New Roman" w:hAnsi="Times New Roman"/>
                <w:sz w:val="20"/>
                <w:szCs w:val="20"/>
              </w:rPr>
            </w:pPr>
            <w:r w:rsidRPr="00FC5E0A">
              <w:rPr>
                <w:rFonts w:ascii="Times New Roman" w:hAnsi="Times New Roman"/>
                <w:sz w:val="20"/>
                <w:szCs w:val="20"/>
              </w:rPr>
              <w:t>8.24</w:t>
            </w:r>
          </w:p>
        </w:tc>
      </w:tr>
      <w:tr w:rsidR="00FC5E0A" w:rsidRPr="00FC5E0A" w14:paraId="3B7EE053" w14:textId="77777777" w:rsidTr="00815F5D">
        <w:tc>
          <w:tcPr>
            <w:tcW w:w="884" w:type="dxa"/>
            <w:vMerge w:val="restart"/>
            <w:tcBorders>
              <w:top w:val="single" w:sz="4" w:space="0" w:color="auto"/>
              <w:right w:val="single" w:sz="4" w:space="0" w:color="auto"/>
            </w:tcBorders>
            <w:textDirection w:val="btLr"/>
            <w:vAlign w:val="center"/>
          </w:tcPr>
          <w:p w14:paraId="04717C9A" w14:textId="77777777" w:rsidR="00815F5D" w:rsidRPr="00FC5E0A" w:rsidRDefault="00815F5D" w:rsidP="00815F5D">
            <w:pPr>
              <w:tabs>
                <w:tab w:val="left" w:pos="32"/>
              </w:tabs>
              <w:spacing w:line="259" w:lineRule="auto"/>
              <w:ind w:left="360"/>
              <w:jc w:val="center"/>
              <w:rPr>
                <w:rFonts w:ascii="Times New Roman" w:hAnsi="Times New Roman"/>
                <w:b/>
                <w:bCs/>
                <w:sz w:val="20"/>
                <w:szCs w:val="20"/>
                <w:lang w:val="en-US"/>
              </w:rPr>
            </w:pPr>
            <w:r w:rsidRPr="00FC5E0A">
              <w:rPr>
                <w:rFonts w:ascii="Times New Roman" w:hAnsi="Times New Roman"/>
                <w:b/>
                <w:bCs/>
                <w:sz w:val="20"/>
                <w:szCs w:val="20"/>
                <w:lang w:val="en-US"/>
              </w:rPr>
              <w:t>DETAILED PLANNING</w:t>
            </w:r>
          </w:p>
        </w:tc>
        <w:tc>
          <w:tcPr>
            <w:tcW w:w="3099" w:type="dxa"/>
            <w:tcBorders>
              <w:top w:val="single" w:sz="4" w:space="0" w:color="auto"/>
              <w:bottom w:val="single" w:sz="4" w:space="0" w:color="auto"/>
              <w:right w:val="single" w:sz="4" w:space="0" w:color="auto"/>
            </w:tcBorders>
            <w:vAlign w:val="center"/>
          </w:tcPr>
          <w:p w14:paraId="10C5C8EF" w14:textId="77777777" w:rsidR="00815F5D" w:rsidRPr="00FC5E0A" w:rsidRDefault="00815F5D" w:rsidP="00815F5D">
            <w:pPr>
              <w:pStyle w:val="ac"/>
              <w:numPr>
                <w:ilvl w:val="0"/>
                <w:numId w:val="12"/>
              </w:numPr>
              <w:tabs>
                <w:tab w:val="left" w:pos="32"/>
              </w:tabs>
              <w:spacing w:after="0"/>
              <w:ind w:left="357" w:hanging="284"/>
              <w:rPr>
                <w:rFonts w:ascii="Times New Roman" w:hAnsi="Times New Roman" w:cs="Times New Roman"/>
                <w:sz w:val="20"/>
                <w:szCs w:val="20"/>
                <w:lang w:val="en-US"/>
              </w:rPr>
            </w:pPr>
            <w:r w:rsidRPr="00FC5E0A">
              <w:rPr>
                <w:rFonts w:ascii="Times New Roman" w:hAnsi="Times New Roman" w:cs="Times New Roman"/>
                <w:sz w:val="20"/>
                <w:szCs w:val="20"/>
                <w:lang w:val="en-US"/>
              </w:rPr>
              <w:t>The OC members create a timetable of the event.</w:t>
            </w:r>
          </w:p>
        </w:tc>
        <w:tc>
          <w:tcPr>
            <w:tcW w:w="3106" w:type="dxa"/>
            <w:tcBorders>
              <w:top w:val="single" w:sz="4" w:space="0" w:color="auto"/>
              <w:left w:val="single" w:sz="4" w:space="0" w:color="auto"/>
              <w:bottom w:val="single" w:sz="4" w:space="0" w:color="auto"/>
            </w:tcBorders>
            <w:vAlign w:val="center"/>
          </w:tcPr>
          <w:p w14:paraId="0EBA3A04" w14:textId="77777777" w:rsidR="00815F5D" w:rsidRPr="00FC5E0A" w:rsidRDefault="00815F5D" w:rsidP="00815F5D">
            <w:pPr>
              <w:spacing w:after="160" w:line="259" w:lineRule="auto"/>
              <w:contextualSpacing/>
              <w:rPr>
                <w:rFonts w:ascii="Times New Roman" w:hAnsi="Times New Roman"/>
                <w:sz w:val="20"/>
                <w:szCs w:val="20"/>
                <w:lang w:val="en-US"/>
              </w:rPr>
            </w:pPr>
            <w:r w:rsidRPr="00FC5E0A">
              <w:rPr>
                <w:rFonts w:ascii="Times New Roman" w:hAnsi="Times New Roman"/>
                <w:sz w:val="20"/>
                <w:szCs w:val="20"/>
                <w:lang w:val="en-US"/>
              </w:rPr>
              <w:t>Students learn how to create a timetable by using office software</w:t>
            </w:r>
            <w:r w:rsidRPr="00FC5E0A" w:rsidDel="002540EE">
              <w:rPr>
                <w:rFonts w:ascii="Times New Roman" w:hAnsi="Times New Roman"/>
                <w:sz w:val="20"/>
                <w:szCs w:val="20"/>
                <w:lang w:val="en-US"/>
              </w:rPr>
              <w:t xml:space="preserve"> </w:t>
            </w:r>
            <w:r w:rsidRPr="00FC5E0A">
              <w:rPr>
                <w:rFonts w:ascii="Times New Roman" w:hAnsi="Times New Roman"/>
                <w:sz w:val="20"/>
                <w:szCs w:val="20"/>
                <w:lang w:val="en-US"/>
              </w:rPr>
              <w:t>(Excel).</w:t>
            </w:r>
          </w:p>
        </w:tc>
        <w:tc>
          <w:tcPr>
            <w:tcW w:w="1275" w:type="dxa"/>
            <w:tcBorders>
              <w:top w:val="single" w:sz="4" w:space="0" w:color="auto"/>
              <w:left w:val="single" w:sz="4" w:space="0" w:color="auto"/>
              <w:bottom w:val="single" w:sz="4" w:space="0" w:color="auto"/>
            </w:tcBorders>
            <w:vAlign w:val="center"/>
          </w:tcPr>
          <w:p w14:paraId="19505FFB" w14:textId="77777777" w:rsidR="00815F5D" w:rsidRPr="00FC5E0A" w:rsidRDefault="00815F5D" w:rsidP="00815F5D">
            <w:pPr>
              <w:spacing w:line="259" w:lineRule="auto"/>
              <w:contextualSpacing/>
              <w:rPr>
                <w:rFonts w:ascii="Times New Roman" w:hAnsi="Times New Roman"/>
                <w:sz w:val="20"/>
                <w:szCs w:val="20"/>
              </w:rPr>
            </w:pPr>
            <w:r w:rsidRPr="00FC5E0A">
              <w:rPr>
                <w:rFonts w:ascii="Times New Roman" w:hAnsi="Times New Roman"/>
                <w:sz w:val="20"/>
                <w:szCs w:val="20"/>
              </w:rPr>
              <w:t>7.05</w:t>
            </w:r>
          </w:p>
        </w:tc>
      </w:tr>
      <w:tr w:rsidR="00FC5E0A" w:rsidRPr="00FC5E0A" w14:paraId="26962FA7" w14:textId="77777777" w:rsidTr="00815F5D">
        <w:tc>
          <w:tcPr>
            <w:tcW w:w="884" w:type="dxa"/>
            <w:vMerge/>
            <w:tcBorders>
              <w:right w:val="single" w:sz="4" w:space="0" w:color="auto"/>
            </w:tcBorders>
          </w:tcPr>
          <w:p w14:paraId="0D709637" w14:textId="77777777" w:rsidR="00815F5D" w:rsidRPr="00FC5E0A" w:rsidRDefault="00815F5D" w:rsidP="00815F5D">
            <w:pPr>
              <w:tabs>
                <w:tab w:val="left" w:pos="32"/>
              </w:tabs>
              <w:spacing w:line="259" w:lineRule="auto"/>
              <w:ind w:left="360"/>
              <w:rPr>
                <w:rFonts w:ascii="Times New Roman" w:hAnsi="Times New Roman"/>
                <w:b/>
                <w:bCs/>
                <w:sz w:val="20"/>
                <w:szCs w:val="20"/>
                <w:lang w:val="en-US"/>
              </w:rPr>
            </w:pPr>
          </w:p>
        </w:tc>
        <w:tc>
          <w:tcPr>
            <w:tcW w:w="3099" w:type="dxa"/>
            <w:tcBorders>
              <w:top w:val="single" w:sz="4" w:space="0" w:color="auto"/>
              <w:bottom w:val="single" w:sz="4" w:space="0" w:color="auto"/>
              <w:right w:val="single" w:sz="4" w:space="0" w:color="auto"/>
            </w:tcBorders>
            <w:vAlign w:val="center"/>
          </w:tcPr>
          <w:p w14:paraId="333F6917" w14:textId="77777777" w:rsidR="00815F5D" w:rsidRPr="00FC5E0A" w:rsidRDefault="00815F5D" w:rsidP="00815F5D">
            <w:pPr>
              <w:pStyle w:val="ac"/>
              <w:numPr>
                <w:ilvl w:val="0"/>
                <w:numId w:val="12"/>
              </w:numPr>
              <w:tabs>
                <w:tab w:val="left" w:pos="32"/>
              </w:tabs>
              <w:spacing w:after="0"/>
              <w:ind w:left="357" w:hanging="284"/>
              <w:rPr>
                <w:rFonts w:ascii="Times New Roman" w:hAnsi="Times New Roman" w:cs="Times New Roman"/>
                <w:sz w:val="20"/>
                <w:szCs w:val="20"/>
                <w:lang w:val="en-US"/>
              </w:rPr>
            </w:pPr>
            <w:r w:rsidRPr="00FC5E0A">
              <w:rPr>
                <w:rFonts w:ascii="Times New Roman" w:hAnsi="Times New Roman" w:cs="Times New Roman"/>
                <w:sz w:val="20"/>
                <w:szCs w:val="20"/>
                <w:lang w:val="en-US"/>
              </w:rPr>
              <w:t>The OC members produce a Structured Task Analysis of the event.</w:t>
            </w:r>
          </w:p>
        </w:tc>
        <w:tc>
          <w:tcPr>
            <w:tcW w:w="3106" w:type="dxa"/>
            <w:tcBorders>
              <w:top w:val="single" w:sz="4" w:space="0" w:color="auto"/>
              <w:left w:val="single" w:sz="4" w:space="0" w:color="auto"/>
              <w:bottom w:val="single" w:sz="4" w:space="0" w:color="auto"/>
            </w:tcBorders>
            <w:vAlign w:val="center"/>
          </w:tcPr>
          <w:p w14:paraId="22AF582C" w14:textId="77777777" w:rsidR="00815F5D" w:rsidRPr="00FC5E0A" w:rsidRDefault="00815F5D" w:rsidP="00815F5D">
            <w:pPr>
              <w:spacing w:after="160" w:line="259" w:lineRule="auto"/>
              <w:contextualSpacing/>
              <w:rPr>
                <w:rFonts w:ascii="Times New Roman" w:hAnsi="Times New Roman"/>
                <w:sz w:val="20"/>
                <w:szCs w:val="20"/>
                <w:lang w:val="en-US"/>
              </w:rPr>
            </w:pPr>
            <w:r w:rsidRPr="00FC5E0A">
              <w:rPr>
                <w:rFonts w:ascii="Times New Roman" w:hAnsi="Times New Roman"/>
                <w:sz w:val="20"/>
                <w:szCs w:val="20"/>
                <w:lang w:val="en-US"/>
              </w:rPr>
              <w:t>Students learn how to create the Structured Task Analysis of a project (sport event) by using office software</w:t>
            </w:r>
            <w:r w:rsidRPr="00FC5E0A" w:rsidDel="002540EE">
              <w:rPr>
                <w:rFonts w:ascii="Times New Roman" w:hAnsi="Times New Roman"/>
                <w:sz w:val="20"/>
                <w:szCs w:val="20"/>
                <w:lang w:val="en-US"/>
              </w:rPr>
              <w:t xml:space="preserve"> </w:t>
            </w:r>
            <w:r w:rsidRPr="00FC5E0A">
              <w:rPr>
                <w:rFonts w:ascii="Times New Roman" w:hAnsi="Times New Roman"/>
                <w:sz w:val="20"/>
                <w:szCs w:val="20"/>
                <w:lang w:val="en-US"/>
              </w:rPr>
              <w:t>(Word/Excel).</w:t>
            </w:r>
          </w:p>
        </w:tc>
        <w:tc>
          <w:tcPr>
            <w:tcW w:w="1275" w:type="dxa"/>
            <w:tcBorders>
              <w:top w:val="single" w:sz="4" w:space="0" w:color="auto"/>
              <w:left w:val="single" w:sz="4" w:space="0" w:color="auto"/>
              <w:bottom w:val="single" w:sz="4" w:space="0" w:color="auto"/>
            </w:tcBorders>
            <w:vAlign w:val="center"/>
          </w:tcPr>
          <w:p w14:paraId="3BD64808" w14:textId="77777777" w:rsidR="00815F5D" w:rsidRPr="00FC5E0A" w:rsidRDefault="00815F5D" w:rsidP="00815F5D">
            <w:pPr>
              <w:spacing w:line="259" w:lineRule="auto"/>
              <w:contextualSpacing/>
              <w:rPr>
                <w:rFonts w:ascii="Times New Roman" w:hAnsi="Times New Roman"/>
                <w:sz w:val="20"/>
                <w:szCs w:val="20"/>
              </w:rPr>
            </w:pPr>
            <w:r w:rsidRPr="00FC5E0A">
              <w:rPr>
                <w:rFonts w:ascii="Times New Roman" w:hAnsi="Times New Roman"/>
                <w:sz w:val="20"/>
                <w:szCs w:val="20"/>
              </w:rPr>
              <w:t>7.43</w:t>
            </w:r>
          </w:p>
        </w:tc>
      </w:tr>
      <w:tr w:rsidR="00FC5E0A" w:rsidRPr="00FC5E0A" w14:paraId="02CF4845" w14:textId="77777777" w:rsidTr="00815F5D">
        <w:tc>
          <w:tcPr>
            <w:tcW w:w="884" w:type="dxa"/>
            <w:vMerge/>
            <w:tcBorders>
              <w:right w:val="single" w:sz="4" w:space="0" w:color="auto"/>
            </w:tcBorders>
          </w:tcPr>
          <w:p w14:paraId="6AAEDDDA" w14:textId="77777777" w:rsidR="00815F5D" w:rsidRPr="00FC5E0A" w:rsidRDefault="00815F5D" w:rsidP="00815F5D">
            <w:pPr>
              <w:tabs>
                <w:tab w:val="left" w:pos="32"/>
              </w:tabs>
              <w:spacing w:line="259" w:lineRule="auto"/>
              <w:ind w:left="360"/>
              <w:rPr>
                <w:rFonts w:ascii="Times New Roman" w:hAnsi="Times New Roman"/>
                <w:b/>
                <w:bCs/>
                <w:sz w:val="20"/>
                <w:szCs w:val="20"/>
                <w:lang w:val="en-US"/>
              </w:rPr>
            </w:pPr>
          </w:p>
        </w:tc>
        <w:tc>
          <w:tcPr>
            <w:tcW w:w="3099" w:type="dxa"/>
            <w:tcBorders>
              <w:top w:val="single" w:sz="4" w:space="0" w:color="auto"/>
              <w:bottom w:val="single" w:sz="4" w:space="0" w:color="auto"/>
              <w:right w:val="single" w:sz="4" w:space="0" w:color="auto"/>
            </w:tcBorders>
            <w:vAlign w:val="center"/>
          </w:tcPr>
          <w:p w14:paraId="5181D946" w14:textId="77777777" w:rsidR="00815F5D" w:rsidRPr="00FC5E0A" w:rsidRDefault="00815F5D" w:rsidP="00815F5D">
            <w:pPr>
              <w:pStyle w:val="ac"/>
              <w:numPr>
                <w:ilvl w:val="0"/>
                <w:numId w:val="12"/>
              </w:numPr>
              <w:tabs>
                <w:tab w:val="left" w:pos="32"/>
              </w:tabs>
              <w:spacing w:after="0"/>
              <w:ind w:left="357" w:hanging="284"/>
              <w:rPr>
                <w:rFonts w:ascii="Times New Roman" w:hAnsi="Times New Roman" w:cs="Times New Roman"/>
                <w:sz w:val="20"/>
                <w:szCs w:val="20"/>
                <w:lang w:val="en-US"/>
              </w:rPr>
            </w:pPr>
            <w:r w:rsidRPr="00FC5E0A">
              <w:rPr>
                <w:rFonts w:ascii="Times New Roman" w:hAnsi="Times New Roman" w:cs="Times New Roman"/>
                <w:sz w:val="20"/>
                <w:szCs w:val="20"/>
                <w:lang w:val="en-US"/>
              </w:rPr>
              <w:t>The OC create and distribute the event’s Registration Form for the participant teams.</w:t>
            </w:r>
          </w:p>
        </w:tc>
        <w:tc>
          <w:tcPr>
            <w:tcW w:w="3106" w:type="dxa"/>
            <w:tcBorders>
              <w:top w:val="single" w:sz="4" w:space="0" w:color="auto"/>
              <w:left w:val="single" w:sz="4" w:space="0" w:color="auto"/>
              <w:bottom w:val="single" w:sz="4" w:space="0" w:color="auto"/>
            </w:tcBorders>
            <w:vAlign w:val="center"/>
          </w:tcPr>
          <w:p w14:paraId="7D792D8A" w14:textId="77777777" w:rsidR="00815F5D" w:rsidRPr="00FC5E0A" w:rsidRDefault="00815F5D" w:rsidP="00815F5D">
            <w:pPr>
              <w:spacing w:after="160" w:line="259" w:lineRule="auto"/>
              <w:contextualSpacing/>
              <w:rPr>
                <w:rFonts w:ascii="Times New Roman" w:hAnsi="Times New Roman"/>
                <w:sz w:val="20"/>
                <w:szCs w:val="20"/>
                <w:lang w:val="en-US"/>
              </w:rPr>
            </w:pPr>
            <w:r w:rsidRPr="00FC5E0A">
              <w:rPr>
                <w:rFonts w:ascii="Times New Roman" w:hAnsi="Times New Roman"/>
                <w:sz w:val="20"/>
                <w:szCs w:val="20"/>
                <w:lang w:val="en-US"/>
              </w:rPr>
              <w:t>Students learn how to create an event’s Registration Form by using office software</w:t>
            </w:r>
            <w:r w:rsidRPr="00FC5E0A" w:rsidDel="002540EE">
              <w:rPr>
                <w:rFonts w:ascii="Times New Roman" w:hAnsi="Times New Roman"/>
                <w:sz w:val="20"/>
                <w:szCs w:val="20"/>
                <w:lang w:val="en-US"/>
              </w:rPr>
              <w:t xml:space="preserve"> </w:t>
            </w:r>
            <w:r w:rsidRPr="00FC5E0A">
              <w:rPr>
                <w:rFonts w:ascii="Times New Roman" w:hAnsi="Times New Roman"/>
                <w:sz w:val="20"/>
                <w:szCs w:val="20"/>
                <w:lang w:val="en-US"/>
              </w:rPr>
              <w:t>and registration applications (Word/Google Forms).</w:t>
            </w:r>
          </w:p>
        </w:tc>
        <w:tc>
          <w:tcPr>
            <w:tcW w:w="1275" w:type="dxa"/>
            <w:tcBorders>
              <w:top w:val="single" w:sz="4" w:space="0" w:color="auto"/>
              <w:left w:val="single" w:sz="4" w:space="0" w:color="auto"/>
              <w:bottom w:val="single" w:sz="4" w:space="0" w:color="auto"/>
            </w:tcBorders>
            <w:vAlign w:val="center"/>
          </w:tcPr>
          <w:p w14:paraId="2CD5028B" w14:textId="77777777" w:rsidR="00815F5D" w:rsidRPr="00FC5E0A" w:rsidRDefault="00815F5D" w:rsidP="00815F5D">
            <w:pPr>
              <w:spacing w:line="259" w:lineRule="auto"/>
              <w:contextualSpacing/>
              <w:rPr>
                <w:rFonts w:ascii="Times New Roman" w:hAnsi="Times New Roman"/>
                <w:sz w:val="20"/>
                <w:szCs w:val="20"/>
              </w:rPr>
            </w:pPr>
            <w:r w:rsidRPr="00FC5E0A">
              <w:rPr>
                <w:rFonts w:ascii="Times New Roman" w:hAnsi="Times New Roman"/>
                <w:sz w:val="20"/>
                <w:szCs w:val="20"/>
              </w:rPr>
              <w:t>8.32</w:t>
            </w:r>
          </w:p>
        </w:tc>
      </w:tr>
      <w:tr w:rsidR="00FC5E0A" w:rsidRPr="00FC5E0A" w14:paraId="3BEBD540" w14:textId="77777777" w:rsidTr="00815F5D">
        <w:tc>
          <w:tcPr>
            <w:tcW w:w="884" w:type="dxa"/>
            <w:vMerge/>
            <w:tcBorders>
              <w:right w:val="single" w:sz="4" w:space="0" w:color="auto"/>
            </w:tcBorders>
          </w:tcPr>
          <w:p w14:paraId="65143443" w14:textId="77777777" w:rsidR="00815F5D" w:rsidRPr="00FC5E0A" w:rsidRDefault="00815F5D" w:rsidP="00815F5D">
            <w:pPr>
              <w:tabs>
                <w:tab w:val="left" w:pos="32"/>
              </w:tabs>
              <w:spacing w:line="259" w:lineRule="auto"/>
              <w:ind w:left="360"/>
              <w:rPr>
                <w:rFonts w:ascii="Times New Roman" w:hAnsi="Times New Roman"/>
                <w:b/>
                <w:bCs/>
                <w:sz w:val="20"/>
                <w:szCs w:val="20"/>
                <w:lang w:val="en-US"/>
              </w:rPr>
            </w:pPr>
          </w:p>
        </w:tc>
        <w:tc>
          <w:tcPr>
            <w:tcW w:w="3099" w:type="dxa"/>
            <w:tcBorders>
              <w:top w:val="single" w:sz="4" w:space="0" w:color="auto"/>
              <w:bottom w:val="single" w:sz="4" w:space="0" w:color="auto"/>
              <w:right w:val="single" w:sz="4" w:space="0" w:color="auto"/>
            </w:tcBorders>
            <w:vAlign w:val="center"/>
          </w:tcPr>
          <w:p w14:paraId="5325ED32" w14:textId="77777777" w:rsidR="00815F5D" w:rsidRPr="00FC5E0A" w:rsidRDefault="00815F5D" w:rsidP="00815F5D">
            <w:pPr>
              <w:pStyle w:val="ac"/>
              <w:numPr>
                <w:ilvl w:val="0"/>
                <w:numId w:val="12"/>
              </w:numPr>
              <w:tabs>
                <w:tab w:val="left" w:pos="32"/>
              </w:tabs>
              <w:spacing w:after="0"/>
              <w:ind w:left="357" w:hanging="284"/>
              <w:rPr>
                <w:rFonts w:ascii="Times New Roman" w:hAnsi="Times New Roman" w:cs="Times New Roman"/>
                <w:sz w:val="20"/>
                <w:szCs w:val="20"/>
                <w:lang w:val="en-US"/>
              </w:rPr>
            </w:pPr>
            <w:r w:rsidRPr="00FC5E0A">
              <w:rPr>
                <w:rFonts w:ascii="Times New Roman" w:hAnsi="Times New Roman" w:cs="Times New Roman"/>
                <w:sz w:val="20"/>
                <w:szCs w:val="20"/>
                <w:lang w:val="en-US"/>
              </w:rPr>
              <w:t>The OC accepts the participating teams and proceeds on competition draws.</w:t>
            </w:r>
          </w:p>
        </w:tc>
        <w:tc>
          <w:tcPr>
            <w:tcW w:w="3106" w:type="dxa"/>
            <w:tcBorders>
              <w:top w:val="single" w:sz="4" w:space="0" w:color="auto"/>
              <w:left w:val="single" w:sz="4" w:space="0" w:color="auto"/>
              <w:bottom w:val="single" w:sz="4" w:space="0" w:color="auto"/>
            </w:tcBorders>
            <w:vAlign w:val="center"/>
          </w:tcPr>
          <w:p w14:paraId="7109757F" w14:textId="77777777" w:rsidR="00815F5D" w:rsidRPr="00FC5E0A" w:rsidRDefault="00815F5D" w:rsidP="00815F5D">
            <w:pPr>
              <w:spacing w:after="160" w:line="259" w:lineRule="auto"/>
              <w:contextualSpacing/>
              <w:rPr>
                <w:rFonts w:ascii="Times New Roman" w:hAnsi="Times New Roman"/>
                <w:sz w:val="20"/>
                <w:szCs w:val="20"/>
                <w:lang w:val="en-US"/>
              </w:rPr>
            </w:pPr>
            <w:r w:rsidRPr="00FC5E0A">
              <w:rPr>
                <w:rFonts w:ascii="Times New Roman" w:hAnsi="Times New Roman"/>
                <w:sz w:val="20"/>
                <w:szCs w:val="20"/>
                <w:lang w:val="en-US"/>
              </w:rPr>
              <w:t>Students learn how to proceed on competition draws by using office software</w:t>
            </w:r>
            <w:r w:rsidRPr="00FC5E0A" w:rsidDel="002540EE">
              <w:rPr>
                <w:rFonts w:ascii="Times New Roman" w:hAnsi="Times New Roman"/>
                <w:sz w:val="20"/>
                <w:szCs w:val="20"/>
                <w:lang w:val="en-US"/>
              </w:rPr>
              <w:t xml:space="preserve"> </w:t>
            </w:r>
            <w:r w:rsidRPr="00FC5E0A">
              <w:rPr>
                <w:rFonts w:ascii="Times New Roman" w:hAnsi="Times New Roman"/>
                <w:sz w:val="20"/>
                <w:szCs w:val="20"/>
                <w:lang w:val="en-US"/>
              </w:rPr>
              <w:t>and random number applications (Word/Excel/random.org).</w:t>
            </w:r>
          </w:p>
        </w:tc>
        <w:tc>
          <w:tcPr>
            <w:tcW w:w="1275" w:type="dxa"/>
            <w:tcBorders>
              <w:top w:val="single" w:sz="4" w:space="0" w:color="auto"/>
              <w:left w:val="single" w:sz="4" w:space="0" w:color="auto"/>
              <w:bottom w:val="single" w:sz="4" w:space="0" w:color="auto"/>
            </w:tcBorders>
            <w:vAlign w:val="center"/>
          </w:tcPr>
          <w:p w14:paraId="12ED7D47" w14:textId="77777777" w:rsidR="00815F5D" w:rsidRPr="00FC5E0A" w:rsidRDefault="00815F5D" w:rsidP="00815F5D">
            <w:pPr>
              <w:spacing w:line="259" w:lineRule="auto"/>
              <w:contextualSpacing/>
              <w:rPr>
                <w:rFonts w:ascii="Times New Roman" w:hAnsi="Times New Roman"/>
                <w:sz w:val="20"/>
                <w:szCs w:val="20"/>
              </w:rPr>
            </w:pPr>
            <w:r w:rsidRPr="00FC5E0A">
              <w:rPr>
                <w:rFonts w:ascii="Times New Roman" w:hAnsi="Times New Roman"/>
                <w:sz w:val="20"/>
                <w:szCs w:val="20"/>
              </w:rPr>
              <w:t>8.75</w:t>
            </w:r>
          </w:p>
        </w:tc>
      </w:tr>
      <w:tr w:rsidR="00FC5E0A" w:rsidRPr="00FC5E0A" w14:paraId="5B8ECEB0" w14:textId="77777777" w:rsidTr="00815F5D">
        <w:tc>
          <w:tcPr>
            <w:tcW w:w="884" w:type="dxa"/>
            <w:vMerge/>
            <w:tcBorders>
              <w:right w:val="single" w:sz="4" w:space="0" w:color="auto"/>
            </w:tcBorders>
          </w:tcPr>
          <w:p w14:paraId="6160C486" w14:textId="77777777" w:rsidR="00815F5D" w:rsidRPr="00FC5E0A" w:rsidRDefault="00815F5D" w:rsidP="00815F5D">
            <w:pPr>
              <w:tabs>
                <w:tab w:val="left" w:pos="32"/>
              </w:tabs>
              <w:spacing w:line="259" w:lineRule="auto"/>
              <w:ind w:left="360"/>
              <w:rPr>
                <w:rFonts w:ascii="Times New Roman" w:hAnsi="Times New Roman"/>
                <w:b/>
                <w:bCs/>
                <w:sz w:val="20"/>
                <w:szCs w:val="20"/>
                <w:lang w:val="en-US"/>
              </w:rPr>
            </w:pPr>
          </w:p>
        </w:tc>
        <w:tc>
          <w:tcPr>
            <w:tcW w:w="3099" w:type="dxa"/>
            <w:tcBorders>
              <w:top w:val="single" w:sz="4" w:space="0" w:color="auto"/>
              <w:bottom w:val="single" w:sz="4" w:space="0" w:color="auto"/>
              <w:right w:val="single" w:sz="4" w:space="0" w:color="auto"/>
            </w:tcBorders>
            <w:vAlign w:val="center"/>
          </w:tcPr>
          <w:p w14:paraId="5860456F" w14:textId="77777777" w:rsidR="00815F5D" w:rsidRPr="00FC5E0A" w:rsidRDefault="00815F5D" w:rsidP="00815F5D">
            <w:pPr>
              <w:pStyle w:val="ac"/>
              <w:numPr>
                <w:ilvl w:val="0"/>
                <w:numId w:val="12"/>
              </w:numPr>
              <w:tabs>
                <w:tab w:val="left" w:pos="32"/>
              </w:tabs>
              <w:spacing w:after="0"/>
              <w:ind w:left="357" w:hanging="284"/>
              <w:rPr>
                <w:rFonts w:ascii="Times New Roman" w:hAnsi="Times New Roman" w:cs="Times New Roman"/>
                <w:sz w:val="20"/>
                <w:szCs w:val="20"/>
                <w:lang w:val="en-US"/>
              </w:rPr>
            </w:pPr>
            <w:r w:rsidRPr="00FC5E0A">
              <w:rPr>
                <w:rFonts w:ascii="Times New Roman" w:hAnsi="Times New Roman" w:cs="Times New Roman"/>
                <w:sz w:val="20"/>
                <w:szCs w:val="20"/>
                <w:lang w:val="en-US"/>
              </w:rPr>
              <w:t>The OC divide the total number of the participating teams into groups of four and assign among its members the PM of each group to proceed with the Competition Schedule.</w:t>
            </w:r>
          </w:p>
        </w:tc>
        <w:tc>
          <w:tcPr>
            <w:tcW w:w="3106" w:type="dxa"/>
            <w:tcBorders>
              <w:top w:val="single" w:sz="4" w:space="0" w:color="auto"/>
              <w:left w:val="single" w:sz="4" w:space="0" w:color="auto"/>
              <w:bottom w:val="single" w:sz="4" w:space="0" w:color="auto"/>
            </w:tcBorders>
            <w:vAlign w:val="center"/>
          </w:tcPr>
          <w:p w14:paraId="00549DBA" w14:textId="77777777" w:rsidR="00815F5D" w:rsidRPr="00FC5E0A" w:rsidRDefault="00815F5D" w:rsidP="00815F5D">
            <w:pPr>
              <w:spacing w:after="160" w:line="259" w:lineRule="auto"/>
              <w:contextualSpacing/>
              <w:rPr>
                <w:rFonts w:ascii="Times New Roman" w:hAnsi="Times New Roman"/>
                <w:sz w:val="20"/>
                <w:szCs w:val="20"/>
                <w:lang w:val="en-US"/>
              </w:rPr>
            </w:pPr>
            <w:r w:rsidRPr="00FC5E0A">
              <w:rPr>
                <w:rFonts w:ascii="Times New Roman" w:hAnsi="Times New Roman"/>
                <w:sz w:val="20"/>
                <w:szCs w:val="20"/>
                <w:lang w:val="en-US"/>
              </w:rPr>
              <w:t>Students learn how to create Competition Schedule by using office software</w:t>
            </w:r>
            <w:r w:rsidRPr="00FC5E0A" w:rsidDel="002540EE">
              <w:rPr>
                <w:rFonts w:ascii="Times New Roman" w:hAnsi="Times New Roman"/>
                <w:sz w:val="20"/>
                <w:szCs w:val="20"/>
                <w:lang w:val="en-US"/>
              </w:rPr>
              <w:t xml:space="preserve"> </w:t>
            </w:r>
            <w:r w:rsidRPr="00FC5E0A">
              <w:rPr>
                <w:rFonts w:ascii="Times New Roman" w:hAnsi="Times New Roman"/>
                <w:sz w:val="20"/>
                <w:szCs w:val="20"/>
                <w:lang w:val="en-US"/>
              </w:rPr>
              <w:t>(Word/ Excel).</w:t>
            </w:r>
          </w:p>
        </w:tc>
        <w:tc>
          <w:tcPr>
            <w:tcW w:w="1275" w:type="dxa"/>
            <w:tcBorders>
              <w:top w:val="single" w:sz="4" w:space="0" w:color="auto"/>
              <w:left w:val="single" w:sz="4" w:space="0" w:color="auto"/>
              <w:bottom w:val="single" w:sz="4" w:space="0" w:color="auto"/>
            </w:tcBorders>
            <w:vAlign w:val="center"/>
          </w:tcPr>
          <w:p w14:paraId="49339959" w14:textId="77777777" w:rsidR="00815F5D" w:rsidRPr="00FC5E0A" w:rsidRDefault="00815F5D" w:rsidP="00815F5D">
            <w:pPr>
              <w:spacing w:line="259" w:lineRule="auto"/>
              <w:contextualSpacing/>
              <w:rPr>
                <w:rFonts w:ascii="Times New Roman" w:hAnsi="Times New Roman"/>
                <w:sz w:val="20"/>
                <w:szCs w:val="20"/>
              </w:rPr>
            </w:pPr>
            <w:r w:rsidRPr="00FC5E0A">
              <w:rPr>
                <w:rFonts w:ascii="Times New Roman" w:hAnsi="Times New Roman"/>
                <w:sz w:val="20"/>
                <w:szCs w:val="20"/>
              </w:rPr>
              <w:t>8.80</w:t>
            </w:r>
          </w:p>
        </w:tc>
      </w:tr>
      <w:tr w:rsidR="00FC5E0A" w:rsidRPr="00FC5E0A" w14:paraId="0C9986B5" w14:textId="77777777" w:rsidTr="00815F5D">
        <w:tc>
          <w:tcPr>
            <w:tcW w:w="884" w:type="dxa"/>
            <w:vMerge/>
            <w:tcBorders>
              <w:right w:val="single" w:sz="4" w:space="0" w:color="auto"/>
            </w:tcBorders>
          </w:tcPr>
          <w:p w14:paraId="109C189F" w14:textId="77777777" w:rsidR="00815F5D" w:rsidRPr="00FC5E0A" w:rsidRDefault="00815F5D" w:rsidP="00815F5D">
            <w:pPr>
              <w:tabs>
                <w:tab w:val="left" w:pos="32"/>
              </w:tabs>
              <w:spacing w:line="259" w:lineRule="auto"/>
              <w:ind w:left="360"/>
              <w:rPr>
                <w:rFonts w:ascii="Times New Roman" w:hAnsi="Times New Roman"/>
                <w:b/>
                <w:bCs/>
                <w:sz w:val="20"/>
                <w:szCs w:val="20"/>
                <w:lang w:val="en-US"/>
              </w:rPr>
            </w:pPr>
          </w:p>
        </w:tc>
        <w:tc>
          <w:tcPr>
            <w:tcW w:w="3099" w:type="dxa"/>
            <w:tcBorders>
              <w:top w:val="single" w:sz="4" w:space="0" w:color="auto"/>
              <w:bottom w:val="single" w:sz="4" w:space="0" w:color="auto"/>
              <w:right w:val="single" w:sz="4" w:space="0" w:color="auto"/>
            </w:tcBorders>
            <w:vAlign w:val="center"/>
          </w:tcPr>
          <w:p w14:paraId="4F6947B4" w14:textId="77777777" w:rsidR="00815F5D" w:rsidRPr="00FC5E0A" w:rsidRDefault="00815F5D" w:rsidP="00815F5D">
            <w:pPr>
              <w:pStyle w:val="ac"/>
              <w:numPr>
                <w:ilvl w:val="0"/>
                <w:numId w:val="12"/>
              </w:numPr>
              <w:tabs>
                <w:tab w:val="left" w:pos="32"/>
              </w:tabs>
              <w:spacing w:after="0"/>
              <w:ind w:left="357" w:hanging="284"/>
              <w:rPr>
                <w:rFonts w:ascii="Times New Roman" w:hAnsi="Times New Roman" w:cs="Times New Roman"/>
                <w:sz w:val="20"/>
                <w:szCs w:val="20"/>
                <w:lang w:val="en-US"/>
              </w:rPr>
            </w:pPr>
            <w:r w:rsidRPr="00FC5E0A">
              <w:rPr>
                <w:rFonts w:ascii="Times New Roman" w:hAnsi="Times New Roman" w:cs="Times New Roman"/>
                <w:sz w:val="20"/>
                <w:szCs w:val="20"/>
                <w:lang w:val="en-US"/>
              </w:rPr>
              <w:t>The PMs communicate with the participating teams’ managers.</w:t>
            </w:r>
          </w:p>
        </w:tc>
        <w:tc>
          <w:tcPr>
            <w:tcW w:w="3106" w:type="dxa"/>
            <w:tcBorders>
              <w:top w:val="single" w:sz="4" w:space="0" w:color="auto"/>
              <w:left w:val="single" w:sz="4" w:space="0" w:color="auto"/>
              <w:bottom w:val="single" w:sz="4" w:space="0" w:color="auto"/>
            </w:tcBorders>
            <w:vAlign w:val="center"/>
          </w:tcPr>
          <w:p w14:paraId="14F0AA39" w14:textId="77777777" w:rsidR="00815F5D" w:rsidRPr="00FC5E0A" w:rsidRDefault="00815F5D" w:rsidP="00815F5D">
            <w:pPr>
              <w:spacing w:after="160" w:line="259" w:lineRule="auto"/>
              <w:contextualSpacing/>
              <w:rPr>
                <w:rFonts w:ascii="Times New Roman" w:hAnsi="Times New Roman"/>
                <w:sz w:val="20"/>
                <w:szCs w:val="20"/>
                <w:lang w:val="en-US"/>
              </w:rPr>
            </w:pPr>
            <w:r w:rsidRPr="00FC5E0A">
              <w:rPr>
                <w:rFonts w:ascii="Times New Roman" w:hAnsi="Times New Roman"/>
                <w:sz w:val="20"/>
                <w:szCs w:val="20"/>
                <w:lang w:val="en-US"/>
              </w:rPr>
              <w:t>Students acquire communication skills as they communicate with the team managers as part of the implementation of the VIFT to invite the participating teams’ managers to attend the technical tournament’s meeting.</w:t>
            </w:r>
          </w:p>
        </w:tc>
        <w:tc>
          <w:tcPr>
            <w:tcW w:w="1275" w:type="dxa"/>
            <w:tcBorders>
              <w:top w:val="single" w:sz="4" w:space="0" w:color="auto"/>
              <w:left w:val="single" w:sz="4" w:space="0" w:color="auto"/>
              <w:bottom w:val="single" w:sz="4" w:space="0" w:color="auto"/>
            </w:tcBorders>
            <w:vAlign w:val="center"/>
          </w:tcPr>
          <w:p w14:paraId="6FBEFA69" w14:textId="77777777" w:rsidR="00815F5D" w:rsidRPr="00FC5E0A" w:rsidRDefault="00815F5D" w:rsidP="00815F5D">
            <w:pPr>
              <w:spacing w:line="259" w:lineRule="auto"/>
              <w:contextualSpacing/>
              <w:rPr>
                <w:rFonts w:ascii="Times New Roman" w:hAnsi="Times New Roman"/>
                <w:sz w:val="20"/>
                <w:szCs w:val="20"/>
              </w:rPr>
            </w:pPr>
            <w:r w:rsidRPr="00FC5E0A">
              <w:rPr>
                <w:rFonts w:ascii="Times New Roman" w:hAnsi="Times New Roman"/>
                <w:sz w:val="20"/>
                <w:szCs w:val="20"/>
              </w:rPr>
              <w:t>8.75</w:t>
            </w:r>
          </w:p>
        </w:tc>
      </w:tr>
      <w:tr w:rsidR="00FC5E0A" w:rsidRPr="00FC5E0A" w14:paraId="536E484F" w14:textId="77777777" w:rsidTr="00815F5D">
        <w:tc>
          <w:tcPr>
            <w:tcW w:w="884" w:type="dxa"/>
            <w:vMerge/>
            <w:tcBorders>
              <w:right w:val="single" w:sz="4" w:space="0" w:color="auto"/>
            </w:tcBorders>
          </w:tcPr>
          <w:p w14:paraId="78D18B44" w14:textId="77777777" w:rsidR="00815F5D" w:rsidRPr="00FC5E0A" w:rsidRDefault="00815F5D" w:rsidP="00815F5D">
            <w:pPr>
              <w:tabs>
                <w:tab w:val="left" w:pos="32"/>
              </w:tabs>
              <w:spacing w:line="259" w:lineRule="auto"/>
              <w:ind w:left="360"/>
              <w:rPr>
                <w:rFonts w:ascii="Times New Roman" w:hAnsi="Times New Roman"/>
                <w:b/>
                <w:bCs/>
                <w:sz w:val="20"/>
                <w:szCs w:val="20"/>
                <w:lang w:val="en-US"/>
              </w:rPr>
            </w:pPr>
          </w:p>
        </w:tc>
        <w:tc>
          <w:tcPr>
            <w:tcW w:w="3099" w:type="dxa"/>
            <w:tcBorders>
              <w:top w:val="single" w:sz="4" w:space="0" w:color="auto"/>
              <w:bottom w:val="single" w:sz="4" w:space="0" w:color="auto"/>
              <w:right w:val="single" w:sz="4" w:space="0" w:color="auto"/>
            </w:tcBorders>
            <w:vAlign w:val="center"/>
          </w:tcPr>
          <w:p w14:paraId="19D8B4C7" w14:textId="77777777" w:rsidR="00815F5D" w:rsidRPr="00FC5E0A" w:rsidRDefault="00815F5D" w:rsidP="00815F5D">
            <w:pPr>
              <w:pStyle w:val="ac"/>
              <w:numPr>
                <w:ilvl w:val="0"/>
                <w:numId w:val="12"/>
              </w:numPr>
              <w:tabs>
                <w:tab w:val="left" w:pos="32"/>
              </w:tabs>
              <w:spacing w:after="0"/>
              <w:ind w:left="357" w:hanging="284"/>
              <w:rPr>
                <w:rFonts w:ascii="Times New Roman" w:hAnsi="Times New Roman" w:cs="Times New Roman"/>
                <w:sz w:val="20"/>
                <w:szCs w:val="20"/>
                <w:lang w:val="en-US"/>
              </w:rPr>
            </w:pPr>
            <w:r w:rsidRPr="00FC5E0A">
              <w:rPr>
                <w:rFonts w:ascii="Times New Roman" w:hAnsi="Times New Roman" w:cs="Times New Roman"/>
                <w:sz w:val="20"/>
                <w:szCs w:val="20"/>
                <w:lang w:val="en-US"/>
              </w:rPr>
              <w:t>The PMs execute the VIFT’s technical meeting.</w:t>
            </w:r>
          </w:p>
        </w:tc>
        <w:tc>
          <w:tcPr>
            <w:tcW w:w="3106" w:type="dxa"/>
            <w:tcBorders>
              <w:top w:val="single" w:sz="4" w:space="0" w:color="auto"/>
              <w:left w:val="single" w:sz="4" w:space="0" w:color="auto"/>
              <w:bottom w:val="single" w:sz="4" w:space="0" w:color="auto"/>
            </w:tcBorders>
            <w:vAlign w:val="center"/>
          </w:tcPr>
          <w:p w14:paraId="299C008C" w14:textId="77777777" w:rsidR="00815F5D" w:rsidRPr="00FC5E0A" w:rsidRDefault="00815F5D" w:rsidP="00815F5D">
            <w:pPr>
              <w:spacing w:after="160" w:line="259" w:lineRule="auto"/>
              <w:contextualSpacing/>
              <w:rPr>
                <w:rFonts w:ascii="Times New Roman" w:hAnsi="Times New Roman"/>
                <w:sz w:val="20"/>
                <w:szCs w:val="20"/>
                <w:lang w:val="en-US"/>
              </w:rPr>
            </w:pPr>
            <w:r w:rsidRPr="00FC5E0A">
              <w:rPr>
                <w:rFonts w:ascii="Times New Roman" w:hAnsi="Times New Roman"/>
                <w:sz w:val="20"/>
                <w:szCs w:val="20"/>
                <w:lang w:val="en-US"/>
              </w:rPr>
              <w:t>Students develop communication skills as they communicate the participating teams’ managers for the technical meeting and provide them with the necessary competition information of the VIFT.</w:t>
            </w:r>
          </w:p>
        </w:tc>
        <w:tc>
          <w:tcPr>
            <w:tcW w:w="1275" w:type="dxa"/>
            <w:tcBorders>
              <w:top w:val="single" w:sz="4" w:space="0" w:color="auto"/>
              <w:left w:val="single" w:sz="4" w:space="0" w:color="auto"/>
              <w:bottom w:val="single" w:sz="4" w:space="0" w:color="auto"/>
            </w:tcBorders>
            <w:vAlign w:val="center"/>
          </w:tcPr>
          <w:p w14:paraId="60CDD4EC" w14:textId="77777777" w:rsidR="00815F5D" w:rsidRPr="00FC5E0A" w:rsidRDefault="00815F5D" w:rsidP="00815F5D">
            <w:pPr>
              <w:spacing w:line="259" w:lineRule="auto"/>
              <w:contextualSpacing/>
              <w:rPr>
                <w:rFonts w:ascii="Times New Roman" w:hAnsi="Times New Roman"/>
                <w:sz w:val="20"/>
                <w:szCs w:val="20"/>
              </w:rPr>
            </w:pPr>
            <w:r w:rsidRPr="00FC5E0A">
              <w:rPr>
                <w:rFonts w:ascii="Times New Roman" w:hAnsi="Times New Roman"/>
                <w:sz w:val="20"/>
                <w:szCs w:val="20"/>
              </w:rPr>
              <w:t>8.90</w:t>
            </w:r>
          </w:p>
        </w:tc>
      </w:tr>
      <w:tr w:rsidR="00FC5E0A" w:rsidRPr="00FC5E0A" w14:paraId="72FB7E30" w14:textId="77777777" w:rsidTr="00815F5D">
        <w:tc>
          <w:tcPr>
            <w:tcW w:w="884" w:type="dxa"/>
            <w:vMerge/>
            <w:tcBorders>
              <w:right w:val="single" w:sz="4" w:space="0" w:color="auto"/>
            </w:tcBorders>
          </w:tcPr>
          <w:p w14:paraId="48D8F217" w14:textId="77777777" w:rsidR="00815F5D" w:rsidRPr="00FC5E0A" w:rsidRDefault="00815F5D" w:rsidP="00815F5D">
            <w:pPr>
              <w:tabs>
                <w:tab w:val="left" w:pos="32"/>
              </w:tabs>
              <w:ind w:left="360"/>
              <w:rPr>
                <w:rFonts w:ascii="Times New Roman" w:hAnsi="Times New Roman"/>
                <w:b/>
                <w:bCs/>
                <w:sz w:val="20"/>
                <w:szCs w:val="20"/>
                <w:lang w:val="en-US"/>
              </w:rPr>
            </w:pPr>
          </w:p>
        </w:tc>
        <w:tc>
          <w:tcPr>
            <w:tcW w:w="3099" w:type="dxa"/>
            <w:tcBorders>
              <w:top w:val="single" w:sz="4" w:space="0" w:color="auto"/>
              <w:bottom w:val="single" w:sz="4" w:space="0" w:color="auto"/>
              <w:right w:val="single" w:sz="4" w:space="0" w:color="auto"/>
            </w:tcBorders>
            <w:vAlign w:val="center"/>
          </w:tcPr>
          <w:p w14:paraId="45CC2BB4" w14:textId="77777777" w:rsidR="00815F5D" w:rsidRPr="00FC5E0A" w:rsidRDefault="00815F5D" w:rsidP="00815F5D">
            <w:pPr>
              <w:pStyle w:val="ac"/>
              <w:numPr>
                <w:ilvl w:val="0"/>
                <w:numId w:val="12"/>
              </w:numPr>
              <w:tabs>
                <w:tab w:val="left" w:pos="32"/>
              </w:tabs>
              <w:spacing w:after="0" w:line="240" w:lineRule="auto"/>
              <w:ind w:left="357" w:hanging="284"/>
              <w:rPr>
                <w:rFonts w:ascii="Times New Roman" w:hAnsi="Times New Roman" w:cs="Times New Roman"/>
                <w:sz w:val="20"/>
                <w:szCs w:val="20"/>
                <w:lang w:val="en-US"/>
              </w:rPr>
            </w:pPr>
            <w:r w:rsidRPr="00FC5E0A">
              <w:rPr>
                <w:rFonts w:ascii="Times New Roman" w:hAnsi="Times New Roman" w:cs="Times New Roman"/>
                <w:sz w:val="20"/>
                <w:szCs w:val="20"/>
                <w:lang w:val="en-US"/>
              </w:rPr>
              <w:t xml:space="preserve">Development of the VIFT website </w:t>
            </w:r>
          </w:p>
        </w:tc>
        <w:tc>
          <w:tcPr>
            <w:tcW w:w="3106" w:type="dxa"/>
            <w:tcBorders>
              <w:top w:val="single" w:sz="4" w:space="0" w:color="auto"/>
              <w:left w:val="single" w:sz="4" w:space="0" w:color="auto"/>
              <w:bottom w:val="single" w:sz="4" w:space="0" w:color="auto"/>
            </w:tcBorders>
            <w:vAlign w:val="center"/>
          </w:tcPr>
          <w:p w14:paraId="44B57FF1" w14:textId="77777777" w:rsidR="00815F5D" w:rsidRPr="00FC5E0A" w:rsidRDefault="00815F5D" w:rsidP="00815F5D">
            <w:pPr>
              <w:contextualSpacing/>
              <w:rPr>
                <w:rFonts w:ascii="Times New Roman" w:hAnsi="Times New Roman"/>
                <w:sz w:val="20"/>
                <w:szCs w:val="20"/>
                <w:lang w:val="en-US"/>
              </w:rPr>
            </w:pPr>
            <w:r w:rsidRPr="00FC5E0A">
              <w:rPr>
                <w:rFonts w:ascii="Times New Roman" w:hAnsi="Times New Roman"/>
                <w:sz w:val="20"/>
                <w:szCs w:val="20"/>
                <w:lang w:val="en-US"/>
              </w:rPr>
              <w:t>Using open access platform, students learn how to prepare and publish a website</w:t>
            </w:r>
          </w:p>
        </w:tc>
        <w:tc>
          <w:tcPr>
            <w:tcW w:w="1275" w:type="dxa"/>
            <w:tcBorders>
              <w:top w:val="single" w:sz="4" w:space="0" w:color="auto"/>
              <w:left w:val="single" w:sz="4" w:space="0" w:color="auto"/>
              <w:bottom w:val="single" w:sz="4" w:space="0" w:color="auto"/>
            </w:tcBorders>
            <w:vAlign w:val="center"/>
          </w:tcPr>
          <w:p w14:paraId="01FA1B71" w14:textId="77777777" w:rsidR="00815F5D" w:rsidRPr="00FC5E0A" w:rsidRDefault="00815F5D" w:rsidP="00815F5D">
            <w:pPr>
              <w:contextualSpacing/>
              <w:rPr>
                <w:rFonts w:ascii="Times New Roman" w:hAnsi="Times New Roman"/>
                <w:sz w:val="20"/>
                <w:szCs w:val="20"/>
                <w:lang w:val="en-US"/>
              </w:rPr>
            </w:pPr>
            <w:r w:rsidRPr="00FC5E0A">
              <w:rPr>
                <w:rFonts w:ascii="Times New Roman" w:hAnsi="Times New Roman"/>
                <w:sz w:val="20"/>
                <w:szCs w:val="20"/>
                <w:lang w:val="en-US"/>
              </w:rPr>
              <w:t>8.74</w:t>
            </w:r>
          </w:p>
        </w:tc>
      </w:tr>
      <w:tr w:rsidR="00FC5E0A" w:rsidRPr="00FC5E0A" w14:paraId="284B8C6D" w14:textId="77777777" w:rsidTr="00815F5D">
        <w:tc>
          <w:tcPr>
            <w:tcW w:w="884" w:type="dxa"/>
            <w:vMerge/>
            <w:tcBorders>
              <w:bottom w:val="single" w:sz="4" w:space="0" w:color="auto"/>
              <w:right w:val="single" w:sz="4" w:space="0" w:color="auto"/>
            </w:tcBorders>
          </w:tcPr>
          <w:p w14:paraId="3524E3DD" w14:textId="77777777" w:rsidR="00815F5D" w:rsidRPr="00FC5E0A" w:rsidRDefault="00815F5D" w:rsidP="00815F5D">
            <w:pPr>
              <w:tabs>
                <w:tab w:val="left" w:pos="32"/>
              </w:tabs>
              <w:ind w:left="360"/>
              <w:rPr>
                <w:rFonts w:ascii="Times New Roman" w:hAnsi="Times New Roman"/>
                <w:b/>
                <w:bCs/>
                <w:sz w:val="20"/>
                <w:szCs w:val="20"/>
                <w:lang w:val="en-US"/>
              </w:rPr>
            </w:pPr>
          </w:p>
        </w:tc>
        <w:tc>
          <w:tcPr>
            <w:tcW w:w="3099" w:type="dxa"/>
            <w:tcBorders>
              <w:top w:val="single" w:sz="4" w:space="0" w:color="auto"/>
              <w:bottom w:val="single" w:sz="4" w:space="0" w:color="auto"/>
              <w:right w:val="single" w:sz="4" w:space="0" w:color="auto"/>
            </w:tcBorders>
            <w:vAlign w:val="center"/>
          </w:tcPr>
          <w:p w14:paraId="63465965" w14:textId="77777777" w:rsidR="00815F5D" w:rsidRPr="00FC5E0A" w:rsidRDefault="00815F5D" w:rsidP="00815F5D">
            <w:pPr>
              <w:pStyle w:val="ac"/>
              <w:numPr>
                <w:ilvl w:val="0"/>
                <w:numId w:val="12"/>
              </w:numPr>
              <w:tabs>
                <w:tab w:val="left" w:pos="32"/>
              </w:tabs>
              <w:spacing w:after="0" w:line="240" w:lineRule="auto"/>
              <w:ind w:left="357" w:hanging="284"/>
              <w:rPr>
                <w:rFonts w:ascii="Times New Roman" w:hAnsi="Times New Roman" w:cs="Times New Roman"/>
                <w:sz w:val="20"/>
                <w:szCs w:val="20"/>
                <w:lang w:val="en-US"/>
              </w:rPr>
            </w:pPr>
            <w:r w:rsidRPr="00FC5E0A">
              <w:rPr>
                <w:rFonts w:ascii="Times New Roman" w:hAnsi="Times New Roman" w:cs="Times New Roman"/>
                <w:sz w:val="20"/>
                <w:szCs w:val="20"/>
                <w:lang w:val="en-US"/>
              </w:rPr>
              <w:t>Preparation of sponsorship proposals</w:t>
            </w:r>
          </w:p>
        </w:tc>
        <w:tc>
          <w:tcPr>
            <w:tcW w:w="3106" w:type="dxa"/>
            <w:tcBorders>
              <w:top w:val="single" w:sz="4" w:space="0" w:color="auto"/>
              <w:left w:val="single" w:sz="4" w:space="0" w:color="auto"/>
              <w:bottom w:val="single" w:sz="4" w:space="0" w:color="auto"/>
            </w:tcBorders>
            <w:vAlign w:val="center"/>
          </w:tcPr>
          <w:p w14:paraId="1CE055CE" w14:textId="77777777" w:rsidR="00815F5D" w:rsidRPr="00FC5E0A" w:rsidRDefault="00815F5D" w:rsidP="00815F5D">
            <w:pPr>
              <w:contextualSpacing/>
              <w:rPr>
                <w:rFonts w:ascii="Times New Roman" w:hAnsi="Times New Roman"/>
                <w:sz w:val="20"/>
                <w:szCs w:val="20"/>
                <w:lang w:val="en-US"/>
              </w:rPr>
            </w:pPr>
            <w:r w:rsidRPr="00FC5E0A">
              <w:rPr>
                <w:rFonts w:ascii="Times New Roman" w:hAnsi="Times New Roman"/>
                <w:sz w:val="20"/>
                <w:szCs w:val="20"/>
                <w:lang w:val="en-US"/>
              </w:rPr>
              <w:t>Students educated on the planning process of a sponsoring program</w:t>
            </w:r>
          </w:p>
        </w:tc>
        <w:tc>
          <w:tcPr>
            <w:tcW w:w="1275" w:type="dxa"/>
            <w:tcBorders>
              <w:top w:val="single" w:sz="4" w:space="0" w:color="auto"/>
              <w:left w:val="single" w:sz="4" w:space="0" w:color="auto"/>
              <w:bottom w:val="single" w:sz="4" w:space="0" w:color="auto"/>
            </w:tcBorders>
            <w:vAlign w:val="center"/>
          </w:tcPr>
          <w:p w14:paraId="654878B4" w14:textId="77777777" w:rsidR="00815F5D" w:rsidRPr="00FC5E0A" w:rsidRDefault="00815F5D" w:rsidP="00815F5D">
            <w:pPr>
              <w:contextualSpacing/>
              <w:rPr>
                <w:rFonts w:ascii="Times New Roman" w:hAnsi="Times New Roman"/>
                <w:sz w:val="20"/>
                <w:szCs w:val="20"/>
                <w:lang w:val="en-US"/>
              </w:rPr>
            </w:pPr>
            <w:r w:rsidRPr="00FC5E0A">
              <w:rPr>
                <w:rFonts w:ascii="Times New Roman" w:hAnsi="Times New Roman"/>
                <w:sz w:val="20"/>
                <w:szCs w:val="20"/>
                <w:lang w:val="en-US"/>
              </w:rPr>
              <w:t>8.34</w:t>
            </w:r>
          </w:p>
        </w:tc>
      </w:tr>
      <w:tr w:rsidR="00FC5E0A" w:rsidRPr="00FC5E0A" w14:paraId="18DFF56F" w14:textId="77777777" w:rsidTr="00815F5D">
        <w:tc>
          <w:tcPr>
            <w:tcW w:w="884" w:type="dxa"/>
            <w:vMerge w:val="restart"/>
            <w:tcBorders>
              <w:top w:val="single" w:sz="4" w:space="0" w:color="auto"/>
              <w:right w:val="single" w:sz="4" w:space="0" w:color="auto"/>
            </w:tcBorders>
            <w:textDirection w:val="btLr"/>
            <w:vAlign w:val="center"/>
          </w:tcPr>
          <w:p w14:paraId="7556EED0" w14:textId="77777777" w:rsidR="00815F5D" w:rsidRPr="00FC5E0A" w:rsidRDefault="00815F5D" w:rsidP="00815F5D">
            <w:pPr>
              <w:tabs>
                <w:tab w:val="left" w:pos="32"/>
              </w:tabs>
              <w:spacing w:line="259" w:lineRule="auto"/>
              <w:ind w:left="360"/>
              <w:jc w:val="center"/>
              <w:rPr>
                <w:rFonts w:ascii="Times New Roman" w:hAnsi="Times New Roman"/>
                <w:b/>
                <w:bCs/>
                <w:sz w:val="20"/>
                <w:szCs w:val="20"/>
                <w:lang w:val="en-US"/>
              </w:rPr>
            </w:pPr>
            <w:r w:rsidRPr="00FC5E0A">
              <w:rPr>
                <w:rFonts w:ascii="Times New Roman" w:hAnsi="Times New Roman"/>
                <w:b/>
                <w:bCs/>
                <w:sz w:val="20"/>
                <w:szCs w:val="20"/>
                <w:lang w:val="en-US"/>
              </w:rPr>
              <w:t>IMPLEMENTATION</w:t>
            </w:r>
          </w:p>
          <w:p w14:paraId="23148AC4" w14:textId="77777777" w:rsidR="00815F5D" w:rsidRPr="00FC5E0A" w:rsidRDefault="00815F5D" w:rsidP="00815F5D">
            <w:pPr>
              <w:tabs>
                <w:tab w:val="left" w:pos="32"/>
              </w:tabs>
              <w:spacing w:line="259" w:lineRule="auto"/>
              <w:ind w:left="360"/>
              <w:jc w:val="center"/>
              <w:rPr>
                <w:rFonts w:ascii="Times New Roman" w:hAnsi="Times New Roman"/>
                <w:b/>
                <w:bCs/>
                <w:sz w:val="20"/>
                <w:szCs w:val="20"/>
                <w:lang w:val="en-US"/>
              </w:rPr>
            </w:pPr>
          </w:p>
        </w:tc>
        <w:tc>
          <w:tcPr>
            <w:tcW w:w="3099" w:type="dxa"/>
            <w:tcBorders>
              <w:top w:val="single" w:sz="4" w:space="0" w:color="auto"/>
              <w:bottom w:val="single" w:sz="4" w:space="0" w:color="auto"/>
              <w:right w:val="single" w:sz="4" w:space="0" w:color="auto"/>
            </w:tcBorders>
            <w:vAlign w:val="center"/>
          </w:tcPr>
          <w:p w14:paraId="661C3593" w14:textId="77777777" w:rsidR="00815F5D" w:rsidRPr="00FC5E0A" w:rsidRDefault="00815F5D" w:rsidP="00815F5D">
            <w:pPr>
              <w:pStyle w:val="ac"/>
              <w:numPr>
                <w:ilvl w:val="0"/>
                <w:numId w:val="12"/>
              </w:numPr>
              <w:tabs>
                <w:tab w:val="left" w:pos="32"/>
              </w:tabs>
              <w:spacing w:after="0"/>
              <w:ind w:left="357" w:hanging="284"/>
              <w:rPr>
                <w:rFonts w:ascii="Times New Roman" w:hAnsi="Times New Roman" w:cs="Times New Roman"/>
                <w:sz w:val="20"/>
                <w:szCs w:val="20"/>
                <w:lang w:val="en-US"/>
              </w:rPr>
            </w:pPr>
            <w:r w:rsidRPr="00FC5E0A">
              <w:rPr>
                <w:rFonts w:ascii="Times New Roman" w:hAnsi="Times New Roman" w:cs="Times New Roman"/>
                <w:sz w:val="20"/>
                <w:szCs w:val="20"/>
                <w:lang w:val="en-US"/>
              </w:rPr>
              <w:t>The PMs run the VIFT having the responsibility of problem solving.</w:t>
            </w:r>
          </w:p>
        </w:tc>
        <w:tc>
          <w:tcPr>
            <w:tcW w:w="3106" w:type="dxa"/>
            <w:tcBorders>
              <w:top w:val="single" w:sz="4" w:space="0" w:color="auto"/>
              <w:left w:val="single" w:sz="4" w:space="0" w:color="auto"/>
              <w:bottom w:val="single" w:sz="4" w:space="0" w:color="auto"/>
            </w:tcBorders>
            <w:vAlign w:val="center"/>
          </w:tcPr>
          <w:p w14:paraId="63404754" w14:textId="77777777" w:rsidR="00815F5D" w:rsidRPr="00FC5E0A" w:rsidRDefault="00815F5D" w:rsidP="00815F5D">
            <w:pPr>
              <w:spacing w:after="160" w:line="259" w:lineRule="auto"/>
              <w:contextualSpacing/>
              <w:rPr>
                <w:rFonts w:ascii="Times New Roman" w:hAnsi="Times New Roman"/>
                <w:sz w:val="20"/>
                <w:szCs w:val="20"/>
                <w:lang w:val="en-US"/>
              </w:rPr>
            </w:pPr>
            <w:r w:rsidRPr="00FC5E0A">
              <w:rPr>
                <w:rFonts w:ascii="Times New Roman" w:hAnsi="Times New Roman"/>
                <w:sz w:val="20"/>
                <w:szCs w:val="20"/>
                <w:lang w:val="en-US"/>
              </w:rPr>
              <w:t>Students learn to run the competition and deal with problems. This fact helps them to develop problem solving skills.</w:t>
            </w:r>
          </w:p>
        </w:tc>
        <w:tc>
          <w:tcPr>
            <w:tcW w:w="1275" w:type="dxa"/>
            <w:tcBorders>
              <w:top w:val="single" w:sz="4" w:space="0" w:color="auto"/>
              <w:left w:val="single" w:sz="4" w:space="0" w:color="auto"/>
              <w:bottom w:val="single" w:sz="4" w:space="0" w:color="auto"/>
            </w:tcBorders>
            <w:vAlign w:val="center"/>
          </w:tcPr>
          <w:p w14:paraId="33FD562E" w14:textId="77777777" w:rsidR="00815F5D" w:rsidRPr="00FC5E0A" w:rsidRDefault="00815F5D" w:rsidP="00815F5D">
            <w:pPr>
              <w:spacing w:line="259" w:lineRule="auto"/>
              <w:contextualSpacing/>
              <w:rPr>
                <w:rFonts w:ascii="Times New Roman" w:hAnsi="Times New Roman"/>
                <w:sz w:val="20"/>
                <w:szCs w:val="20"/>
                <w:lang w:val="en-US"/>
              </w:rPr>
            </w:pPr>
            <w:r w:rsidRPr="00FC5E0A">
              <w:rPr>
                <w:rFonts w:ascii="Times New Roman" w:hAnsi="Times New Roman"/>
                <w:sz w:val="20"/>
                <w:szCs w:val="20"/>
                <w:lang w:val="en-US"/>
              </w:rPr>
              <w:t>8.97</w:t>
            </w:r>
          </w:p>
        </w:tc>
      </w:tr>
      <w:tr w:rsidR="00FC5E0A" w:rsidRPr="00FC5E0A" w14:paraId="79165B4C" w14:textId="77777777" w:rsidTr="00815F5D">
        <w:tc>
          <w:tcPr>
            <w:tcW w:w="884" w:type="dxa"/>
            <w:vMerge/>
            <w:tcBorders>
              <w:right w:val="single" w:sz="4" w:space="0" w:color="auto"/>
            </w:tcBorders>
            <w:vAlign w:val="center"/>
          </w:tcPr>
          <w:p w14:paraId="62D76B2E" w14:textId="77777777" w:rsidR="00815F5D" w:rsidRPr="00FC5E0A" w:rsidRDefault="00815F5D" w:rsidP="00815F5D">
            <w:pPr>
              <w:tabs>
                <w:tab w:val="left" w:pos="32"/>
              </w:tabs>
              <w:spacing w:line="259" w:lineRule="auto"/>
              <w:ind w:left="360"/>
              <w:jc w:val="center"/>
              <w:rPr>
                <w:rFonts w:ascii="Times New Roman" w:hAnsi="Times New Roman"/>
                <w:sz w:val="20"/>
                <w:szCs w:val="20"/>
                <w:lang w:val="en-US"/>
              </w:rPr>
            </w:pPr>
          </w:p>
        </w:tc>
        <w:tc>
          <w:tcPr>
            <w:tcW w:w="3099" w:type="dxa"/>
            <w:tcBorders>
              <w:top w:val="single" w:sz="4" w:space="0" w:color="auto"/>
              <w:bottom w:val="single" w:sz="4" w:space="0" w:color="auto"/>
              <w:right w:val="single" w:sz="4" w:space="0" w:color="auto"/>
            </w:tcBorders>
            <w:vAlign w:val="center"/>
          </w:tcPr>
          <w:p w14:paraId="7D37A4F7" w14:textId="77777777" w:rsidR="00815F5D" w:rsidRPr="00FC5E0A" w:rsidRDefault="00815F5D" w:rsidP="00815F5D">
            <w:pPr>
              <w:pStyle w:val="ac"/>
              <w:numPr>
                <w:ilvl w:val="0"/>
                <w:numId w:val="12"/>
              </w:numPr>
              <w:tabs>
                <w:tab w:val="left" w:pos="32"/>
              </w:tabs>
              <w:spacing w:after="0"/>
              <w:ind w:left="357" w:hanging="284"/>
              <w:rPr>
                <w:rFonts w:ascii="Times New Roman" w:hAnsi="Times New Roman" w:cs="Times New Roman"/>
                <w:sz w:val="20"/>
                <w:szCs w:val="20"/>
                <w:lang w:val="en-US"/>
              </w:rPr>
            </w:pPr>
            <w:r w:rsidRPr="00FC5E0A">
              <w:rPr>
                <w:rFonts w:ascii="Times New Roman" w:hAnsi="Times New Roman" w:cs="Times New Roman"/>
                <w:sz w:val="20"/>
                <w:szCs w:val="20"/>
                <w:lang w:val="en-US"/>
              </w:rPr>
              <w:t>The PMs run the VIFT having the responsibility of decision taking.</w:t>
            </w:r>
          </w:p>
        </w:tc>
        <w:tc>
          <w:tcPr>
            <w:tcW w:w="3106" w:type="dxa"/>
            <w:tcBorders>
              <w:top w:val="single" w:sz="4" w:space="0" w:color="auto"/>
              <w:left w:val="single" w:sz="4" w:space="0" w:color="auto"/>
              <w:bottom w:val="single" w:sz="4" w:space="0" w:color="auto"/>
            </w:tcBorders>
            <w:vAlign w:val="center"/>
          </w:tcPr>
          <w:p w14:paraId="5AC08F17" w14:textId="77777777" w:rsidR="00815F5D" w:rsidRPr="00FC5E0A" w:rsidRDefault="00815F5D" w:rsidP="00815F5D">
            <w:pPr>
              <w:spacing w:line="259" w:lineRule="auto"/>
              <w:contextualSpacing/>
              <w:rPr>
                <w:rFonts w:ascii="Times New Roman" w:hAnsi="Times New Roman"/>
                <w:sz w:val="20"/>
                <w:szCs w:val="20"/>
                <w:lang w:val="en-US"/>
              </w:rPr>
            </w:pPr>
            <w:r w:rsidRPr="00FC5E0A">
              <w:rPr>
                <w:rFonts w:ascii="Times New Roman" w:hAnsi="Times New Roman"/>
                <w:sz w:val="20"/>
                <w:szCs w:val="20"/>
                <w:lang w:val="en-US"/>
              </w:rPr>
              <w:t xml:space="preserve">During the VIFT students had to deal with problems and take some </w:t>
            </w:r>
            <w:r w:rsidRPr="00FC5E0A">
              <w:rPr>
                <w:rFonts w:ascii="Times New Roman" w:hAnsi="Times New Roman"/>
                <w:sz w:val="20"/>
                <w:szCs w:val="20"/>
                <w:lang w:val="en-US"/>
              </w:rPr>
              <w:lastRenderedPageBreak/>
              <w:t>decisions. This fact helped them to develop decision making skills.</w:t>
            </w:r>
          </w:p>
        </w:tc>
        <w:tc>
          <w:tcPr>
            <w:tcW w:w="1275" w:type="dxa"/>
            <w:tcBorders>
              <w:top w:val="single" w:sz="4" w:space="0" w:color="auto"/>
              <w:left w:val="single" w:sz="4" w:space="0" w:color="auto"/>
              <w:bottom w:val="single" w:sz="4" w:space="0" w:color="auto"/>
            </w:tcBorders>
            <w:vAlign w:val="center"/>
          </w:tcPr>
          <w:p w14:paraId="283E4CD5" w14:textId="77777777" w:rsidR="00815F5D" w:rsidRPr="00FC5E0A" w:rsidRDefault="00815F5D" w:rsidP="00815F5D">
            <w:pPr>
              <w:spacing w:line="259" w:lineRule="auto"/>
              <w:contextualSpacing/>
              <w:rPr>
                <w:rFonts w:ascii="Times New Roman" w:hAnsi="Times New Roman"/>
                <w:sz w:val="20"/>
                <w:szCs w:val="20"/>
                <w:lang w:val="en-US"/>
              </w:rPr>
            </w:pPr>
            <w:r w:rsidRPr="00FC5E0A">
              <w:rPr>
                <w:rFonts w:ascii="Times New Roman" w:hAnsi="Times New Roman"/>
                <w:sz w:val="20"/>
                <w:szCs w:val="20"/>
                <w:lang w:val="en-US"/>
              </w:rPr>
              <w:lastRenderedPageBreak/>
              <w:t>9.13</w:t>
            </w:r>
          </w:p>
        </w:tc>
      </w:tr>
      <w:tr w:rsidR="00FC5E0A" w:rsidRPr="00FC5E0A" w14:paraId="5E46C084" w14:textId="77777777" w:rsidTr="00815F5D">
        <w:tc>
          <w:tcPr>
            <w:tcW w:w="884" w:type="dxa"/>
            <w:vMerge/>
            <w:tcBorders>
              <w:right w:val="single" w:sz="4" w:space="0" w:color="auto"/>
            </w:tcBorders>
            <w:vAlign w:val="center"/>
          </w:tcPr>
          <w:p w14:paraId="69B95D3B" w14:textId="77777777" w:rsidR="00815F5D" w:rsidRPr="00FC5E0A" w:rsidRDefault="00815F5D" w:rsidP="00815F5D">
            <w:pPr>
              <w:tabs>
                <w:tab w:val="left" w:pos="32"/>
              </w:tabs>
              <w:spacing w:line="259" w:lineRule="auto"/>
              <w:ind w:left="360"/>
              <w:jc w:val="center"/>
              <w:rPr>
                <w:rFonts w:ascii="Times New Roman" w:hAnsi="Times New Roman"/>
                <w:sz w:val="20"/>
                <w:szCs w:val="20"/>
                <w:lang w:val="en-US"/>
              </w:rPr>
            </w:pPr>
          </w:p>
        </w:tc>
        <w:tc>
          <w:tcPr>
            <w:tcW w:w="3099" w:type="dxa"/>
            <w:tcBorders>
              <w:top w:val="single" w:sz="4" w:space="0" w:color="auto"/>
              <w:bottom w:val="single" w:sz="4" w:space="0" w:color="auto"/>
              <w:right w:val="single" w:sz="4" w:space="0" w:color="auto"/>
            </w:tcBorders>
            <w:vAlign w:val="center"/>
          </w:tcPr>
          <w:p w14:paraId="073A8C8F" w14:textId="77777777" w:rsidR="00815F5D" w:rsidRPr="00FC5E0A" w:rsidRDefault="00815F5D" w:rsidP="00815F5D">
            <w:pPr>
              <w:pStyle w:val="ac"/>
              <w:numPr>
                <w:ilvl w:val="0"/>
                <w:numId w:val="12"/>
              </w:numPr>
              <w:tabs>
                <w:tab w:val="left" w:pos="32"/>
              </w:tabs>
              <w:spacing w:after="0"/>
              <w:ind w:left="357" w:hanging="284"/>
              <w:rPr>
                <w:rFonts w:ascii="Times New Roman" w:hAnsi="Times New Roman" w:cs="Times New Roman"/>
                <w:sz w:val="20"/>
                <w:szCs w:val="20"/>
                <w:lang w:val="en-US"/>
              </w:rPr>
            </w:pPr>
            <w:r w:rsidRPr="00FC5E0A">
              <w:rPr>
                <w:rFonts w:ascii="Times New Roman" w:hAnsi="Times New Roman" w:cs="Times New Roman"/>
                <w:sz w:val="20"/>
                <w:szCs w:val="20"/>
                <w:lang w:val="en-US"/>
              </w:rPr>
              <w:t xml:space="preserve">The PMs run the VIFT having the responsibility of reception of results and update the scoreboard. </w:t>
            </w:r>
          </w:p>
        </w:tc>
        <w:tc>
          <w:tcPr>
            <w:tcW w:w="3106" w:type="dxa"/>
            <w:tcBorders>
              <w:top w:val="single" w:sz="4" w:space="0" w:color="auto"/>
              <w:left w:val="single" w:sz="4" w:space="0" w:color="auto"/>
              <w:bottom w:val="single" w:sz="4" w:space="0" w:color="auto"/>
            </w:tcBorders>
            <w:vAlign w:val="center"/>
          </w:tcPr>
          <w:p w14:paraId="6C2F018B" w14:textId="77777777" w:rsidR="00815F5D" w:rsidRPr="00FC5E0A" w:rsidRDefault="00815F5D" w:rsidP="00815F5D">
            <w:pPr>
              <w:spacing w:line="259" w:lineRule="auto"/>
              <w:contextualSpacing/>
              <w:rPr>
                <w:rFonts w:ascii="Times New Roman" w:hAnsi="Times New Roman"/>
                <w:sz w:val="20"/>
                <w:szCs w:val="20"/>
                <w:lang w:val="en-US"/>
              </w:rPr>
            </w:pPr>
            <w:r w:rsidRPr="00FC5E0A">
              <w:rPr>
                <w:rFonts w:ascii="Times New Roman" w:hAnsi="Times New Roman"/>
                <w:sz w:val="20"/>
                <w:szCs w:val="20"/>
                <w:lang w:val="en-US"/>
              </w:rPr>
              <w:t>Students learn how to create and update the scoreboard by using office software</w:t>
            </w:r>
            <w:r w:rsidRPr="00FC5E0A" w:rsidDel="002540EE">
              <w:rPr>
                <w:rFonts w:ascii="Times New Roman" w:hAnsi="Times New Roman"/>
                <w:sz w:val="20"/>
                <w:szCs w:val="20"/>
                <w:lang w:val="en-US"/>
              </w:rPr>
              <w:t xml:space="preserve"> </w:t>
            </w:r>
            <w:r w:rsidRPr="00FC5E0A">
              <w:rPr>
                <w:rFonts w:ascii="Times New Roman" w:hAnsi="Times New Roman"/>
                <w:sz w:val="20"/>
                <w:szCs w:val="20"/>
                <w:lang w:val="en-US"/>
              </w:rPr>
              <w:t>(Word/Excel).</w:t>
            </w:r>
          </w:p>
        </w:tc>
        <w:tc>
          <w:tcPr>
            <w:tcW w:w="1275" w:type="dxa"/>
            <w:tcBorders>
              <w:top w:val="single" w:sz="4" w:space="0" w:color="auto"/>
              <w:left w:val="single" w:sz="4" w:space="0" w:color="auto"/>
              <w:bottom w:val="single" w:sz="4" w:space="0" w:color="auto"/>
            </w:tcBorders>
            <w:vAlign w:val="center"/>
          </w:tcPr>
          <w:p w14:paraId="625B2928" w14:textId="77777777" w:rsidR="00815F5D" w:rsidRPr="00FC5E0A" w:rsidRDefault="00815F5D" w:rsidP="00815F5D">
            <w:pPr>
              <w:spacing w:line="259" w:lineRule="auto"/>
              <w:contextualSpacing/>
              <w:rPr>
                <w:rFonts w:ascii="Times New Roman" w:hAnsi="Times New Roman"/>
                <w:sz w:val="20"/>
                <w:szCs w:val="20"/>
              </w:rPr>
            </w:pPr>
            <w:r w:rsidRPr="00FC5E0A">
              <w:rPr>
                <w:rFonts w:ascii="Times New Roman" w:hAnsi="Times New Roman"/>
                <w:sz w:val="20"/>
                <w:szCs w:val="20"/>
              </w:rPr>
              <w:t>9.15</w:t>
            </w:r>
          </w:p>
        </w:tc>
      </w:tr>
      <w:tr w:rsidR="00FC5E0A" w:rsidRPr="00FC5E0A" w14:paraId="4E440406" w14:textId="77777777" w:rsidTr="00815F5D">
        <w:tc>
          <w:tcPr>
            <w:tcW w:w="884" w:type="dxa"/>
            <w:vMerge/>
            <w:tcBorders>
              <w:right w:val="single" w:sz="4" w:space="0" w:color="auto"/>
            </w:tcBorders>
            <w:textDirection w:val="btLr"/>
            <w:vAlign w:val="center"/>
          </w:tcPr>
          <w:p w14:paraId="5B5471C0" w14:textId="77777777" w:rsidR="00815F5D" w:rsidRPr="00FC5E0A" w:rsidRDefault="00815F5D" w:rsidP="00815F5D">
            <w:pPr>
              <w:tabs>
                <w:tab w:val="left" w:pos="32"/>
              </w:tabs>
              <w:spacing w:line="259" w:lineRule="auto"/>
              <w:ind w:left="360"/>
              <w:jc w:val="center"/>
              <w:rPr>
                <w:rFonts w:ascii="Times New Roman" w:hAnsi="Times New Roman"/>
                <w:sz w:val="20"/>
                <w:szCs w:val="20"/>
                <w:lang w:val="en-US"/>
              </w:rPr>
            </w:pPr>
          </w:p>
        </w:tc>
        <w:tc>
          <w:tcPr>
            <w:tcW w:w="3099" w:type="dxa"/>
            <w:tcBorders>
              <w:top w:val="single" w:sz="4" w:space="0" w:color="auto"/>
              <w:bottom w:val="single" w:sz="4" w:space="0" w:color="auto"/>
              <w:right w:val="single" w:sz="4" w:space="0" w:color="auto"/>
            </w:tcBorders>
            <w:vAlign w:val="center"/>
          </w:tcPr>
          <w:p w14:paraId="519CBEDF" w14:textId="77777777" w:rsidR="00815F5D" w:rsidRPr="00FC5E0A" w:rsidRDefault="00815F5D" w:rsidP="00815F5D">
            <w:pPr>
              <w:pStyle w:val="ac"/>
              <w:numPr>
                <w:ilvl w:val="0"/>
                <w:numId w:val="12"/>
              </w:numPr>
              <w:tabs>
                <w:tab w:val="left" w:pos="32"/>
              </w:tabs>
              <w:spacing w:after="0"/>
              <w:ind w:left="357" w:hanging="284"/>
              <w:rPr>
                <w:rFonts w:ascii="Times New Roman" w:hAnsi="Times New Roman" w:cs="Times New Roman"/>
                <w:sz w:val="20"/>
                <w:szCs w:val="20"/>
                <w:lang w:val="en-US"/>
              </w:rPr>
            </w:pPr>
            <w:r w:rsidRPr="00FC5E0A">
              <w:rPr>
                <w:rFonts w:ascii="Times New Roman" w:hAnsi="Times New Roman" w:cs="Times New Roman"/>
                <w:sz w:val="20"/>
                <w:szCs w:val="20"/>
                <w:lang w:val="en-US"/>
              </w:rPr>
              <w:t>The PMs run the VIFT having the responsibility to declare the promoting teams.</w:t>
            </w:r>
          </w:p>
        </w:tc>
        <w:tc>
          <w:tcPr>
            <w:tcW w:w="3106" w:type="dxa"/>
            <w:tcBorders>
              <w:top w:val="single" w:sz="4" w:space="0" w:color="auto"/>
              <w:left w:val="single" w:sz="4" w:space="0" w:color="auto"/>
              <w:bottom w:val="single" w:sz="4" w:space="0" w:color="auto"/>
            </w:tcBorders>
            <w:vAlign w:val="center"/>
          </w:tcPr>
          <w:p w14:paraId="05534EFA" w14:textId="77777777" w:rsidR="00815F5D" w:rsidRPr="00FC5E0A" w:rsidRDefault="00815F5D" w:rsidP="00815F5D">
            <w:pPr>
              <w:spacing w:line="259" w:lineRule="auto"/>
              <w:contextualSpacing/>
              <w:rPr>
                <w:rFonts w:ascii="Times New Roman" w:hAnsi="Times New Roman"/>
                <w:sz w:val="20"/>
                <w:szCs w:val="20"/>
                <w:lang w:val="en-US"/>
              </w:rPr>
            </w:pPr>
            <w:r w:rsidRPr="00FC5E0A">
              <w:rPr>
                <w:rFonts w:ascii="Times New Roman" w:hAnsi="Times New Roman"/>
                <w:sz w:val="20"/>
                <w:szCs w:val="20"/>
                <w:lang w:val="en-US"/>
              </w:rPr>
              <w:t>Students learn how to use Rules and Regulations and update scoreboard by using office software</w:t>
            </w:r>
            <w:r w:rsidRPr="00FC5E0A" w:rsidDel="002540EE">
              <w:rPr>
                <w:rFonts w:ascii="Times New Roman" w:hAnsi="Times New Roman"/>
                <w:sz w:val="20"/>
                <w:szCs w:val="20"/>
                <w:lang w:val="en-US"/>
              </w:rPr>
              <w:t xml:space="preserve"> </w:t>
            </w:r>
            <w:r w:rsidRPr="00FC5E0A">
              <w:rPr>
                <w:rFonts w:ascii="Times New Roman" w:hAnsi="Times New Roman"/>
                <w:sz w:val="20"/>
                <w:szCs w:val="20"/>
                <w:lang w:val="en-US"/>
              </w:rPr>
              <w:t>(Word/Excel).</w:t>
            </w:r>
          </w:p>
        </w:tc>
        <w:tc>
          <w:tcPr>
            <w:tcW w:w="1275" w:type="dxa"/>
            <w:tcBorders>
              <w:top w:val="single" w:sz="4" w:space="0" w:color="auto"/>
              <w:left w:val="single" w:sz="4" w:space="0" w:color="auto"/>
              <w:bottom w:val="single" w:sz="4" w:space="0" w:color="auto"/>
            </w:tcBorders>
            <w:vAlign w:val="center"/>
          </w:tcPr>
          <w:p w14:paraId="680977C1" w14:textId="77777777" w:rsidR="00815F5D" w:rsidRPr="00FC5E0A" w:rsidRDefault="00815F5D" w:rsidP="00815F5D">
            <w:pPr>
              <w:spacing w:line="259" w:lineRule="auto"/>
              <w:contextualSpacing/>
              <w:rPr>
                <w:rFonts w:ascii="Times New Roman" w:hAnsi="Times New Roman"/>
                <w:sz w:val="20"/>
                <w:szCs w:val="20"/>
                <w:lang w:val="en-US"/>
              </w:rPr>
            </w:pPr>
            <w:r w:rsidRPr="00FC5E0A">
              <w:rPr>
                <w:rFonts w:ascii="Times New Roman" w:hAnsi="Times New Roman"/>
                <w:sz w:val="20"/>
                <w:szCs w:val="20"/>
              </w:rPr>
              <w:t>9.15</w:t>
            </w:r>
          </w:p>
        </w:tc>
      </w:tr>
      <w:tr w:rsidR="00FC5E0A" w:rsidRPr="00FC5E0A" w14:paraId="753CBE0E" w14:textId="77777777" w:rsidTr="00815F5D">
        <w:tc>
          <w:tcPr>
            <w:tcW w:w="884" w:type="dxa"/>
            <w:vMerge/>
            <w:tcBorders>
              <w:right w:val="single" w:sz="4" w:space="0" w:color="auto"/>
            </w:tcBorders>
            <w:textDirection w:val="btLr"/>
            <w:vAlign w:val="center"/>
          </w:tcPr>
          <w:p w14:paraId="225B3D03" w14:textId="77777777" w:rsidR="00815F5D" w:rsidRPr="00FC5E0A" w:rsidRDefault="00815F5D" w:rsidP="00815F5D">
            <w:pPr>
              <w:tabs>
                <w:tab w:val="left" w:pos="32"/>
              </w:tabs>
              <w:ind w:left="360"/>
              <w:jc w:val="center"/>
              <w:rPr>
                <w:rFonts w:ascii="Times New Roman" w:hAnsi="Times New Roman"/>
                <w:sz w:val="20"/>
                <w:szCs w:val="20"/>
                <w:lang w:val="en-US"/>
              </w:rPr>
            </w:pPr>
          </w:p>
        </w:tc>
        <w:tc>
          <w:tcPr>
            <w:tcW w:w="3099" w:type="dxa"/>
            <w:tcBorders>
              <w:top w:val="single" w:sz="4" w:space="0" w:color="auto"/>
              <w:bottom w:val="single" w:sz="4" w:space="0" w:color="auto"/>
              <w:right w:val="single" w:sz="4" w:space="0" w:color="auto"/>
            </w:tcBorders>
            <w:vAlign w:val="center"/>
          </w:tcPr>
          <w:p w14:paraId="214065F9" w14:textId="77777777" w:rsidR="00815F5D" w:rsidRPr="00FC5E0A" w:rsidRDefault="00815F5D" w:rsidP="00815F5D">
            <w:pPr>
              <w:pStyle w:val="ac"/>
              <w:numPr>
                <w:ilvl w:val="0"/>
                <w:numId w:val="12"/>
              </w:numPr>
              <w:tabs>
                <w:tab w:val="left" w:pos="32"/>
              </w:tabs>
              <w:spacing w:after="0" w:line="240" w:lineRule="auto"/>
              <w:ind w:left="357" w:hanging="284"/>
              <w:rPr>
                <w:rFonts w:ascii="Times New Roman" w:hAnsi="Times New Roman" w:cs="Times New Roman"/>
                <w:sz w:val="20"/>
                <w:szCs w:val="20"/>
                <w:lang w:val="en-US"/>
              </w:rPr>
            </w:pPr>
            <w:r w:rsidRPr="00FC5E0A">
              <w:rPr>
                <w:rFonts w:ascii="Times New Roman" w:hAnsi="Times New Roman" w:cs="Times New Roman"/>
                <w:sz w:val="20"/>
                <w:szCs w:val="20"/>
                <w:lang w:val="en-US"/>
              </w:rPr>
              <w:t>Run of the VIFT website</w:t>
            </w:r>
          </w:p>
        </w:tc>
        <w:tc>
          <w:tcPr>
            <w:tcW w:w="3106" w:type="dxa"/>
            <w:tcBorders>
              <w:top w:val="single" w:sz="4" w:space="0" w:color="auto"/>
              <w:left w:val="single" w:sz="4" w:space="0" w:color="auto"/>
              <w:bottom w:val="single" w:sz="4" w:space="0" w:color="auto"/>
            </w:tcBorders>
            <w:vAlign w:val="center"/>
          </w:tcPr>
          <w:p w14:paraId="3E94B8AE" w14:textId="77777777" w:rsidR="00815F5D" w:rsidRPr="00FC5E0A" w:rsidRDefault="00815F5D" w:rsidP="00815F5D">
            <w:pPr>
              <w:contextualSpacing/>
              <w:rPr>
                <w:rFonts w:ascii="Times New Roman" w:hAnsi="Times New Roman"/>
                <w:sz w:val="20"/>
                <w:szCs w:val="20"/>
                <w:lang w:val="en-US"/>
              </w:rPr>
            </w:pPr>
            <w:r w:rsidRPr="00FC5E0A">
              <w:rPr>
                <w:rFonts w:ascii="Times New Roman" w:hAnsi="Times New Roman"/>
                <w:sz w:val="20"/>
                <w:szCs w:val="20"/>
                <w:lang w:val="en-US"/>
              </w:rPr>
              <w:t>Students are trained on the maintenance and the administration of a website</w:t>
            </w:r>
          </w:p>
        </w:tc>
        <w:tc>
          <w:tcPr>
            <w:tcW w:w="1275" w:type="dxa"/>
            <w:tcBorders>
              <w:top w:val="single" w:sz="4" w:space="0" w:color="auto"/>
              <w:left w:val="single" w:sz="4" w:space="0" w:color="auto"/>
              <w:bottom w:val="single" w:sz="4" w:space="0" w:color="auto"/>
            </w:tcBorders>
            <w:vAlign w:val="center"/>
          </w:tcPr>
          <w:p w14:paraId="6A7DC007" w14:textId="77777777" w:rsidR="00815F5D" w:rsidRPr="00FC5E0A" w:rsidRDefault="00815F5D" w:rsidP="00815F5D">
            <w:pPr>
              <w:contextualSpacing/>
              <w:rPr>
                <w:rFonts w:ascii="Times New Roman" w:hAnsi="Times New Roman"/>
                <w:sz w:val="20"/>
                <w:szCs w:val="20"/>
                <w:lang w:val="en-US"/>
              </w:rPr>
            </w:pPr>
            <w:r w:rsidRPr="00FC5E0A">
              <w:rPr>
                <w:rFonts w:ascii="Times New Roman" w:hAnsi="Times New Roman"/>
                <w:sz w:val="20"/>
                <w:szCs w:val="20"/>
                <w:lang w:val="en-US"/>
              </w:rPr>
              <w:t>8.84</w:t>
            </w:r>
          </w:p>
        </w:tc>
      </w:tr>
      <w:tr w:rsidR="00FC5E0A" w:rsidRPr="00FC5E0A" w14:paraId="69B7C75C" w14:textId="77777777" w:rsidTr="00815F5D">
        <w:tc>
          <w:tcPr>
            <w:tcW w:w="884" w:type="dxa"/>
            <w:vMerge/>
            <w:tcBorders>
              <w:bottom w:val="single" w:sz="4" w:space="0" w:color="auto"/>
              <w:right w:val="single" w:sz="4" w:space="0" w:color="auto"/>
            </w:tcBorders>
            <w:textDirection w:val="btLr"/>
            <w:vAlign w:val="center"/>
          </w:tcPr>
          <w:p w14:paraId="36542668" w14:textId="77777777" w:rsidR="00815F5D" w:rsidRPr="00FC5E0A" w:rsidRDefault="00815F5D" w:rsidP="00815F5D">
            <w:pPr>
              <w:tabs>
                <w:tab w:val="left" w:pos="32"/>
              </w:tabs>
              <w:ind w:left="360"/>
              <w:jc w:val="center"/>
              <w:rPr>
                <w:rFonts w:ascii="Times New Roman" w:hAnsi="Times New Roman"/>
                <w:sz w:val="20"/>
                <w:szCs w:val="20"/>
                <w:lang w:val="en-US"/>
              </w:rPr>
            </w:pPr>
          </w:p>
        </w:tc>
        <w:tc>
          <w:tcPr>
            <w:tcW w:w="3099" w:type="dxa"/>
            <w:tcBorders>
              <w:top w:val="single" w:sz="4" w:space="0" w:color="auto"/>
              <w:bottom w:val="single" w:sz="4" w:space="0" w:color="auto"/>
              <w:right w:val="single" w:sz="4" w:space="0" w:color="auto"/>
            </w:tcBorders>
            <w:vAlign w:val="center"/>
          </w:tcPr>
          <w:p w14:paraId="55523F6B" w14:textId="77777777" w:rsidR="00815F5D" w:rsidRPr="00FC5E0A" w:rsidRDefault="00815F5D" w:rsidP="00815F5D">
            <w:pPr>
              <w:pStyle w:val="ac"/>
              <w:numPr>
                <w:ilvl w:val="0"/>
                <w:numId w:val="12"/>
              </w:numPr>
              <w:tabs>
                <w:tab w:val="left" w:pos="32"/>
              </w:tabs>
              <w:spacing w:after="0" w:line="240" w:lineRule="auto"/>
              <w:ind w:left="357" w:hanging="284"/>
              <w:rPr>
                <w:rFonts w:ascii="Times New Roman" w:hAnsi="Times New Roman" w:cs="Times New Roman"/>
                <w:sz w:val="20"/>
                <w:szCs w:val="20"/>
                <w:lang w:val="en-US"/>
              </w:rPr>
            </w:pPr>
            <w:r w:rsidRPr="00FC5E0A">
              <w:rPr>
                <w:rFonts w:ascii="Times New Roman" w:hAnsi="Times New Roman" w:cs="Times New Roman"/>
                <w:sz w:val="20"/>
                <w:szCs w:val="20"/>
                <w:lang w:val="en-US"/>
              </w:rPr>
              <w:t>Implementation sponsorship program</w:t>
            </w:r>
          </w:p>
        </w:tc>
        <w:tc>
          <w:tcPr>
            <w:tcW w:w="3106" w:type="dxa"/>
            <w:tcBorders>
              <w:top w:val="single" w:sz="4" w:space="0" w:color="auto"/>
              <w:left w:val="single" w:sz="4" w:space="0" w:color="auto"/>
              <w:bottom w:val="single" w:sz="4" w:space="0" w:color="auto"/>
            </w:tcBorders>
            <w:vAlign w:val="center"/>
          </w:tcPr>
          <w:p w14:paraId="4F57CB54" w14:textId="77777777" w:rsidR="00815F5D" w:rsidRPr="00FC5E0A" w:rsidRDefault="00815F5D" w:rsidP="00815F5D">
            <w:pPr>
              <w:contextualSpacing/>
              <w:rPr>
                <w:rFonts w:ascii="Times New Roman" w:hAnsi="Times New Roman"/>
                <w:sz w:val="20"/>
                <w:szCs w:val="20"/>
                <w:lang w:val="en-US"/>
              </w:rPr>
            </w:pPr>
            <w:r w:rsidRPr="00FC5E0A">
              <w:rPr>
                <w:rFonts w:ascii="Times New Roman" w:hAnsi="Times New Roman"/>
                <w:sz w:val="20"/>
                <w:szCs w:val="20"/>
                <w:lang w:val="en-US"/>
              </w:rPr>
              <w:t>Students learn how to communicate, negotiate, sale, and carry out the agreed terms of sponsorship. They also learn how to organize a virtual closing ceremony.</w:t>
            </w:r>
          </w:p>
        </w:tc>
        <w:tc>
          <w:tcPr>
            <w:tcW w:w="1275" w:type="dxa"/>
            <w:tcBorders>
              <w:top w:val="single" w:sz="4" w:space="0" w:color="auto"/>
              <w:left w:val="single" w:sz="4" w:space="0" w:color="auto"/>
              <w:bottom w:val="single" w:sz="4" w:space="0" w:color="auto"/>
            </w:tcBorders>
            <w:vAlign w:val="center"/>
          </w:tcPr>
          <w:p w14:paraId="76203F16" w14:textId="77777777" w:rsidR="00815F5D" w:rsidRPr="00FC5E0A" w:rsidRDefault="00815F5D" w:rsidP="00815F5D">
            <w:pPr>
              <w:contextualSpacing/>
              <w:rPr>
                <w:rFonts w:ascii="Times New Roman" w:hAnsi="Times New Roman"/>
                <w:sz w:val="20"/>
                <w:szCs w:val="20"/>
                <w:lang w:val="en-US"/>
              </w:rPr>
            </w:pPr>
            <w:r w:rsidRPr="00FC5E0A">
              <w:rPr>
                <w:rFonts w:ascii="Times New Roman" w:hAnsi="Times New Roman"/>
                <w:sz w:val="20"/>
                <w:szCs w:val="20"/>
                <w:lang w:val="en-US"/>
              </w:rPr>
              <w:t>8.24</w:t>
            </w:r>
          </w:p>
          <w:p w14:paraId="4E212C92" w14:textId="77777777" w:rsidR="00815F5D" w:rsidRPr="00FC5E0A" w:rsidRDefault="00815F5D" w:rsidP="00815F5D">
            <w:pPr>
              <w:rPr>
                <w:rFonts w:ascii="Times New Roman" w:hAnsi="Times New Roman"/>
                <w:sz w:val="20"/>
                <w:szCs w:val="20"/>
                <w:lang w:val="en-US"/>
              </w:rPr>
            </w:pPr>
          </w:p>
        </w:tc>
      </w:tr>
      <w:tr w:rsidR="00FC5E0A" w:rsidRPr="00FC5E0A" w14:paraId="4C8CFEB9" w14:textId="77777777" w:rsidTr="00815F5D">
        <w:trPr>
          <w:cantSplit/>
          <w:trHeight w:val="1319"/>
        </w:trPr>
        <w:tc>
          <w:tcPr>
            <w:tcW w:w="884" w:type="dxa"/>
            <w:tcBorders>
              <w:top w:val="single" w:sz="4" w:space="0" w:color="auto"/>
              <w:bottom w:val="single" w:sz="4" w:space="0" w:color="auto"/>
              <w:right w:val="single" w:sz="4" w:space="0" w:color="auto"/>
            </w:tcBorders>
            <w:textDirection w:val="btLr"/>
            <w:vAlign w:val="center"/>
          </w:tcPr>
          <w:p w14:paraId="4A680AF5" w14:textId="77777777" w:rsidR="00815F5D" w:rsidRPr="00FC5E0A" w:rsidRDefault="00815F5D" w:rsidP="00815F5D">
            <w:pPr>
              <w:pStyle w:val="ac"/>
              <w:tabs>
                <w:tab w:val="left" w:pos="32"/>
              </w:tabs>
              <w:ind w:left="458" w:right="113"/>
              <w:jc w:val="center"/>
              <w:rPr>
                <w:rFonts w:ascii="Times New Roman" w:hAnsi="Times New Roman" w:cs="Times New Roman"/>
                <w:b/>
                <w:bCs/>
                <w:sz w:val="20"/>
                <w:szCs w:val="20"/>
              </w:rPr>
            </w:pPr>
            <w:r w:rsidRPr="00FC5E0A">
              <w:rPr>
                <w:rFonts w:ascii="Times New Roman" w:hAnsi="Times New Roman" w:cs="Times New Roman"/>
                <w:b/>
                <w:bCs/>
                <w:sz w:val="20"/>
                <w:szCs w:val="20"/>
                <w:lang w:val="en-US"/>
              </w:rPr>
              <w:t>EVALU-ATION</w:t>
            </w:r>
          </w:p>
        </w:tc>
        <w:tc>
          <w:tcPr>
            <w:tcW w:w="3099" w:type="dxa"/>
            <w:tcBorders>
              <w:top w:val="single" w:sz="4" w:space="0" w:color="auto"/>
              <w:bottom w:val="single" w:sz="4" w:space="0" w:color="auto"/>
              <w:right w:val="single" w:sz="4" w:space="0" w:color="auto"/>
            </w:tcBorders>
            <w:vAlign w:val="center"/>
          </w:tcPr>
          <w:p w14:paraId="1479407C" w14:textId="77777777" w:rsidR="00815F5D" w:rsidRPr="00FC5E0A" w:rsidRDefault="00815F5D" w:rsidP="00815F5D">
            <w:pPr>
              <w:pStyle w:val="ac"/>
              <w:numPr>
                <w:ilvl w:val="0"/>
                <w:numId w:val="12"/>
              </w:numPr>
              <w:tabs>
                <w:tab w:val="left" w:pos="32"/>
              </w:tabs>
              <w:spacing w:after="0"/>
              <w:ind w:left="357" w:hanging="284"/>
              <w:rPr>
                <w:rFonts w:ascii="Times New Roman" w:hAnsi="Times New Roman" w:cs="Times New Roman"/>
                <w:sz w:val="20"/>
                <w:szCs w:val="20"/>
                <w:lang w:val="en-US"/>
              </w:rPr>
            </w:pPr>
            <w:r w:rsidRPr="00FC5E0A">
              <w:rPr>
                <w:rFonts w:ascii="Times New Roman" w:hAnsi="Times New Roman" w:cs="Times New Roman"/>
                <w:sz w:val="20"/>
                <w:szCs w:val="20"/>
                <w:lang w:val="en-US"/>
              </w:rPr>
              <w:t xml:space="preserve">The PMs run the evaluation of the VIFT </w:t>
            </w:r>
          </w:p>
        </w:tc>
        <w:tc>
          <w:tcPr>
            <w:tcW w:w="3106" w:type="dxa"/>
            <w:tcBorders>
              <w:top w:val="single" w:sz="4" w:space="0" w:color="auto"/>
              <w:left w:val="single" w:sz="4" w:space="0" w:color="auto"/>
              <w:bottom w:val="single" w:sz="4" w:space="0" w:color="auto"/>
            </w:tcBorders>
            <w:vAlign w:val="center"/>
          </w:tcPr>
          <w:p w14:paraId="0AAB829B" w14:textId="77777777" w:rsidR="00815F5D" w:rsidRPr="00FC5E0A" w:rsidRDefault="00815F5D" w:rsidP="00815F5D">
            <w:pPr>
              <w:spacing w:after="160" w:line="259" w:lineRule="auto"/>
              <w:contextualSpacing/>
              <w:rPr>
                <w:rFonts w:ascii="Times New Roman" w:hAnsi="Times New Roman"/>
                <w:sz w:val="20"/>
                <w:szCs w:val="20"/>
                <w:lang w:val="en-US"/>
              </w:rPr>
            </w:pPr>
            <w:r w:rsidRPr="00FC5E0A">
              <w:rPr>
                <w:rFonts w:ascii="Times New Roman" w:hAnsi="Times New Roman"/>
                <w:sz w:val="20"/>
                <w:szCs w:val="20"/>
                <w:lang w:val="en-US"/>
              </w:rPr>
              <w:t>Students learn to evaluate an event, identify problems, and propose solutions.</w:t>
            </w:r>
          </w:p>
        </w:tc>
        <w:tc>
          <w:tcPr>
            <w:tcW w:w="1275" w:type="dxa"/>
            <w:tcBorders>
              <w:top w:val="single" w:sz="4" w:space="0" w:color="auto"/>
              <w:left w:val="single" w:sz="4" w:space="0" w:color="auto"/>
              <w:bottom w:val="single" w:sz="4" w:space="0" w:color="auto"/>
            </w:tcBorders>
            <w:vAlign w:val="center"/>
          </w:tcPr>
          <w:p w14:paraId="70BE3891" w14:textId="77777777" w:rsidR="00815F5D" w:rsidRPr="00FC5E0A" w:rsidRDefault="00815F5D" w:rsidP="00815F5D">
            <w:pPr>
              <w:spacing w:line="259" w:lineRule="auto"/>
              <w:contextualSpacing/>
              <w:rPr>
                <w:rFonts w:ascii="Times New Roman" w:hAnsi="Times New Roman"/>
                <w:sz w:val="20"/>
                <w:szCs w:val="20"/>
                <w:lang w:val="en-US"/>
              </w:rPr>
            </w:pPr>
            <w:r w:rsidRPr="00FC5E0A">
              <w:rPr>
                <w:rFonts w:ascii="Times New Roman" w:hAnsi="Times New Roman"/>
                <w:sz w:val="20"/>
                <w:szCs w:val="20"/>
                <w:lang w:val="en-US"/>
              </w:rPr>
              <w:t>9.07</w:t>
            </w:r>
          </w:p>
        </w:tc>
      </w:tr>
    </w:tbl>
    <w:bookmarkEnd w:id="9"/>
    <w:p w14:paraId="33082D3E" w14:textId="5814D659" w:rsidR="00062709" w:rsidRPr="00FC5E0A" w:rsidRDefault="00815F5D" w:rsidP="00062709">
      <w:pPr>
        <w:pStyle w:val="1"/>
        <w:rPr>
          <w:rFonts w:ascii="Times New Roman" w:hAnsi="Times New Roman" w:cs="Times New Roman"/>
          <w:color w:val="auto"/>
          <w:sz w:val="22"/>
        </w:rPr>
      </w:pPr>
      <w:r w:rsidRPr="00FC5E0A">
        <w:rPr>
          <w:rFonts w:ascii="Times New Roman" w:hAnsi="Times New Roman" w:cs="Times New Roman"/>
          <w:color w:val="auto"/>
          <w:sz w:val="22"/>
        </w:rPr>
        <w:t xml:space="preserve"> </w:t>
      </w:r>
      <w:r w:rsidR="002A31DF" w:rsidRPr="00FC5E0A">
        <w:rPr>
          <w:rFonts w:ascii="Times New Roman" w:hAnsi="Times New Roman" w:cs="Times New Roman"/>
          <w:color w:val="auto"/>
          <w:sz w:val="22"/>
        </w:rPr>
        <w:t>Results</w:t>
      </w:r>
    </w:p>
    <w:p w14:paraId="26B98EB5" w14:textId="76371711" w:rsidR="00BE48C4" w:rsidRPr="00FC5E0A" w:rsidRDefault="005C54C6" w:rsidP="00BE48C4">
      <w:pPr>
        <w:pStyle w:val="2"/>
        <w:rPr>
          <w:rFonts w:ascii="Times New Roman" w:hAnsi="Times New Roman" w:cs="Times New Roman"/>
          <w:sz w:val="22"/>
          <w:szCs w:val="22"/>
        </w:rPr>
      </w:pPr>
      <w:r w:rsidRPr="00FC5E0A">
        <w:rPr>
          <w:rFonts w:ascii="Times New Roman" w:hAnsi="Times New Roman" w:cs="Times New Roman"/>
          <w:sz w:val="22"/>
          <w:szCs w:val="22"/>
        </w:rPr>
        <w:t>Demographics</w:t>
      </w:r>
    </w:p>
    <w:p w14:paraId="1CA2CC6F" w14:textId="296EB241" w:rsidR="00C71C86" w:rsidRPr="00FC5E0A" w:rsidRDefault="00C71C86" w:rsidP="00C71C86">
      <w:pPr>
        <w:pStyle w:val="Articlenormaltext"/>
        <w:ind w:firstLine="0"/>
        <w:rPr>
          <w:szCs w:val="22"/>
        </w:rPr>
      </w:pPr>
      <w:r w:rsidRPr="00FC5E0A">
        <w:rPr>
          <w:szCs w:val="22"/>
        </w:rPr>
        <w:t xml:space="preserve">Research </w:t>
      </w:r>
      <w:r w:rsidR="007E5DAE" w:rsidRPr="00FC5E0A">
        <w:rPr>
          <w:szCs w:val="22"/>
        </w:rPr>
        <w:t>g</w:t>
      </w:r>
      <w:r w:rsidRPr="00FC5E0A">
        <w:rPr>
          <w:szCs w:val="22"/>
        </w:rPr>
        <w:t xml:space="preserve">roup organizers: </w:t>
      </w:r>
      <w:r w:rsidR="00D6691B" w:rsidRPr="00FC5E0A">
        <w:rPr>
          <w:szCs w:val="22"/>
        </w:rPr>
        <w:t>Most of</w:t>
      </w:r>
      <w:r w:rsidRPr="00FC5E0A">
        <w:rPr>
          <w:szCs w:val="22"/>
        </w:rPr>
        <w:t xml:space="preserve"> the organizers (N=44) were women (f=31, 70.45%) and the rest were men (f=13, 29.55%). </w:t>
      </w:r>
      <w:r w:rsidR="000952C8" w:rsidRPr="00FC5E0A">
        <w:rPr>
          <w:szCs w:val="22"/>
        </w:rPr>
        <w:t>Their average age was 22.88 years (min=21, max=28)</w:t>
      </w:r>
      <w:r w:rsidR="002329FC" w:rsidRPr="00FC5E0A">
        <w:rPr>
          <w:szCs w:val="22"/>
        </w:rPr>
        <w:t>.</w:t>
      </w:r>
    </w:p>
    <w:p w14:paraId="37A4730C" w14:textId="56BB6E3E" w:rsidR="00BE48C4" w:rsidRPr="00FC5E0A" w:rsidRDefault="00C71C86" w:rsidP="002F3C4B">
      <w:pPr>
        <w:pStyle w:val="Articlenormaltext"/>
        <w:rPr>
          <w:szCs w:val="22"/>
        </w:rPr>
      </w:pPr>
      <w:r w:rsidRPr="00FC5E0A">
        <w:rPr>
          <w:szCs w:val="22"/>
        </w:rPr>
        <w:t xml:space="preserve">Research </w:t>
      </w:r>
      <w:r w:rsidR="007E5DAE" w:rsidRPr="00FC5E0A">
        <w:rPr>
          <w:szCs w:val="22"/>
        </w:rPr>
        <w:t>g</w:t>
      </w:r>
      <w:r w:rsidRPr="00FC5E0A">
        <w:rPr>
          <w:szCs w:val="22"/>
        </w:rPr>
        <w:t>roup participants: The participants were freshmen students (N=328) who were attending the introductory Sport Management class. The evaluation questionnaire completed by N=206 (62.80%) students, almost equally divided between men (f=100, 48.54%) and women (f=106, 51.45%)</w:t>
      </w:r>
      <w:r w:rsidR="00BE48C4" w:rsidRPr="00FC5E0A">
        <w:rPr>
          <w:szCs w:val="22"/>
        </w:rPr>
        <w:t>.</w:t>
      </w:r>
      <w:r w:rsidR="000952C8" w:rsidRPr="00FC5E0A">
        <w:rPr>
          <w:szCs w:val="22"/>
        </w:rPr>
        <w:t xml:space="preserve"> Their </w:t>
      </w:r>
      <w:r w:rsidR="009B72B9" w:rsidRPr="00FC5E0A">
        <w:rPr>
          <w:szCs w:val="22"/>
        </w:rPr>
        <w:t xml:space="preserve">average </w:t>
      </w:r>
      <w:r w:rsidR="000952C8" w:rsidRPr="00FC5E0A">
        <w:rPr>
          <w:szCs w:val="22"/>
        </w:rPr>
        <w:t>age</w:t>
      </w:r>
      <w:r w:rsidR="009B72B9" w:rsidRPr="00FC5E0A">
        <w:rPr>
          <w:szCs w:val="22"/>
        </w:rPr>
        <w:t xml:space="preserve"> was 19.32 years (min=18, max=28)</w:t>
      </w:r>
      <w:r w:rsidR="008D66ED" w:rsidRPr="00FC5E0A">
        <w:rPr>
          <w:szCs w:val="22"/>
        </w:rPr>
        <w:t xml:space="preserve">. </w:t>
      </w:r>
      <w:r w:rsidR="002329FC" w:rsidRPr="00FC5E0A">
        <w:rPr>
          <w:szCs w:val="22"/>
        </w:rPr>
        <w:t>Most of</w:t>
      </w:r>
      <w:r w:rsidR="008D66ED" w:rsidRPr="00FC5E0A">
        <w:rPr>
          <w:szCs w:val="22"/>
        </w:rPr>
        <w:t xml:space="preserve"> them (f=155, 75.2%) declared that had no previous experience in </w:t>
      </w:r>
      <w:r w:rsidR="00232D3D" w:rsidRPr="00FC5E0A">
        <w:rPr>
          <w:szCs w:val="22"/>
        </w:rPr>
        <w:t>Serious Games</w:t>
      </w:r>
      <w:r w:rsidR="008D66ED" w:rsidRPr="00FC5E0A">
        <w:rPr>
          <w:szCs w:val="22"/>
        </w:rPr>
        <w:t>.</w:t>
      </w:r>
    </w:p>
    <w:p w14:paraId="49ECFD22" w14:textId="5900989B" w:rsidR="00BE48C4" w:rsidRPr="00FC5E0A" w:rsidRDefault="00150C82" w:rsidP="00BE48C4">
      <w:pPr>
        <w:pStyle w:val="2"/>
        <w:rPr>
          <w:rFonts w:ascii="Times New Roman" w:hAnsi="Times New Roman" w:cs="Times New Roman"/>
          <w:sz w:val="22"/>
          <w:szCs w:val="22"/>
        </w:rPr>
      </w:pPr>
      <w:r w:rsidRPr="00FC5E0A">
        <w:rPr>
          <w:rFonts w:ascii="Times New Roman" w:hAnsi="Times New Roman" w:cs="Times New Roman"/>
          <w:sz w:val="22"/>
          <w:szCs w:val="22"/>
        </w:rPr>
        <w:t xml:space="preserve">Deliverables: </w:t>
      </w:r>
      <w:r w:rsidR="00232D3D" w:rsidRPr="00FC5E0A">
        <w:rPr>
          <w:rFonts w:ascii="Times New Roman" w:hAnsi="Times New Roman" w:cs="Times New Roman"/>
          <w:sz w:val="22"/>
          <w:szCs w:val="22"/>
        </w:rPr>
        <w:t xml:space="preserve">Evaluation of </w:t>
      </w:r>
      <w:r w:rsidR="002B4A05" w:rsidRPr="00FC5E0A">
        <w:rPr>
          <w:rFonts w:ascii="Times New Roman" w:hAnsi="Times New Roman" w:cs="Times New Roman"/>
          <w:sz w:val="22"/>
          <w:szCs w:val="22"/>
        </w:rPr>
        <w:t>Organizers’ Skills</w:t>
      </w:r>
    </w:p>
    <w:p w14:paraId="23B7D161" w14:textId="13289EB7" w:rsidR="002329FC" w:rsidRPr="00FC5E0A" w:rsidRDefault="002329FC" w:rsidP="00D6691B">
      <w:pPr>
        <w:pStyle w:val="Articlenormaltext"/>
        <w:ind w:firstLine="0"/>
        <w:rPr>
          <w:szCs w:val="22"/>
        </w:rPr>
      </w:pPr>
      <w:r w:rsidRPr="00FC5E0A">
        <w:rPr>
          <w:szCs w:val="22"/>
        </w:rPr>
        <w:t>T</w:t>
      </w:r>
      <w:r w:rsidR="00BE0E52" w:rsidRPr="00FC5E0A">
        <w:rPr>
          <w:szCs w:val="22"/>
        </w:rPr>
        <w:t xml:space="preserve">he organizer’s skills on sport event management have been </w:t>
      </w:r>
      <w:r w:rsidR="002B4A05" w:rsidRPr="00FC5E0A">
        <w:rPr>
          <w:szCs w:val="22"/>
        </w:rPr>
        <w:t xml:space="preserve">assessed </w:t>
      </w:r>
      <w:r w:rsidR="00B11B80" w:rsidRPr="00FC5E0A">
        <w:rPr>
          <w:szCs w:val="22"/>
        </w:rPr>
        <w:t xml:space="preserve">through deliverables </w:t>
      </w:r>
      <w:r w:rsidR="00BE0E52" w:rsidRPr="00FC5E0A">
        <w:rPr>
          <w:szCs w:val="22"/>
        </w:rPr>
        <w:t xml:space="preserve">by </w:t>
      </w:r>
      <w:r w:rsidRPr="00FC5E0A">
        <w:rPr>
          <w:szCs w:val="22"/>
        </w:rPr>
        <w:t>the class instructor</w:t>
      </w:r>
      <w:r w:rsidR="00BE0E52" w:rsidRPr="00FC5E0A">
        <w:rPr>
          <w:szCs w:val="22"/>
        </w:rPr>
        <w:t xml:space="preserve"> as part of their official class grading procedure. </w:t>
      </w:r>
      <w:r w:rsidR="0021647B" w:rsidRPr="00FC5E0A">
        <w:rPr>
          <w:szCs w:val="22"/>
        </w:rPr>
        <w:t xml:space="preserve">The mean score </w:t>
      </w:r>
      <w:r w:rsidR="005229B8" w:rsidRPr="00FC5E0A">
        <w:rPr>
          <w:szCs w:val="22"/>
        </w:rPr>
        <w:t xml:space="preserve">of the deliverables </w:t>
      </w:r>
      <w:r w:rsidR="0021647B" w:rsidRPr="00FC5E0A">
        <w:rPr>
          <w:szCs w:val="22"/>
        </w:rPr>
        <w:t xml:space="preserve">was M=8.54 </w:t>
      </w:r>
      <w:r w:rsidRPr="00FC5E0A">
        <w:rPr>
          <w:szCs w:val="22"/>
        </w:rPr>
        <w:t xml:space="preserve">(see </w:t>
      </w:r>
      <w:r w:rsidR="00BE0E52" w:rsidRPr="00FC5E0A">
        <w:rPr>
          <w:szCs w:val="22"/>
        </w:rPr>
        <w:t xml:space="preserve">Table </w:t>
      </w:r>
      <w:r w:rsidRPr="00FC5E0A">
        <w:rPr>
          <w:szCs w:val="22"/>
        </w:rPr>
        <w:t>2)</w:t>
      </w:r>
      <w:r w:rsidR="00BE48C4" w:rsidRPr="00FC5E0A">
        <w:rPr>
          <w:szCs w:val="22"/>
        </w:rPr>
        <w:t>.</w:t>
      </w:r>
    </w:p>
    <w:p w14:paraId="781DCF06" w14:textId="34D96B72" w:rsidR="002329FC" w:rsidRPr="00FC5E0A" w:rsidRDefault="002329FC">
      <w:pPr>
        <w:spacing w:line="240" w:lineRule="auto"/>
        <w:rPr>
          <w:rFonts w:ascii="Times New Roman" w:hAnsi="Times New Roman"/>
          <w:spacing w:val="4"/>
          <w:lang w:val="en-US"/>
        </w:rPr>
      </w:pPr>
    </w:p>
    <w:p w14:paraId="1F1AA1E7" w14:textId="68590C91" w:rsidR="00104E38" w:rsidRPr="00FC5E0A" w:rsidRDefault="00104E38" w:rsidP="002356A0">
      <w:pPr>
        <w:tabs>
          <w:tab w:val="left" w:pos="851"/>
        </w:tabs>
        <w:spacing w:after="120" w:line="240" w:lineRule="auto"/>
        <w:rPr>
          <w:rFonts w:ascii="Times New Roman" w:hAnsi="Times New Roman"/>
          <w:sz w:val="20"/>
          <w:szCs w:val="20"/>
          <w:lang w:val="en-US"/>
        </w:rPr>
      </w:pPr>
      <w:r w:rsidRPr="00FC5E0A">
        <w:rPr>
          <w:rFonts w:ascii="Times New Roman" w:hAnsi="Times New Roman"/>
          <w:b/>
          <w:bCs/>
          <w:sz w:val="20"/>
          <w:szCs w:val="20"/>
          <w:lang w:val="en-US"/>
        </w:rPr>
        <w:t xml:space="preserve">Table </w:t>
      </w:r>
      <w:r w:rsidR="0003360B" w:rsidRPr="00FC5E0A">
        <w:rPr>
          <w:rFonts w:ascii="Times New Roman" w:hAnsi="Times New Roman"/>
          <w:b/>
          <w:bCs/>
          <w:sz w:val="20"/>
          <w:szCs w:val="20"/>
          <w:lang w:val="en-US"/>
        </w:rPr>
        <w:t>2</w:t>
      </w:r>
      <w:r w:rsidRPr="00FC5E0A">
        <w:rPr>
          <w:rFonts w:ascii="Times New Roman" w:hAnsi="Times New Roman"/>
          <w:b/>
          <w:bCs/>
          <w:sz w:val="20"/>
          <w:szCs w:val="20"/>
          <w:lang w:val="en-US"/>
        </w:rPr>
        <w:t>:</w:t>
      </w:r>
      <w:r w:rsidRPr="00FC5E0A">
        <w:rPr>
          <w:rFonts w:ascii="Times New Roman" w:hAnsi="Times New Roman"/>
          <w:sz w:val="20"/>
          <w:szCs w:val="20"/>
          <w:lang w:val="en-US"/>
        </w:rPr>
        <w:t xml:space="preserve"> </w:t>
      </w:r>
      <w:r w:rsidR="004D73A3" w:rsidRPr="00FC5E0A">
        <w:rPr>
          <w:rFonts w:ascii="Times New Roman" w:hAnsi="Times New Roman"/>
          <w:sz w:val="20"/>
          <w:szCs w:val="20"/>
          <w:lang w:val="en-US"/>
        </w:rPr>
        <w:t xml:space="preserve">Deliverables: </w:t>
      </w:r>
      <w:r w:rsidRPr="00FC5E0A">
        <w:rPr>
          <w:rFonts w:ascii="Times New Roman" w:hAnsi="Times New Roman"/>
          <w:sz w:val="20"/>
          <w:szCs w:val="20"/>
          <w:lang w:val="en-US"/>
        </w:rPr>
        <w:t>Educational scenarios</w:t>
      </w:r>
      <w:r w:rsidR="002F7227" w:rsidRPr="00FC5E0A">
        <w:rPr>
          <w:rFonts w:ascii="Times New Roman" w:hAnsi="Times New Roman"/>
          <w:sz w:val="20"/>
          <w:szCs w:val="20"/>
          <w:lang w:val="en-US"/>
        </w:rPr>
        <w:t xml:space="preserve">, </w:t>
      </w:r>
      <w:r w:rsidR="00023131" w:rsidRPr="00FC5E0A">
        <w:rPr>
          <w:rFonts w:ascii="Times New Roman" w:hAnsi="Times New Roman"/>
          <w:sz w:val="20"/>
          <w:szCs w:val="20"/>
          <w:lang w:val="en-US"/>
        </w:rPr>
        <w:t>objective</w:t>
      </w:r>
      <w:r w:rsidR="00AC4808" w:rsidRPr="00FC5E0A">
        <w:rPr>
          <w:rFonts w:ascii="Times New Roman" w:hAnsi="Times New Roman"/>
          <w:sz w:val="20"/>
          <w:szCs w:val="20"/>
          <w:lang w:val="en-US"/>
        </w:rPr>
        <w:t>s</w:t>
      </w:r>
      <w:r w:rsidR="00023131" w:rsidRPr="00FC5E0A">
        <w:rPr>
          <w:rFonts w:ascii="Times New Roman" w:hAnsi="Times New Roman"/>
          <w:sz w:val="20"/>
          <w:szCs w:val="20"/>
          <w:lang w:val="en-US"/>
        </w:rPr>
        <w:t xml:space="preserve"> &amp; </w:t>
      </w:r>
      <w:r w:rsidR="00C61A98" w:rsidRPr="00FC5E0A">
        <w:rPr>
          <w:rFonts w:ascii="Times New Roman" w:hAnsi="Times New Roman"/>
          <w:sz w:val="20"/>
          <w:szCs w:val="20"/>
          <w:lang w:val="en-US"/>
        </w:rPr>
        <w:t>instructor’s evaluation</w:t>
      </w:r>
    </w:p>
    <w:p w14:paraId="3345BF5B" w14:textId="77777777" w:rsidR="00227A38" w:rsidRPr="00FC5E0A" w:rsidRDefault="00227A38" w:rsidP="005E527D">
      <w:pPr>
        <w:pStyle w:val="Articlenormaltext"/>
        <w:ind w:firstLine="0"/>
        <w:rPr>
          <w:szCs w:val="22"/>
        </w:rPr>
      </w:pPr>
    </w:p>
    <w:p w14:paraId="7BB5EBDE" w14:textId="3AD49113" w:rsidR="00BE48C4" w:rsidRPr="00FC5E0A" w:rsidRDefault="00F04C74" w:rsidP="00BE48C4">
      <w:pPr>
        <w:pStyle w:val="2"/>
        <w:rPr>
          <w:rFonts w:ascii="Times New Roman" w:hAnsi="Times New Roman" w:cs="Times New Roman"/>
          <w:sz w:val="22"/>
          <w:szCs w:val="22"/>
        </w:rPr>
      </w:pPr>
      <w:r w:rsidRPr="00FC5E0A">
        <w:rPr>
          <w:rFonts w:ascii="Times New Roman" w:hAnsi="Times New Roman" w:cs="Times New Roman"/>
          <w:sz w:val="22"/>
          <w:szCs w:val="22"/>
        </w:rPr>
        <w:t>Written test</w:t>
      </w:r>
      <w:r w:rsidR="00A17B0F" w:rsidRPr="00FC5E0A">
        <w:rPr>
          <w:rFonts w:ascii="Times New Roman" w:hAnsi="Times New Roman" w:cs="Times New Roman"/>
          <w:sz w:val="22"/>
          <w:szCs w:val="22"/>
        </w:rPr>
        <w:t xml:space="preserve">: </w:t>
      </w:r>
      <w:r w:rsidR="00550860" w:rsidRPr="00FC5E0A">
        <w:rPr>
          <w:rFonts w:ascii="Times New Roman" w:hAnsi="Times New Roman" w:cs="Times New Roman"/>
          <w:sz w:val="22"/>
          <w:szCs w:val="22"/>
        </w:rPr>
        <w:t>Evaluation of theoretical knowledge</w:t>
      </w:r>
      <w:r w:rsidR="002329FC" w:rsidRPr="00FC5E0A">
        <w:rPr>
          <w:rFonts w:ascii="Times New Roman" w:hAnsi="Times New Roman" w:cs="Times New Roman"/>
          <w:sz w:val="22"/>
          <w:szCs w:val="22"/>
        </w:rPr>
        <w:t xml:space="preserve"> in sport event management</w:t>
      </w:r>
    </w:p>
    <w:p w14:paraId="6F65CA6D" w14:textId="78D77A0A" w:rsidR="000F6E7E" w:rsidRPr="00FC5E0A" w:rsidRDefault="00550860" w:rsidP="002329FC">
      <w:pPr>
        <w:pStyle w:val="Articlenormaltext"/>
        <w:ind w:firstLine="0"/>
        <w:rPr>
          <w:szCs w:val="22"/>
        </w:rPr>
      </w:pPr>
      <w:r w:rsidRPr="00FC5E0A">
        <w:rPr>
          <w:szCs w:val="22"/>
        </w:rPr>
        <w:t xml:space="preserve">Evaluation of the organizers’ theoretical knowledge </w:t>
      </w:r>
      <w:r w:rsidR="00CB7021" w:rsidRPr="00FC5E0A">
        <w:rPr>
          <w:szCs w:val="22"/>
        </w:rPr>
        <w:t xml:space="preserve">on sport event management </w:t>
      </w:r>
      <w:r w:rsidRPr="00FC5E0A">
        <w:rPr>
          <w:szCs w:val="22"/>
        </w:rPr>
        <w:t xml:space="preserve">was conducted </w:t>
      </w:r>
      <w:r w:rsidR="00CB7021" w:rsidRPr="00FC5E0A">
        <w:rPr>
          <w:szCs w:val="22"/>
        </w:rPr>
        <w:t>at the end of the VIFT.</w:t>
      </w:r>
      <w:r w:rsidR="002329FC" w:rsidRPr="00FC5E0A">
        <w:rPr>
          <w:szCs w:val="22"/>
        </w:rPr>
        <w:t xml:space="preserve"> </w:t>
      </w:r>
      <w:r w:rsidR="000F6E7E" w:rsidRPr="00FC5E0A">
        <w:rPr>
          <w:szCs w:val="22"/>
        </w:rPr>
        <w:t xml:space="preserve">To examine both the level of the acquired knowledge on sport event management derived through the process of gamification and the efficiency of the relative educational scenarios presented in Table </w:t>
      </w:r>
      <w:r w:rsidR="002329FC" w:rsidRPr="00FC5E0A">
        <w:rPr>
          <w:szCs w:val="22"/>
        </w:rPr>
        <w:t>2</w:t>
      </w:r>
      <w:r w:rsidR="000F6E7E" w:rsidRPr="00FC5E0A">
        <w:rPr>
          <w:szCs w:val="22"/>
        </w:rPr>
        <w:t>, the organizers were given a knowledge written test upon the completion of the VIFT.</w:t>
      </w:r>
    </w:p>
    <w:p w14:paraId="29DC6863" w14:textId="77777777" w:rsidR="002329FC" w:rsidRPr="00FC5E0A" w:rsidRDefault="000F6E7E" w:rsidP="005E527D">
      <w:pPr>
        <w:spacing w:line="264" w:lineRule="auto"/>
        <w:ind w:firstLine="284"/>
        <w:jc w:val="both"/>
        <w:rPr>
          <w:rFonts w:ascii="Times New Roman" w:hAnsi="Times New Roman"/>
          <w:lang w:val="en-US"/>
        </w:rPr>
      </w:pPr>
      <w:r w:rsidRPr="00FC5E0A">
        <w:rPr>
          <w:rFonts w:ascii="Times New Roman" w:hAnsi="Times New Roman"/>
          <w:lang w:val="en-US"/>
        </w:rPr>
        <w:lastRenderedPageBreak/>
        <w:t xml:space="preserve">In this test participated N=29 organizers, 24.0% of them were men (f=7) and 76.0% were women (f=22). Based on the results shown in Table </w:t>
      </w:r>
      <w:r w:rsidR="002329FC" w:rsidRPr="00FC5E0A">
        <w:rPr>
          <w:rFonts w:ascii="Times New Roman" w:hAnsi="Times New Roman"/>
          <w:lang w:val="en-US"/>
        </w:rPr>
        <w:t>3</w:t>
      </w:r>
      <w:r w:rsidRPr="00FC5E0A">
        <w:rPr>
          <w:rFonts w:ascii="Times New Roman" w:hAnsi="Times New Roman"/>
          <w:lang w:val="en-US"/>
        </w:rPr>
        <w:t xml:space="preserve">, </w:t>
      </w:r>
      <w:bookmarkStart w:id="10" w:name="_Hlk104640205"/>
      <w:r w:rsidRPr="00FC5E0A">
        <w:rPr>
          <w:rFonts w:ascii="Times New Roman" w:hAnsi="Times New Roman"/>
          <w:lang w:val="en-US"/>
        </w:rPr>
        <w:t xml:space="preserve">overall organizers’ knowledge </w:t>
      </w:r>
      <w:bookmarkEnd w:id="10"/>
      <w:r w:rsidRPr="00FC5E0A">
        <w:rPr>
          <w:rFonts w:ascii="Times New Roman" w:hAnsi="Times New Roman"/>
          <w:lang w:val="en-US"/>
        </w:rPr>
        <w:t>is assessed well above the pass (</w:t>
      </w:r>
      <w:bookmarkStart w:id="11" w:name="_Hlk109054670"/>
      <w:r w:rsidRPr="00FC5E0A">
        <w:rPr>
          <w:rFonts w:ascii="Times New Roman" w:hAnsi="Times New Roman"/>
          <w:lang w:val="en-US"/>
        </w:rPr>
        <w:t>M=</w:t>
      </w:r>
      <w:bookmarkEnd w:id="11"/>
      <w:r w:rsidRPr="00FC5E0A">
        <w:rPr>
          <w:rFonts w:ascii="Times New Roman" w:hAnsi="Times New Roman"/>
          <w:lang w:val="en-US"/>
        </w:rPr>
        <w:t xml:space="preserve">6.61 in 0-10 scale, SD=2.46; t=3.522, df=28, p=.001). </w:t>
      </w:r>
    </w:p>
    <w:p w14:paraId="1E581084" w14:textId="77777777" w:rsidR="00E0418F" w:rsidRPr="00FC5E0A" w:rsidRDefault="00E0418F" w:rsidP="005E527D">
      <w:pPr>
        <w:spacing w:line="264" w:lineRule="auto"/>
        <w:ind w:firstLine="284"/>
        <w:jc w:val="both"/>
        <w:rPr>
          <w:rFonts w:ascii="Times New Roman" w:hAnsi="Times New Roman"/>
          <w:lang w:val="en-US"/>
        </w:rPr>
      </w:pPr>
    </w:p>
    <w:p w14:paraId="3AFF1A11" w14:textId="77777777" w:rsidR="002329FC" w:rsidRPr="00FC5E0A" w:rsidRDefault="002329FC" w:rsidP="005E527D">
      <w:pPr>
        <w:spacing w:line="264" w:lineRule="auto"/>
        <w:ind w:firstLine="284"/>
        <w:jc w:val="both"/>
        <w:rPr>
          <w:rFonts w:ascii="Times New Roman" w:hAnsi="Times New Roman"/>
          <w:lang w:val="en-US"/>
        </w:rPr>
      </w:pPr>
    </w:p>
    <w:p w14:paraId="1EAFE39F" w14:textId="4AF1ABE8" w:rsidR="002329FC" w:rsidRPr="00FC5E0A" w:rsidRDefault="002329FC" w:rsidP="002329FC">
      <w:pPr>
        <w:tabs>
          <w:tab w:val="left" w:pos="851"/>
        </w:tabs>
        <w:spacing w:after="120" w:line="240" w:lineRule="auto"/>
        <w:rPr>
          <w:rFonts w:ascii="Times New Roman" w:hAnsi="Times New Roman"/>
        </w:rPr>
      </w:pPr>
      <w:r w:rsidRPr="00FC5E0A">
        <w:rPr>
          <w:rFonts w:ascii="Times New Roman" w:hAnsi="Times New Roman"/>
          <w:b/>
          <w:bCs/>
          <w:lang w:val="en-US"/>
        </w:rPr>
        <w:t>Table 3:</w:t>
      </w:r>
      <w:r w:rsidRPr="00FC5E0A">
        <w:rPr>
          <w:rFonts w:ascii="Times New Roman" w:hAnsi="Times New Roman"/>
          <w:lang w:val="en-US"/>
        </w:rPr>
        <w:t xml:space="preserve"> </w:t>
      </w:r>
      <w:r w:rsidRPr="00FC5E0A">
        <w:rPr>
          <w:rFonts w:ascii="Times New Roman" w:hAnsi="Times New Roman"/>
          <w:lang w:val="en-US"/>
        </w:rPr>
        <w:tab/>
      </w:r>
      <w:r w:rsidR="00A930B7" w:rsidRPr="00FC5E0A">
        <w:rPr>
          <w:rFonts w:ascii="Times New Roman" w:hAnsi="Times New Roman"/>
          <w:lang w:val="en-US"/>
        </w:rPr>
        <w:t xml:space="preserve">Written test: </w:t>
      </w:r>
      <w:r w:rsidR="00094DB9" w:rsidRPr="00FC5E0A">
        <w:rPr>
          <w:rFonts w:ascii="Times New Roman" w:hAnsi="Times New Roman"/>
          <w:lang w:val="en-US"/>
        </w:rPr>
        <w:t>T</w:t>
      </w:r>
      <w:r w:rsidRPr="00FC5E0A">
        <w:rPr>
          <w:rFonts w:ascii="Times New Roman" w:hAnsi="Times New Roman"/>
          <w:lang w:val="en-US"/>
        </w:rPr>
        <w:t>heoretical knowledge o</w:t>
      </w:r>
      <w:r w:rsidR="00094DB9" w:rsidRPr="00FC5E0A">
        <w:rPr>
          <w:rFonts w:ascii="Times New Roman" w:hAnsi="Times New Roman"/>
          <w:lang w:val="en-US"/>
        </w:rPr>
        <w:t>n</w:t>
      </w:r>
      <w:r w:rsidRPr="00FC5E0A">
        <w:rPr>
          <w:rFonts w:ascii="Times New Roman" w:hAnsi="Times New Roman"/>
          <w:lang w:val="en-US"/>
        </w:rPr>
        <w:t xml:space="preserve"> sport event management by gender and prior experience </w:t>
      </w:r>
    </w:p>
    <w:tbl>
      <w:tblPr>
        <w:tblW w:w="7144" w:type="dxa"/>
        <w:tblLayout w:type="fixed"/>
        <w:tblLook w:val="0600" w:firstRow="0" w:lastRow="0" w:firstColumn="0" w:lastColumn="0" w:noHBand="1" w:noVBand="1"/>
      </w:tblPr>
      <w:tblGrid>
        <w:gridCol w:w="2552"/>
        <w:gridCol w:w="1417"/>
        <w:gridCol w:w="1134"/>
        <w:gridCol w:w="822"/>
        <w:gridCol w:w="29"/>
        <w:gridCol w:w="1134"/>
        <w:gridCol w:w="56"/>
      </w:tblGrid>
      <w:tr w:rsidR="00FC5E0A" w:rsidRPr="00FC5E0A" w14:paraId="46103CDD" w14:textId="77777777" w:rsidTr="00E0418F">
        <w:trPr>
          <w:gridAfter w:val="1"/>
          <w:wAfter w:w="56" w:type="dxa"/>
          <w:trHeight w:val="360"/>
        </w:trPr>
        <w:tc>
          <w:tcPr>
            <w:tcW w:w="2552" w:type="dxa"/>
            <w:tcBorders>
              <w:top w:val="single" w:sz="4" w:space="0" w:color="auto"/>
              <w:bottom w:val="single" w:sz="4" w:space="0" w:color="auto"/>
            </w:tcBorders>
            <w:tcMar>
              <w:top w:w="100" w:type="dxa"/>
              <w:left w:w="100" w:type="dxa"/>
              <w:bottom w:w="100" w:type="dxa"/>
              <w:right w:w="100" w:type="dxa"/>
            </w:tcMar>
          </w:tcPr>
          <w:p w14:paraId="5CBC110B" w14:textId="77777777" w:rsidR="002329FC" w:rsidRPr="00FC5E0A" w:rsidRDefault="002329FC" w:rsidP="00D42A9C">
            <w:pPr>
              <w:pStyle w:val="TableText"/>
              <w:rPr>
                <w:rFonts w:ascii="Times New Roman" w:hAnsi="Times New Roman" w:cs="Times New Roman"/>
                <w:sz w:val="20"/>
                <w:szCs w:val="20"/>
              </w:rPr>
            </w:pPr>
          </w:p>
        </w:tc>
        <w:tc>
          <w:tcPr>
            <w:tcW w:w="1417" w:type="dxa"/>
            <w:tcBorders>
              <w:top w:val="single" w:sz="4" w:space="0" w:color="auto"/>
              <w:bottom w:val="single" w:sz="4" w:space="0" w:color="auto"/>
            </w:tcBorders>
            <w:tcMar>
              <w:top w:w="100" w:type="dxa"/>
              <w:left w:w="100" w:type="dxa"/>
              <w:bottom w:w="100" w:type="dxa"/>
              <w:right w:w="100" w:type="dxa"/>
            </w:tcMar>
          </w:tcPr>
          <w:p w14:paraId="35E6BB5F"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Mean score (range 0-10)</w:t>
            </w:r>
          </w:p>
        </w:tc>
        <w:tc>
          <w:tcPr>
            <w:tcW w:w="1134" w:type="dxa"/>
            <w:tcBorders>
              <w:top w:val="single" w:sz="4" w:space="0" w:color="auto"/>
              <w:bottom w:val="single" w:sz="4" w:space="0" w:color="auto"/>
            </w:tcBorders>
            <w:tcMar>
              <w:top w:w="100" w:type="dxa"/>
              <w:left w:w="100" w:type="dxa"/>
              <w:bottom w:w="100" w:type="dxa"/>
              <w:right w:w="100" w:type="dxa"/>
            </w:tcMar>
          </w:tcPr>
          <w:p w14:paraId="6FAF0652"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Standard</w:t>
            </w:r>
          </w:p>
          <w:p w14:paraId="28927DB0"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deviation</w:t>
            </w:r>
          </w:p>
        </w:tc>
        <w:tc>
          <w:tcPr>
            <w:tcW w:w="851" w:type="dxa"/>
            <w:gridSpan w:val="2"/>
            <w:tcBorders>
              <w:top w:val="single" w:sz="4" w:space="0" w:color="auto"/>
              <w:bottom w:val="single" w:sz="4" w:space="0" w:color="auto"/>
            </w:tcBorders>
          </w:tcPr>
          <w:p w14:paraId="16EC9332"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f</w:t>
            </w:r>
          </w:p>
        </w:tc>
        <w:tc>
          <w:tcPr>
            <w:tcW w:w="1134" w:type="dxa"/>
            <w:tcBorders>
              <w:top w:val="single" w:sz="4" w:space="0" w:color="auto"/>
              <w:bottom w:val="single" w:sz="4" w:space="0" w:color="auto"/>
            </w:tcBorders>
          </w:tcPr>
          <w:p w14:paraId="0CD798DE"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w:t>
            </w:r>
          </w:p>
        </w:tc>
      </w:tr>
      <w:tr w:rsidR="00FC5E0A" w:rsidRPr="00FC5E0A" w14:paraId="6A35A5D4" w14:textId="77777777" w:rsidTr="00E0418F">
        <w:trPr>
          <w:trHeight w:val="316"/>
        </w:trPr>
        <w:tc>
          <w:tcPr>
            <w:tcW w:w="2552" w:type="dxa"/>
            <w:tcBorders>
              <w:top w:val="single" w:sz="4" w:space="0" w:color="auto"/>
            </w:tcBorders>
            <w:shd w:val="clear" w:color="auto" w:fill="auto"/>
            <w:tcMar>
              <w:top w:w="100" w:type="dxa"/>
              <w:left w:w="100" w:type="dxa"/>
              <w:bottom w:w="100" w:type="dxa"/>
              <w:right w:w="100" w:type="dxa"/>
            </w:tcMar>
          </w:tcPr>
          <w:p w14:paraId="77FBB74F"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Men</w:t>
            </w:r>
          </w:p>
        </w:tc>
        <w:tc>
          <w:tcPr>
            <w:tcW w:w="1417" w:type="dxa"/>
            <w:tcBorders>
              <w:top w:val="single" w:sz="4" w:space="0" w:color="auto"/>
            </w:tcBorders>
            <w:shd w:val="clear" w:color="auto" w:fill="auto"/>
            <w:tcMar>
              <w:top w:w="100" w:type="dxa"/>
              <w:left w:w="100" w:type="dxa"/>
              <w:bottom w:w="100" w:type="dxa"/>
              <w:right w:w="100" w:type="dxa"/>
            </w:tcMar>
          </w:tcPr>
          <w:p w14:paraId="0EB4476A"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5.34</w:t>
            </w:r>
          </w:p>
        </w:tc>
        <w:tc>
          <w:tcPr>
            <w:tcW w:w="1134" w:type="dxa"/>
            <w:tcBorders>
              <w:top w:val="single" w:sz="4" w:space="0" w:color="auto"/>
            </w:tcBorders>
            <w:shd w:val="clear" w:color="auto" w:fill="auto"/>
            <w:tcMar>
              <w:top w:w="100" w:type="dxa"/>
              <w:left w:w="100" w:type="dxa"/>
              <w:bottom w:w="100" w:type="dxa"/>
              <w:right w:w="100" w:type="dxa"/>
            </w:tcMar>
          </w:tcPr>
          <w:p w14:paraId="35246EC5"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2.48</w:t>
            </w:r>
          </w:p>
        </w:tc>
        <w:tc>
          <w:tcPr>
            <w:tcW w:w="822" w:type="dxa"/>
            <w:tcBorders>
              <w:top w:val="single" w:sz="4" w:space="0" w:color="auto"/>
            </w:tcBorders>
          </w:tcPr>
          <w:p w14:paraId="51BA5D6C"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7</w:t>
            </w:r>
          </w:p>
        </w:tc>
        <w:tc>
          <w:tcPr>
            <w:tcW w:w="1219" w:type="dxa"/>
            <w:gridSpan w:val="3"/>
            <w:tcBorders>
              <w:top w:val="single" w:sz="4" w:space="0" w:color="auto"/>
            </w:tcBorders>
          </w:tcPr>
          <w:p w14:paraId="759EDA9D"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24</w:t>
            </w:r>
          </w:p>
        </w:tc>
      </w:tr>
      <w:tr w:rsidR="00FC5E0A" w:rsidRPr="00FC5E0A" w14:paraId="04464734" w14:textId="77777777" w:rsidTr="00E0418F">
        <w:trPr>
          <w:trHeight w:val="235"/>
        </w:trPr>
        <w:tc>
          <w:tcPr>
            <w:tcW w:w="2552" w:type="dxa"/>
            <w:shd w:val="clear" w:color="auto" w:fill="auto"/>
            <w:tcMar>
              <w:top w:w="100" w:type="dxa"/>
              <w:left w:w="100" w:type="dxa"/>
              <w:bottom w:w="100" w:type="dxa"/>
              <w:right w:w="100" w:type="dxa"/>
            </w:tcMar>
          </w:tcPr>
          <w:p w14:paraId="2727AC54" w14:textId="6B925883"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omen</w:t>
            </w:r>
          </w:p>
        </w:tc>
        <w:tc>
          <w:tcPr>
            <w:tcW w:w="1417" w:type="dxa"/>
            <w:shd w:val="clear" w:color="auto" w:fill="auto"/>
            <w:tcMar>
              <w:top w:w="100" w:type="dxa"/>
              <w:left w:w="100" w:type="dxa"/>
              <w:bottom w:w="100" w:type="dxa"/>
              <w:right w:w="100" w:type="dxa"/>
            </w:tcMar>
          </w:tcPr>
          <w:p w14:paraId="380AE516"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7.01</w:t>
            </w:r>
          </w:p>
        </w:tc>
        <w:tc>
          <w:tcPr>
            <w:tcW w:w="1134" w:type="dxa"/>
            <w:shd w:val="clear" w:color="auto" w:fill="auto"/>
            <w:tcMar>
              <w:top w:w="100" w:type="dxa"/>
              <w:left w:w="100" w:type="dxa"/>
              <w:bottom w:w="100" w:type="dxa"/>
              <w:right w:w="100" w:type="dxa"/>
            </w:tcMar>
          </w:tcPr>
          <w:p w14:paraId="15035D47"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2.36</w:t>
            </w:r>
          </w:p>
        </w:tc>
        <w:tc>
          <w:tcPr>
            <w:tcW w:w="822" w:type="dxa"/>
          </w:tcPr>
          <w:p w14:paraId="3D1E2FEE"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22</w:t>
            </w:r>
          </w:p>
        </w:tc>
        <w:tc>
          <w:tcPr>
            <w:tcW w:w="1219" w:type="dxa"/>
            <w:gridSpan w:val="3"/>
          </w:tcPr>
          <w:p w14:paraId="4A218DB5"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76</w:t>
            </w:r>
          </w:p>
        </w:tc>
      </w:tr>
      <w:tr w:rsidR="00FC5E0A" w:rsidRPr="00FC5E0A" w14:paraId="400BE391" w14:textId="77777777" w:rsidTr="00E0418F">
        <w:tc>
          <w:tcPr>
            <w:tcW w:w="2552" w:type="dxa"/>
            <w:shd w:val="clear" w:color="auto" w:fill="auto"/>
            <w:tcMar>
              <w:top w:w="100" w:type="dxa"/>
              <w:left w:w="100" w:type="dxa"/>
              <w:bottom w:w="100" w:type="dxa"/>
              <w:right w:w="100" w:type="dxa"/>
            </w:tcMar>
          </w:tcPr>
          <w:p w14:paraId="17263F54"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With prior experience</w:t>
            </w:r>
          </w:p>
        </w:tc>
        <w:tc>
          <w:tcPr>
            <w:tcW w:w="1417" w:type="dxa"/>
            <w:shd w:val="clear" w:color="auto" w:fill="auto"/>
            <w:tcMar>
              <w:top w:w="100" w:type="dxa"/>
              <w:left w:w="100" w:type="dxa"/>
              <w:bottom w:w="100" w:type="dxa"/>
              <w:right w:w="100" w:type="dxa"/>
            </w:tcMar>
          </w:tcPr>
          <w:p w14:paraId="31583E27"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8.04</w:t>
            </w:r>
          </w:p>
        </w:tc>
        <w:tc>
          <w:tcPr>
            <w:tcW w:w="1134" w:type="dxa"/>
            <w:shd w:val="clear" w:color="auto" w:fill="auto"/>
            <w:tcMar>
              <w:top w:w="100" w:type="dxa"/>
              <w:left w:w="100" w:type="dxa"/>
              <w:bottom w:w="100" w:type="dxa"/>
              <w:right w:w="100" w:type="dxa"/>
            </w:tcMar>
          </w:tcPr>
          <w:p w14:paraId="21552055"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1.49</w:t>
            </w:r>
          </w:p>
        </w:tc>
        <w:tc>
          <w:tcPr>
            <w:tcW w:w="822" w:type="dxa"/>
          </w:tcPr>
          <w:p w14:paraId="59C61F44"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9</w:t>
            </w:r>
          </w:p>
        </w:tc>
        <w:tc>
          <w:tcPr>
            <w:tcW w:w="1219" w:type="dxa"/>
            <w:gridSpan w:val="3"/>
          </w:tcPr>
          <w:p w14:paraId="20AA4AFF"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31</w:t>
            </w:r>
          </w:p>
        </w:tc>
      </w:tr>
      <w:tr w:rsidR="00FC5E0A" w:rsidRPr="00FC5E0A" w14:paraId="2641776D" w14:textId="77777777" w:rsidTr="00E0418F">
        <w:tc>
          <w:tcPr>
            <w:tcW w:w="2552" w:type="dxa"/>
            <w:shd w:val="clear" w:color="auto" w:fill="auto"/>
            <w:tcMar>
              <w:top w:w="100" w:type="dxa"/>
              <w:left w:w="100" w:type="dxa"/>
              <w:bottom w:w="100" w:type="dxa"/>
              <w:right w:w="100" w:type="dxa"/>
            </w:tcMar>
          </w:tcPr>
          <w:p w14:paraId="2325FDBB"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Without prior experience</w:t>
            </w:r>
          </w:p>
        </w:tc>
        <w:tc>
          <w:tcPr>
            <w:tcW w:w="1417" w:type="dxa"/>
            <w:shd w:val="clear" w:color="auto" w:fill="auto"/>
            <w:tcMar>
              <w:top w:w="100" w:type="dxa"/>
              <w:left w:w="100" w:type="dxa"/>
              <w:bottom w:w="100" w:type="dxa"/>
              <w:right w:w="100" w:type="dxa"/>
            </w:tcMar>
          </w:tcPr>
          <w:p w14:paraId="0383B06D"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5.96</w:t>
            </w:r>
          </w:p>
        </w:tc>
        <w:tc>
          <w:tcPr>
            <w:tcW w:w="1134" w:type="dxa"/>
            <w:shd w:val="clear" w:color="auto" w:fill="auto"/>
            <w:tcMar>
              <w:top w:w="100" w:type="dxa"/>
              <w:left w:w="100" w:type="dxa"/>
              <w:bottom w:w="100" w:type="dxa"/>
              <w:right w:w="100" w:type="dxa"/>
            </w:tcMar>
          </w:tcPr>
          <w:p w14:paraId="6E13EFA1"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2.55</w:t>
            </w:r>
          </w:p>
        </w:tc>
        <w:tc>
          <w:tcPr>
            <w:tcW w:w="822" w:type="dxa"/>
          </w:tcPr>
          <w:p w14:paraId="0DDCEFDF"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20</w:t>
            </w:r>
          </w:p>
        </w:tc>
        <w:tc>
          <w:tcPr>
            <w:tcW w:w="1219" w:type="dxa"/>
            <w:gridSpan w:val="3"/>
          </w:tcPr>
          <w:p w14:paraId="6FEB0591"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69</w:t>
            </w:r>
          </w:p>
        </w:tc>
      </w:tr>
      <w:tr w:rsidR="002329FC" w:rsidRPr="00FC5E0A" w14:paraId="5FBA66A0" w14:textId="77777777" w:rsidTr="00E0418F">
        <w:tc>
          <w:tcPr>
            <w:tcW w:w="2552" w:type="dxa"/>
            <w:tcBorders>
              <w:bottom w:val="single" w:sz="4" w:space="0" w:color="auto"/>
            </w:tcBorders>
            <w:shd w:val="clear" w:color="auto" w:fill="auto"/>
            <w:tcMar>
              <w:top w:w="100" w:type="dxa"/>
              <w:left w:w="100" w:type="dxa"/>
              <w:bottom w:w="100" w:type="dxa"/>
              <w:right w:w="100" w:type="dxa"/>
            </w:tcMar>
          </w:tcPr>
          <w:p w14:paraId="388F4BDE"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Total</w:t>
            </w:r>
          </w:p>
        </w:tc>
        <w:tc>
          <w:tcPr>
            <w:tcW w:w="1417" w:type="dxa"/>
            <w:tcBorders>
              <w:bottom w:val="single" w:sz="4" w:space="0" w:color="auto"/>
            </w:tcBorders>
            <w:shd w:val="clear" w:color="auto" w:fill="auto"/>
            <w:tcMar>
              <w:top w:w="100" w:type="dxa"/>
              <w:left w:w="100" w:type="dxa"/>
              <w:bottom w:w="100" w:type="dxa"/>
              <w:right w:w="100" w:type="dxa"/>
            </w:tcMar>
          </w:tcPr>
          <w:p w14:paraId="6C5E511F"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6.61</w:t>
            </w:r>
          </w:p>
        </w:tc>
        <w:tc>
          <w:tcPr>
            <w:tcW w:w="1134" w:type="dxa"/>
            <w:tcBorders>
              <w:bottom w:val="single" w:sz="4" w:space="0" w:color="auto"/>
            </w:tcBorders>
            <w:shd w:val="clear" w:color="auto" w:fill="auto"/>
            <w:tcMar>
              <w:top w:w="100" w:type="dxa"/>
              <w:left w:w="100" w:type="dxa"/>
              <w:bottom w:w="100" w:type="dxa"/>
              <w:right w:w="100" w:type="dxa"/>
            </w:tcMar>
          </w:tcPr>
          <w:p w14:paraId="795B0B6B"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2.46</w:t>
            </w:r>
          </w:p>
        </w:tc>
        <w:tc>
          <w:tcPr>
            <w:tcW w:w="822" w:type="dxa"/>
            <w:tcBorders>
              <w:bottom w:val="single" w:sz="4" w:space="0" w:color="auto"/>
            </w:tcBorders>
          </w:tcPr>
          <w:p w14:paraId="34D1FD23"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29</w:t>
            </w:r>
          </w:p>
        </w:tc>
        <w:tc>
          <w:tcPr>
            <w:tcW w:w="1219" w:type="dxa"/>
            <w:gridSpan w:val="3"/>
            <w:tcBorders>
              <w:bottom w:val="single" w:sz="4" w:space="0" w:color="auto"/>
            </w:tcBorders>
          </w:tcPr>
          <w:p w14:paraId="76E8E587" w14:textId="77777777" w:rsidR="002329FC" w:rsidRPr="00FC5E0A" w:rsidRDefault="002329FC" w:rsidP="00D42A9C">
            <w:pPr>
              <w:pStyle w:val="TableText"/>
              <w:rPr>
                <w:rFonts w:ascii="Times New Roman" w:hAnsi="Times New Roman" w:cs="Times New Roman"/>
                <w:sz w:val="20"/>
                <w:szCs w:val="20"/>
              </w:rPr>
            </w:pPr>
            <w:r w:rsidRPr="00FC5E0A">
              <w:rPr>
                <w:rFonts w:ascii="Times New Roman" w:hAnsi="Times New Roman" w:cs="Times New Roman"/>
                <w:sz w:val="20"/>
                <w:szCs w:val="20"/>
              </w:rPr>
              <w:t>100</w:t>
            </w:r>
          </w:p>
        </w:tc>
      </w:tr>
    </w:tbl>
    <w:p w14:paraId="4552B9A1" w14:textId="77777777" w:rsidR="002329FC" w:rsidRPr="00FC5E0A" w:rsidRDefault="002329FC" w:rsidP="005E527D">
      <w:pPr>
        <w:spacing w:line="264" w:lineRule="auto"/>
        <w:ind w:firstLine="284"/>
        <w:jc w:val="both"/>
        <w:rPr>
          <w:rFonts w:ascii="Times New Roman" w:hAnsi="Times New Roman"/>
          <w:lang w:val="en-US"/>
        </w:rPr>
      </w:pPr>
    </w:p>
    <w:p w14:paraId="7A551065" w14:textId="77777777" w:rsidR="002329FC" w:rsidRPr="00FC5E0A" w:rsidRDefault="002329FC" w:rsidP="005E527D">
      <w:pPr>
        <w:spacing w:line="264" w:lineRule="auto"/>
        <w:ind w:firstLine="284"/>
        <w:jc w:val="both"/>
        <w:rPr>
          <w:rFonts w:ascii="Times New Roman" w:hAnsi="Times New Roman"/>
          <w:lang w:val="en-US"/>
        </w:rPr>
      </w:pPr>
    </w:p>
    <w:p w14:paraId="2F13BD1F" w14:textId="507E078A" w:rsidR="000F6E7E" w:rsidRPr="00FC5E0A" w:rsidRDefault="000F6E7E" w:rsidP="005E527D">
      <w:pPr>
        <w:spacing w:line="264" w:lineRule="auto"/>
        <w:ind w:firstLine="284"/>
        <w:jc w:val="both"/>
        <w:rPr>
          <w:rFonts w:ascii="Times New Roman" w:hAnsi="Times New Roman"/>
          <w:lang w:val="en-US"/>
        </w:rPr>
      </w:pPr>
      <w:r w:rsidRPr="00FC5E0A">
        <w:rPr>
          <w:rFonts w:ascii="Times New Roman" w:hAnsi="Times New Roman"/>
          <w:lang w:val="en-US"/>
        </w:rPr>
        <w:t xml:space="preserve">When gender is taken into consideration, men’s mean performance is M=5.34 while for women is M=7.01. However, results from t-test application (t=-1.606, df=27, p=.792), showed that this difference in organizers’ knowledge acquisition by gender is not found to be statistically significant (Table </w:t>
      </w:r>
      <w:r w:rsidR="002329FC" w:rsidRPr="00FC5E0A">
        <w:rPr>
          <w:rFonts w:ascii="Times New Roman" w:hAnsi="Times New Roman"/>
          <w:lang w:val="en-US"/>
        </w:rPr>
        <w:t>3</w:t>
      </w:r>
      <w:r w:rsidRPr="00FC5E0A">
        <w:rPr>
          <w:rFonts w:ascii="Times New Roman" w:hAnsi="Times New Roman"/>
          <w:lang w:val="en-US"/>
        </w:rPr>
        <w:t xml:space="preserve">). </w:t>
      </w:r>
    </w:p>
    <w:p w14:paraId="63D5FD46" w14:textId="234B1C1D" w:rsidR="005D67EA" w:rsidRPr="00FC5E0A" w:rsidRDefault="000F6E7E" w:rsidP="005E527D">
      <w:pPr>
        <w:pStyle w:val="Articlenormaltext"/>
        <w:rPr>
          <w:szCs w:val="22"/>
        </w:rPr>
      </w:pPr>
      <w:r w:rsidRPr="00FC5E0A">
        <w:rPr>
          <w:szCs w:val="22"/>
        </w:rPr>
        <w:t>Regarding prior knowledge on sport event management, based on the t-test statistics value (t=-2.264, df=27, p=.032), organizers with prior knowledge on sport event management (M=8.04, SD=1.49) achieved higher academic performance than those without prior knowledge (M=5.96, SD=2.55).</w:t>
      </w:r>
    </w:p>
    <w:p w14:paraId="16D5FBCA" w14:textId="3D343D1B" w:rsidR="00BE48C4" w:rsidRPr="00FC5E0A" w:rsidRDefault="00726CE5" w:rsidP="000B5A7F">
      <w:pPr>
        <w:pStyle w:val="2"/>
        <w:rPr>
          <w:rFonts w:ascii="Times New Roman" w:hAnsi="Times New Roman" w:cs="Times New Roman"/>
          <w:sz w:val="22"/>
          <w:szCs w:val="22"/>
        </w:rPr>
      </w:pPr>
      <w:r w:rsidRPr="00FC5E0A">
        <w:rPr>
          <w:rFonts w:ascii="Times New Roman" w:hAnsi="Times New Roman" w:cs="Times New Roman"/>
          <w:sz w:val="22"/>
          <w:szCs w:val="22"/>
        </w:rPr>
        <w:t xml:space="preserve">VIFT </w:t>
      </w:r>
      <w:r w:rsidR="00234FB7" w:rsidRPr="00FC5E0A">
        <w:rPr>
          <w:rFonts w:ascii="Times New Roman" w:hAnsi="Times New Roman" w:cs="Times New Roman"/>
          <w:sz w:val="22"/>
          <w:szCs w:val="22"/>
        </w:rPr>
        <w:t xml:space="preserve">Evaluation: </w:t>
      </w:r>
      <w:r w:rsidR="00550860" w:rsidRPr="00FC5E0A">
        <w:rPr>
          <w:rFonts w:ascii="Times New Roman" w:hAnsi="Times New Roman" w:cs="Times New Roman"/>
          <w:sz w:val="22"/>
          <w:szCs w:val="22"/>
        </w:rPr>
        <w:t>Organizers</w:t>
      </w:r>
      <w:r w:rsidR="00F00179" w:rsidRPr="00FC5E0A">
        <w:rPr>
          <w:rFonts w:ascii="Times New Roman" w:hAnsi="Times New Roman" w:cs="Times New Roman"/>
          <w:sz w:val="22"/>
          <w:szCs w:val="22"/>
        </w:rPr>
        <w:t xml:space="preserve">, organization </w:t>
      </w:r>
      <w:r w:rsidR="001601EF" w:rsidRPr="00FC5E0A">
        <w:rPr>
          <w:rFonts w:ascii="Times New Roman" w:hAnsi="Times New Roman" w:cs="Times New Roman"/>
          <w:sz w:val="22"/>
          <w:szCs w:val="22"/>
        </w:rPr>
        <w:t xml:space="preserve">&amp; </w:t>
      </w:r>
      <w:r w:rsidR="00F00179" w:rsidRPr="00FC5E0A">
        <w:rPr>
          <w:rFonts w:ascii="Times New Roman" w:hAnsi="Times New Roman" w:cs="Times New Roman"/>
          <w:sz w:val="22"/>
          <w:szCs w:val="22"/>
        </w:rPr>
        <w:t xml:space="preserve">implementation </w:t>
      </w:r>
    </w:p>
    <w:p w14:paraId="7AB6ADDE" w14:textId="28D09D47" w:rsidR="00E05585" w:rsidRPr="00FC5E0A" w:rsidRDefault="00550860" w:rsidP="005E527D">
      <w:pPr>
        <w:pStyle w:val="Articlenormaltext"/>
        <w:ind w:firstLine="0"/>
        <w:rPr>
          <w:szCs w:val="22"/>
        </w:rPr>
      </w:pPr>
      <w:r w:rsidRPr="00FC5E0A">
        <w:rPr>
          <w:szCs w:val="22"/>
        </w:rPr>
        <w:t xml:space="preserve">After the completion of the VIFT the participants </w:t>
      </w:r>
      <w:r w:rsidR="00D6691B" w:rsidRPr="00FC5E0A">
        <w:rPr>
          <w:szCs w:val="22"/>
        </w:rPr>
        <w:t>proceeded to</w:t>
      </w:r>
      <w:r w:rsidRPr="00FC5E0A">
        <w:rPr>
          <w:szCs w:val="22"/>
        </w:rPr>
        <w:t xml:space="preserve"> </w:t>
      </w:r>
      <w:r w:rsidR="00E05585" w:rsidRPr="00FC5E0A">
        <w:rPr>
          <w:szCs w:val="22"/>
        </w:rPr>
        <w:t xml:space="preserve">the evaluation of the organizers regarding their sport event management efficiency and the overall </w:t>
      </w:r>
      <w:r w:rsidR="00F00179" w:rsidRPr="00FC5E0A">
        <w:rPr>
          <w:szCs w:val="22"/>
        </w:rPr>
        <w:t xml:space="preserve">organization &amp; </w:t>
      </w:r>
      <w:r w:rsidR="00460087" w:rsidRPr="00FC5E0A">
        <w:rPr>
          <w:szCs w:val="22"/>
        </w:rPr>
        <w:t>impleme</w:t>
      </w:r>
      <w:r w:rsidR="00F00179" w:rsidRPr="00FC5E0A">
        <w:rPr>
          <w:szCs w:val="22"/>
        </w:rPr>
        <w:t>ntation</w:t>
      </w:r>
      <w:r w:rsidR="00E05585" w:rsidRPr="00FC5E0A">
        <w:rPr>
          <w:szCs w:val="22"/>
        </w:rPr>
        <w:t xml:space="preserve"> of the VIFT</w:t>
      </w:r>
      <w:r w:rsidRPr="00FC5E0A">
        <w:rPr>
          <w:szCs w:val="22"/>
        </w:rPr>
        <w:t xml:space="preserve">, through the </w:t>
      </w:r>
      <w:r w:rsidR="002329FC" w:rsidRPr="00FC5E0A">
        <w:rPr>
          <w:szCs w:val="22"/>
        </w:rPr>
        <w:t>“</w:t>
      </w:r>
      <w:r w:rsidRPr="00FC5E0A">
        <w:rPr>
          <w:szCs w:val="22"/>
        </w:rPr>
        <w:t>Virtual Experience Test: A Virtual Environment Evaluation Questionnaire”. questionnaire</w:t>
      </w:r>
      <w:r w:rsidR="00E05585" w:rsidRPr="00FC5E0A">
        <w:rPr>
          <w:szCs w:val="22"/>
        </w:rPr>
        <w:t xml:space="preserve">. </w:t>
      </w:r>
    </w:p>
    <w:p w14:paraId="4D39263E" w14:textId="5594B0AA" w:rsidR="00E05585" w:rsidRPr="00FC5E0A" w:rsidRDefault="00E05585" w:rsidP="005E527D">
      <w:pPr>
        <w:pStyle w:val="Articlenormaltext"/>
        <w:rPr>
          <w:szCs w:val="22"/>
        </w:rPr>
      </w:pPr>
      <w:r w:rsidRPr="00FC5E0A">
        <w:rPr>
          <w:szCs w:val="22"/>
        </w:rPr>
        <w:t xml:space="preserve"> </w:t>
      </w:r>
      <w:r w:rsidR="00550860" w:rsidRPr="00FC5E0A">
        <w:rPr>
          <w:szCs w:val="22"/>
        </w:rPr>
        <w:t xml:space="preserve">The questionnaire completed by </w:t>
      </w:r>
      <w:r w:rsidRPr="00FC5E0A">
        <w:rPr>
          <w:szCs w:val="22"/>
        </w:rPr>
        <w:t xml:space="preserve">(N=206, </w:t>
      </w:r>
      <w:r w:rsidR="00550860" w:rsidRPr="00FC5E0A">
        <w:rPr>
          <w:szCs w:val="22"/>
        </w:rPr>
        <w:t xml:space="preserve">participants. </w:t>
      </w:r>
      <w:r w:rsidRPr="00FC5E0A">
        <w:rPr>
          <w:szCs w:val="22"/>
        </w:rPr>
        <w:t xml:space="preserve">51.45% </w:t>
      </w:r>
      <w:r w:rsidR="00550860" w:rsidRPr="00FC5E0A">
        <w:rPr>
          <w:szCs w:val="22"/>
        </w:rPr>
        <w:t xml:space="preserve">of them were </w:t>
      </w:r>
      <w:r w:rsidR="002329FC" w:rsidRPr="00FC5E0A">
        <w:rPr>
          <w:szCs w:val="22"/>
        </w:rPr>
        <w:t>wo</w:t>
      </w:r>
      <w:r w:rsidR="00550860" w:rsidRPr="00FC5E0A">
        <w:rPr>
          <w:szCs w:val="22"/>
        </w:rPr>
        <w:t xml:space="preserve">men and </w:t>
      </w:r>
      <w:r w:rsidRPr="00FC5E0A">
        <w:rPr>
          <w:szCs w:val="22"/>
        </w:rPr>
        <w:t>48.54%</w:t>
      </w:r>
      <w:r w:rsidR="00550860" w:rsidRPr="00FC5E0A">
        <w:rPr>
          <w:szCs w:val="22"/>
        </w:rPr>
        <w:t xml:space="preserve"> were men</w:t>
      </w:r>
      <w:r w:rsidRPr="00FC5E0A">
        <w:rPr>
          <w:szCs w:val="22"/>
        </w:rPr>
        <w:t>)</w:t>
      </w:r>
      <w:r w:rsidR="002329FC" w:rsidRPr="00FC5E0A">
        <w:rPr>
          <w:szCs w:val="22"/>
        </w:rPr>
        <w:t>.</w:t>
      </w:r>
    </w:p>
    <w:p w14:paraId="2A2928E9" w14:textId="2EF0EF00" w:rsidR="00BE48C4" w:rsidRPr="00FC5E0A" w:rsidRDefault="00E05585" w:rsidP="005E527D">
      <w:pPr>
        <w:pStyle w:val="Articlenormaltext"/>
        <w:rPr>
          <w:szCs w:val="22"/>
        </w:rPr>
      </w:pPr>
      <w:r w:rsidRPr="00FC5E0A">
        <w:rPr>
          <w:szCs w:val="22"/>
        </w:rPr>
        <w:t xml:space="preserve">Concerning the sport event management efficiency, from the results shown in Table </w:t>
      </w:r>
      <w:r w:rsidR="00B44B02" w:rsidRPr="00FC5E0A">
        <w:rPr>
          <w:szCs w:val="22"/>
        </w:rPr>
        <w:t>4</w:t>
      </w:r>
      <w:r w:rsidRPr="00FC5E0A">
        <w:rPr>
          <w:szCs w:val="22"/>
        </w:rPr>
        <w:t xml:space="preserve">, it can be drawn that the organizers have been highly rated by the participants (M=4.82, in a Likert scale 1-5, SD=.36). </w:t>
      </w:r>
    </w:p>
    <w:p w14:paraId="7086F216" w14:textId="1AA5FB23" w:rsidR="00CC2565" w:rsidRPr="00FC5E0A" w:rsidRDefault="00CC2565" w:rsidP="00CC2565">
      <w:pPr>
        <w:pStyle w:val="Articlenormaltext"/>
        <w:rPr>
          <w:szCs w:val="22"/>
        </w:rPr>
      </w:pPr>
      <w:r w:rsidRPr="00FC5E0A">
        <w:rPr>
          <w:szCs w:val="22"/>
        </w:rPr>
        <w:t xml:space="preserve">Concerning the organizers’ management efficiency, the answers were given </w:t>
      </w:r>
      <w:r w:rsidR="00B44B02" w:rsidRPr="00FC5E0A">
        <w:rPr>
          <w:szCs w:val="22"/>
        </w:rPr>
        <w:t>in a</w:t>
      </w:r>
      <w:r w:rsidRPr="00FC5E0A">
        <w:rPr>
          <w:szCs w:val="22"/>
        </w:rPr>
        <w:t xml:space="preserve"> Likert scale 1-5 (1=Very Poor, 2=Poor, 3=Satisfactory, 4=Very good and 5=Perfect). The results showed that the vast majority (f=156, 75.72%) declared that the VIFT management was perfect, while another 18.92</w:t>
      </w:r>
      <w:r w:rsidR="00D6691B" w:rsidRPr="00FC5E0A">
        <w:rPr>
          <w:szCs w:val="22"/>
        </w:rPr>
        <w:t>% (</w:t>
      </w:r>
      <w:r w:rsidRPr="00FC5E0A">
        <w:rPr>
          <w:szCs w:val="22"/>
        </w:rPr>
        <w:t xml:space="preserve">f=39) found it “Very good”. The mean score was extremely high (M=4.82, in a Likert scale 1-5, SD=.36). </w:t>
      </w:r>
    </w:p>
    <w:p w14:paraId="57848557" w14:textId="55852DB7" w:rsidR="00CC2565" w:rsidRPr="00FC5E0A" w:rsidRDefault="00CC2565" w:rsidP="005E527D">
      <w:pPr>
        <w:pStyle w:val="Articlenormaltext"/>
        <w:rPr>
          <w:szCs w:val="22"/>
        </w:rPr>
      </w:pPr>
      <w:r w:rsidRPr="00FC5E0A">
        <w:rPr>
          <w:szCs w:val="22"/>
        </w:rPr>
        <w:t xml:space="preserve">The results are presented in Table </w:t>
      </w:r>
      <w:r w:rsidR="00B44B02" w:rsidRPr="00FC5E0A">
        <w:rPr>
          <w:szCs w:val="22"/>
        </w:rPr>
        <w:t>4</w:t>
      </w:r>
      <w:r w:rsidRPr="00FC5E0A">
        <w:rPr>
          <w:szCs w:val="22"/>
        </w:rPr>
        <w:t>.</w:t>
      </w:r>
    </w:p>
    <w:p w14:paraId="26F1A748" w14:textId="77777777" w:rsidR="00815F5D" w:rsidRPr="00FC5E0A" w:rsidRDefault="00815F5D" w:rsidP="005E527D">
      <w:pPr>
        <w:pStyle w:val="Articlenormaltext"/>
        <w:rPr>
          <w:szCs w:val="22"/>
        </w:rPr>
      </w:pPr>
    </w:p>
    <w:p w14:paraId="0858F174" w14:textId="77777777" w:rsidR="00815F5D" w:rsidRPr="00FC5E0A" w:rsidRDefault="00815F5D" w:rsidP="005E527D">
      <w:pPr>
        <w:pStyle w:val="Articlenormaltext"/>
        <w:rPr>
          <w:szCs w:val="22"/>
        </w:rPr>
      </w:pPr>
    </w:p>
    <w:p w14:paraId="724BA092" w14:textId="77777777" w:rsidR="00815F5D" w:rsidRPr="00FC5E0A" w:rsidRDefault="00815F5D" w:rsidP="005E527D">
      <w:pPr>
        <w:pStyle w:val="Articlenormaltext"/>
        <w:rPr>
          <w:szCs w:val="22"/>
        </w:rPr>
      </w:pPr>
    </w:p>
    <w:p w14:paraId="122AAD01" w14:textId="77777777" w:rsidR="00815F5D" w:rsidRPr="00FC5E0A" w:rsidRDefault="00815F5D" w:rsidP="005E527D">
      <w:pPr>
        <w:pStyle w:val="Articlenormaltext"/>
        <w:rPr>
          <w:szCs w:val="22"/>
        </w:rPr>
      </w:pPr>
    </w:p>
    <w:p w14:paraId="4AA4296C" w14:textId="77777777" w:rsidR="00BE48C4" w:rsidRPr="00FC5E0A" w:rsidRDefault="00BE48C4" w:rsidP="00BE48C4">
      <w:pPr>
        <w:pStyle w:val="Articlenormaltext"/>
        <w:rPr>
          <w:szCs w:val="22"/>
        </w:rPr>
      </w:pPr>
    </w:p>
    <w:p w14:paraId="632FE0C8" w14:textId="623F7633" w:rsidR="00B6627A" w:rsidRPr="00FC5E0A" w:rsidRDefault="00B6627A" w:rsidP="00B6627A">
      <w:pPr>
        <w:tabs>
          <w:tab w:val="left" w:pos="851"/>
        </w:tabs>
        <w:spacing w:after="120" w:line="240" w:lineRule="auto"/>
        <w:rPr>
          <w:rFonts w:ascii="Times New Roman" w:hAnsi="Times New Roman"/>
        </w:rPr>
      </w:pPr>
      <w:r w:rsidRPr="00FC5E0A">
        <w:rPr>
          <w:rFonts w:ascii="Times New Roman" w:hAnsi="Times New Roman"/>
          <w:b/>
          <w:bCs/>
          <w:lang w:val="en-US"/>
        </w:rPr>
        <w:lastRenderedPageBreak/>
        <w:t xml:space="preserve">Table </w:t>
      </w:r>
      <w:r w:rsidR="00B44B02" w:rsidRPr="00FC5E0A">
        <w:rPr>
          <w:rFonts w:ascii="Times New Roman" w:hAnsi="Times New Roman"/>
          <w:b/>
          <w:bCs/>
          <w:lang w:val="en-US"/>
        </w:rPr>
        <w:t>4</w:t>
      </w:r>
      <w:r w:rsidRPr="00FC5E0A">
        <w:rPr>
          <w:rFonts w:ascii="Times New Roman" w:hAnsi="Times New Roman"/>
          <w:b/>
          <w:bCs/>
          <w:lang w:val="en-US"/>
        </w:rPr>
        <w:t>:</w:t>
      </w:r>
      <w:r w:rsidRPr="00FC5E0A">
        <w:rPr>
          <w:rFonts w:ascii="Times New Roman" w:hAnsi="Times New Roman"/>
          <w:lang w:val="en-US"/>
        </w:rPr>
        <w:t xml:space="preserve"> </w:t>
      </w:r>
      <w:r w:rsidRPr="00FC5E0A">
        <w:rPr>
          <w:rFonts w:ascii="Times New Roman" w:hAnsi="Times New Roman"/>
          <w:lang w:val="en-US"/>
        </w:rPr>
        <w:tab/>
      </w:r>
      <w:r w:rsidR="00060340" w:rsidRPr="00FC5E0A">
        <w:rPr>
          <w:rFonts w:ascii="Times New Roman" w:hAnsi="Times New Roman"/>
          <w:lang w:val="en-US"/>
        </w:rPr>
        <w:t>Evaluation of the organizers’ sport event management efficiency</w:t>
      </w:r>
    </w:p>
    <w:tbl>
      <w:tblPr>
        <w:tblW w:w="4990" w:type="dxa"/>
        <w:tblLayout w:type="fixed"/>
        <w:tblLook w:val="0600" w:firstRow="0" w:lastRow="0" w:firstColumn="0" w:lastColumn="0" w:noHBand="1" w:noVBand="1"/>
      </w:tblPr>
      <w:tblGrid>
        <w:gridCol w:w="2552"/>
        <w:gridCol w:w="1219"/>
        <w:gridCol w:w="1219"/>
      </w:tblGrid>
      <w:tr w:rsidR="00FC5E0A" w:rsidRPr="00FC5E0A" w14:paraId="363441D5" w14:textId="77777777" w:rsidTr="000E0E3E">
        <w:trPr>
          <w:trHeight w:val="360"/>
        </w:trPr>
        <w:tc>
          <w:tcPr>
            <w:tcW w:w="2552" w:type="dxa"/>
            <w:tcBorders>
              <w:top w:val="single" w:sz="4" w:space="0" w:color="auto"/>
              <w:bottom w:val="single" w:sz="4" w:space="0" w:color="auto"/>
            </w:tcBorders>
            <w:tcMar>
              <w:top w:w="100" w:type="dxa"/>
              <w:left w:w="100" w:type="dxa"/>
              <w:bottom w:w="100" w:type="dxa"/>
              <w:right w:w="100" w:type="dxa"/>
            </w:tcMar>
          </w:tcPr>
          <w:p w14:paraId="3ECF4F45" w14:textId="64B68837" w:rsidR="000E0E3E" w:rsidRPr="00FC5E0A" w:rsidRDefault="000E0E3E"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Evaluation of the organizers</w:t>
            </w:r>
            <w:r w:rsidR="00B44B02" w:rsidRPr="00FC5E0A">
              <w:rPr>
                <w:rFonts w:ascii="Times New Roman" w:hAnsi="Times New Roman" w:cs="Times New Roman"/>
                <w:sz w:val="20"/>
                <w:szCs w:val="20"/>
              </w:rPr>
              <w:t>’ efficiency</w:t>
            </w:r>
          </w:p>
        </w:tc>
        <w:tc>
          <w:tcPr>
            <w:tcW w:w="1219" w:type="dxa"/>
            <w:tcBorders>
              <w:top w:val="single" w:sz="4" w:space="0" w:color="auto"/>
              <w:bottom w:val="single" w:sz="4" w:space="0" w:color="auto"/>
            </w:tcBorders>
          </w:tcPr>
          <w:p w14:paraId="2D70AF14" w14:textId="77777777" w:rsidR="000E0E3E" w:rsidRPr="00FC5E0A" w:rsidRDefault="000E0E3E"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f</w:t>
            </w:r>
          </w:p>
        </w:tc>
        <w:tc>
          <w:tcPr>
            <w:tcW w:w="1219" w:type="dxa"/>
            <w:tcBorders>
              <w:top w:val="single" w:sz="4" w:space="0" w:color="auto"/>
              <w:bottom w:val="single" w:sz="4" w:space="0" w:color="auto"/>
            </w:tcBorders>
          </w:tcPr>
          <w:p w14:paraId="56F954BA" w14:textId="77777777" w:rsidR="000E0E3E" w:rsidRPr="00FC5E0A" w:rsidRDefault="000E0E3E"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w:t>
            </w:r>
          </w:p>
        </w:tc>
      </w:tr>
      <w:tr w:rsidR="00FC5E0A" w:rsidRPr="00FC5E0A" w14:paraId="5A27AC1D" w14:textId="77777777" w:rsidTr="000E0E3E">
        <w:tc>
          <w:tcPr>
            <w:tcW w:w="2552" w:type="dxa"/>
            <w:tcBorders>
              <w:top w:val="single" w:sz="4" w:space="0" w:color="auto"/>
            </w:tcBorders>
            <w:shd w:val="clear" w:color="auto" w:fill="auto"/>
            <w:tcMar>
              <w:top w:w="100" w:type="dxa"/>
              <w:left w:w="100" w:type="dxa"/>
              <w:bottom w:w="100" w:type="dxa"/>
              <w:right w:w="100" w:type="dxa"/>
            </w:tcMar>
          </w:tcPr>
          <w:p w14:paraId="0DCE4F31" w14:textId="2D2D64A7" w:rsidR="000E0E3E" w:rsidRPr="00FC5E0A" w:rsidRDefault="000E0E3E"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1 Very Poor</w:t>
            </w:r>
          </w:p>
        </w:tc>
        <w:tc>
          <w:tcPr>
            <w:tcW w:w="1219" w:type="dxa"/>
            <w:tcBorders>
              <w:top w:val="single" w:sz="4" w:space="0" w:color="auto"/>
            </w:tcBorders>
          </w:tcPr>
          <w:p w14:paraId="26615331" w14:textId="0E64241D" w:rsidR="000E0E3E" w:rsidRPr="00FC5E0A" w:rsidRDefault="000E0E3E"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1</w:t>
            </w:r>
          </w:p>
        </w:tc>
        <w:tc>
          <w:tcPr>
            <w:tcW w:w="1219" w:type="dxa"/>
            <w:tcBorders>
              <w:top w:val="single" w:sz="4" w:space="0" w:color="auto"/>
            </w:tcBorders>
          </w:tcPr>
          <w:p w14:paraId="7EC156B0" w14:textId="5BBD6437" w:rsidR="000E0E3E" w:rsidRPr="00FC5E0A" w:rsidRDefault="00B44B02"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 xml:space="preserve">    </w:t>
            </w:r>
            <w:r w:rsidR="00986DD0" w:rsidRPr="00FC5E0A">
              <w:rPr>
                <w:rFonts w:ascii="Times New Roman" w:hAnsi="Times New Roman" w:cs="Times New Roman"/>
                <w:sz w:val="20"/>
                <w:szCs w:val="20"/>
              </w:rPr>
              <w:t>.49</w:t>
            </w:r>
          </w:p>
        </w:tc>
      </w:tr>
      <w:tr w:rsidR="00FC5E0A" w:rsidRPr="00FC5E0A" w14:paraId="51B3D818" w14:textId="77777777" w:rsidTr="000E0E3E">
        <w:tc>
          <w:tcPr>
            <w:tcW w:w="2552" w:type="dxa"/>
            <w:shd w:val="clear" w:color="auto" w:fill="auto"/>
            <w:tcMar>
              <w:top w:w="100" w:type="dxa"/>
              <w:left w:w="100" w:type="dxa"/>
              <w:bottom w:w="100" w:type="dxa"/>
              <w:right w:w="100" w:type="dxa"/>
            </w:tcMar>
          </w:tcPr>
          <w:p w14:paraId="3F02B4AB" w14:textId="24407161" w:rsidR="000E0E3E" w:rsidRPr="00FC5E0A" w:rsidRDefault="000E0E3E"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2 Poor</w:t>
            </w:r>
          </w:p>
        </w:tc>
        <w:tc>
          <w:tcPr>
            <w:tcW w:w="1219" w:type="dxa"/>
          </w:tcPr>
          <w:p w14:paraId="779FF481" w14:textId="225A5843" w:rsidR="000E0E3E" w:rsidRPr="00FC5E0A" w:rsidRDefault="000E0E3E"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3</w:t>
            </w:r>
          </w:p>
        </w:tc>
        <w:tc>
          <w:tcPr>
            <w:tcW w:w="1219" w:type="dxa"/>
          </w:tcPr>
          <w:p w14:paraId="4E73F611" w14:textId="1891AE27" w:rsidR="000E0E3E" w:rsidRPr="00FC5E0A" w:rsidRDefault="00B44B02"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 xml:space="preserve">  </w:t>
            </w:r>
            <w:r w:rsidR="00986DD0" w:rsidRPr="00FC5E0A">
              <w:rPr>
                <w:rFonts w:ascii="Times New Roman" w:hAnsi="Times New Roman" w:cs="Times New Roman"/>
                <w:sz w:val="20"/>
                <w:szCs w:val="20"/>
              </w:rPr>
              <w:t>1.47</w:t>
            </w:r>
          </w:p>
        </w:tc>
      </w:tr>
      <w:tr w:rsidR="00FC5E0A" w:rsidRPr="00FC5E0A" w14:paraId="07045021" w14:textId="77777777" w:rsidTr="000E0E3E">
        <w:tc>
          <w:tcPr>
            <w:tcW w:w="2552" w:type="dxa"/>
            <w:shd w:val="clear" w:color="auto" w:fill="auto"/>
            <w:tcMar>
              <w:top w:w="100" w:type="dxa"/>
              <w:left w:w="100" w:type="dxa"/>
              <w:bottom w:w="100" w:type="dxa"/>
              <w:right w:w="100" w:type="dxa"/>
            </w:tcMar>
          </w:tcPr>
          <w:p w14:paraId="7B75FC76" w14:textId="224C5CCE" w:rsidR="000E0E3E" w:rsidRPr="00FC5E0A" w:rsidRDefault="000E0E3E"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3 Satisfactory</w:t>
            </w:r>
          </w:p>
        </w:tc>
        <w:tc>
          <w:tcPr>
            <w:tcW w:w="1219" w:type="dxa"/>
          </w:tcPr>
          <w:p w14:paraId="7AD948CC" w14:textId="5AA554A9" w:rsidR="000E0E3E" w:rsidRPr="00FC5E0A" w:rsidRDefault="001115EE"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7</w:t>
            </w:r>
          </w:p>
        </w:tc>
        <w:tc>
          <w:tcPr>
            <w:tcW w:w="1219" w:type="dxa"/>
          </w:tcPr>
          <w:p w14:paraId="7CCAB164" w14:textId="32ACB261" w:rsidR="000E0E3E" w:rsidRPr="00FC5E0A" w:rsidRDefault="00B44B02"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 xml:space="preserve">  </w:t>
            </w:r>
            <w:r w:rsidR="00986DD0" w:rsidRPr="00FC5E0A">
              <w:rPr>
                <w:rFonts w:ascii="Times New Roman" w:hAnsi="Times New Roman" w:cs="Times New Roman"/>
                <w:sz w:val="20"/>
                <w:szCs w:val="20"/>
              </w:rPr>
              <w:t>3.40</w:t>
            </w:r>
          </w:p>
        </w:tc>
      </w:tr>
      <w:tr w:rsidR="00FC5E0A" w:rsidRPr="00FC5E0A" w14:paraId="707370EA" w14:textId="77777777" w:rsidTr="000E0E3E">
        <w:tc>
          <w:tcPr>
            <w:tcW w:w="2552" w:type="dxa"/>
            <w:shd w:val="clear" w:color="auto" w:fill="auto"/>
            <w:tcMar>
              <w:top w:w="100" w:type="dxa"/>
              <w:left w:w="100" w:type="dxa"/>
              <w:bottom w:w="100" w:type="dxa"/>
              <w:right w:w="100" w:type="dxa"/>
            </w:tcMar>
          </w:tcPr>
          <w:p w14:paraId="4B82ACC6" w14:textId="35F79CEF" w:rsidR="000E0E3E" w:rsidRPr="00FC5E0A" w:rsidRDefault="000E0E3E"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4 Very good</w:t>
            </w:r>
          </w:p>
        </w:tc>
        <w:tc>
          <w:tcPr>
            <w:tcW w:w="1219" w:type="dxa"/>
          </w:tcPr>
          <w:p w14:paraId="1400677B" w14:textId="1047DF32" w:rsidR="000E0E3E" w:rsidRPr="00FC5E0A" w:rsidRDefault="001115EE"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39</w:t>
            </w:r>
          </w:p>
        </w:tc>
        <w:tc>
          <w:tcPr>
            <w:tcW w:w="1219" w:type="dxa"/>
          </w:tcPr>
          <w:p w14:paraId="6E8E9EEA" w14:textId="2B88BB88" w:rsidR="000E0E3E" w:rsidRPr="00FC5E0A" w:rsidRDefault="00986DD0"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18.92</w:t>
            </w:r>
          </w:p>
        </w:tc>
      </w:tr>
      <w:tr w:rsidR="00FC5E0A" w:rsidRPr="00FC5E0A" w14:paraId="1C0CE001" w14:textId="77777777" w:rsidTr="000E0E3E">
        <w:tc>
          <w:tcPr>
            <w:tcW w:w="2552" w:type="dxa"/>
            <w:shd w:val="clear" w:color="auto" w:fill="auto"/>
            <w:tcMar>
              <w:top w:w="100" w:type="dxa"/>
              <w:left w:w="100" w:type="dxa"/>
              <w:bottom w:w="100" w:type="dxa"/>
              <w:right w:w="100" w:type="dxa"/>
            </w:tcMar>
          </w:tcPr>
          <w:p w14:paraId="381BBB45" w14:textId="25CE7ECC" w:rsidR="000E0E3E" w:rsidRPr="00FC5E0A" w:rsidRDefault="000E0E3E"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5 Perfect</w:t>
            </w:r>
          </w:p>
        </w:tc>
        <w:tc>
          <w:tcPr>
            <w:tcW w:w="1219" w:type="dxa"/>
          </w:tcPr>
          <w:p w14:paraId="5238DB0F" w14:textId="67B793E3" w:rsidR="000E0E3E" w:rsidRPr="00FC5E0A" w:rsidRDefault="001115EE"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156</w:t>
            </w:r>
          </w:p>
        </w:tc>
        <w:tc>
          <w:tcPr>
            <w:tcW w:w="1219" w:type="dxa"/>
          </w:tcPr>
          <w:p w14:paraId="6A38B1E0" w14:textId="3ADE7E20" w:rsidR="000E0E3E" w:rsidRPr="00FC5E0A" w:rsidRDefault="00986DD0"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75.72</w:t>
            </w:r>
          </w:p>
        </w:tc>
      </w:tr>
      <w:tr w:rsidR="000E0E3E" w:rsidRPr="00FC5E0A" w14:paraId="5B3B99D2" w14:textId="77777777" w:rsidTr="000E0E3E">
        <w:tc>
          <w:tcPr>
            <w:tcW w:w="2552" w:type="dxa"/>
            <w:tcBorders>
              <w:bottom w:val="single" w:sz="4" w:space="0" w:color="auto"/>
            </w:tcBorders>
            <w:shd w:val="clear" w:color="auto" w:fill="auto"/>
            <w:tcMar>
              <w:top w:w="100" w:type="dxa"/>
              <w:left w:w="100" w:type="dxa"/>
              <w:bottom w:w="100" w:type="dxa"/>
              <w:right w:w="100" w:type="dxa"/>
            </w:tcMar>
          </w:tcPr>
          <w:p w14:paraId="17BFAF3B" w14:textId="77777777" w:rsidR="000E0E3E" w:rsidRPr="00FC5E0A" w:rsidRDefault="000E0E3E"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Total</w:t>
            </w:r>
          </w:p>
        </w:tc>
        <w:tc>
          <w:tcPr>
            <w:tcW w:w="1219" w:type="dxa"/>
            <w:tcBorders>
              <w:bottom w:val="single" w:sz="4" w:space="0" w:color="auto"/>
            </w:tcBorders>
          </w:tcPr>
          <w:p w14:paraId="3A1B6AE2" w14:textId="7D3FE9A1" w:rsidR="000E0E3E" w:rsidRPr="00FC5E0A" w:rsidRDefault="001115EE"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206</w:t>
            </w:r>
          </w:p>
        </w:tc>
        <w:tc>
          <w:tcPr>
            <w:tcW w:w="1219" w:type="dxa"/>
            <w:tcBorders>
              <w:bottom w:val="single" w:sz="4" w:space="0" w:color="auto"/>
            </w:tcBorders>
          </w:tcPr>
          <w:p w14:paraId="48E02D6D" w14:textId="77777777" w:rsidR="000E0E3E" w:rsidRPr="00FC5E0A" w:rsidRDefault="000E0E3E"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100</w:t>
            </w:r>
          </w:p>
        </w:tc>
      </w:tr>
    </w:tbl>
    <w:p w14:paraId="3BEC5792" w14:textId="77777777" w:rsidR="00D6691B" w:rsidRPr="00FC5E0A" w:rsidRDefault="00D6691B" w:rsidP="00B44B02">
      <w:pPr>
        <w:pStyle w:val="Articlenormaltext"/>
        <w:ind w:firstLine="0"/>
        <w:rPr>
          <w:szCs w:val="22"/>
        </w:rPr>
      </w:pPr>
    </w:p>
    <w:p w14:paraId="65DEE9C5" w14:textId="7DBB39C2" w:rsidR="00B6627A" w:rsidRPr="00FC5E0A" w:rsidRDefault="00BF66EF" w:rsidP="005E527D">
      <w:pPr>
        <w:pStyle w:val="Articlenormaltext"/>
        <w:rPr>
          <w:szCs w:val="22"/>
        </w:rPr>
      </w:pPr>
      <w:r w:rsidRPr="00FC5E0A">
        <w:rPr>
          <w:szCs w:val="22"/>
        </w:rPr>
        <w:t xml:space="preserve">With concern to the gender, there is not found any </w:t>
      </w:r>
      <w:r w:rsidR="0019708A" w:rsidRPr="00FC5E0A">
        <w:rPr>
          <w:szCs w:val="22"/>
        </w:rPr>
        <w:t xml:space="preserve">statistically </w:t>
      </w:r>
      <w:r w:rsidRPr="00FC5E0A">
        <w:rPr>
          <w:szCs w:val="22"/>
        </w:rPr>
        <w:t xml:space="preserve">significant difference (t=.896, df=204, p=.371) between men (M=4.84, SD=.29) and women (M=4.79, SD=.41), regarding their attitude toward the overall effort of the organizers (see Table </w:t>
      </w:r>
      <w:r w:rsidR="00B44B02" w:rsidRPr="00FC5E0A">
        <w:rPr>
          <w:szCs w:val="22"/>
        </w:rPr>
        <w:t>5</w:t>
      </w:r>
      <w:r w:rsidRPr="00FC5E0A">
        <w:rPr>
          <w:szCs w:val="22"/>
        </w:rPr>
        <w:t>).</w:t>
      </w:r>
    </w:p>
    <w:p w14:paraId="10E44E38" w14:textId="77777777" w:rsidR="00B47351" w:rsidRPr="00FC5E0A" w:rsidRDefault="00B47351" w:rsidP="005E527D">
      <w:pPr>
        <w:pStyle w:val="Articlenormaltext"/>
        <w:rPr>
          <w:szCs w:val="22"/>
        </w:rPr>
      </w:pPr>
    </w:p>
    <w:p w14:paraId="09457708" w14:textId="64FBE73D" w:rsidR="007128A8" w:rsidRPr="00FC5E0A" w:rsidRDefault="007128A8" w:rsidP="007128A8">
      <w:pPr>
        <w:tabs>
          <w:tab w:val="left" w:pos="851"/>
        </w:tabs>
        <w:spacing w:after="120" w:line="240" w:lineRule="auto"/>
        <w:rPr>
          <w:rFonts w:ascii="Times New Roman" w:hAnsi="Times New Roman"/>
        </w:rPr>
      </w:pPr>
      <w:r w:rsidRPr="00FC5E0A">
        <w:rPr>
          <w:rFonts w:ascii="Times New Roman" w:hAnsi="Times New Roman"/>
          <w:b/>
          <w:bCs/>
          <w:lang w:val="en-US"/>
        </w:rPr>
        <w:t xml:space="preserve">Table </w:t>
      </w:r>
      <w:r w:rsidR="00B44B02" w:rsidRPr="00FC5E0A">
        <w:rPr>
          <w:rFonts w:ascii="Times New Roman" w:hAnsi="Times New Roman"/>
          <w:b/>
          <w:bCs/>
          <w:lang w:val="en-US"/>
        </w:rPr>
        <w:t>5:</w:t>
      </w:r>
      <w:r w:rsidR="00B44B02" w:rsidRPr="00FC5E0A">
        <w:rPr>
          <w:rFonts w:ascii="Times New Roman" w:hAnsi="Times New Roman"/>
          <w:lang w:val="en-US"/>
        </w:rPr>
        <w:t xml:space="preserve"> Evaluation</w:t>
      </w:r>
      <w:r w:rsidR="00686E22" w:rsidRPr="00FC5E0A">
        <w:rPr>
          <w:rFonts w:ascii="Times New Roman" w:hAnsi="Times New Roman"/>
          <w:lang w:val="en-US"/>
        </w:rPr>
        <w:t xml:space="preserve"> of the organizers’ sport event management efficiency by the participants’ gender </w:t>
      </w:r>
    </w:p>
    <w:tbl>
      <w:tblPr>
        <w:tblW w:w="7428" w:type="dxa"/>
        <w:tblLayout w:type="fixed"/>
        <w:tblLook w:val="0600" w:firstRow="0" w:lastRow="0" w:firstColumn="0" w:lastColumn="0" w:noHBand="1" w:noVBand="1"/>
      </w:tblPr>
      <w:tblGrid>
        <w:gridCol w:w="2552"/>
        <w:gridCol w:w="1219"/>
        <w:gridCol w:w="1219"/>
        <w:gridCol w:w="1219"/>
        <w:gridCol w:w="1219"/>
      </w:tblGrid>
      <w:tr w:rsidR="00FC5E0A" w:rsidRPr="00FC5E0A" w14:paraId="2860B7C5" w14:textId="77777777" w:rsidTr="00371E67">
        <w:trPr>
          <w:trHeight w:val="360"/>
        </w:trPr>
        <w:tc>
          <w:tcPr>
            <w:tcW w:w="2552" w:type="dxa"/>
            <w:tcBorders>
              <w:top w:val="single" w:sz="4" w:space="0" w:color="auto"/>
              <w:bottom w:val="single" w:sz="4" w:space="0" w:color="auto"/>
            </w:tcBorders>
            <w:tcMar>
              <w:top w:w="100" w:type="dxa"/>
              <w:left w:w="100" w:type="dxa"/>
              <w:bottom w:w="100" w:type="dxa"/>
              <w:right w:w="100" w:type="dxa"/>
            </w:tcMar>
          </w:tcPr>
          <w:p w14:paraId="48F43264" w14:textId="77777777" w:rsidR="007128A8" w:rsidRPr="00FC5E0A" w:rsidRDefault="007128A8" w:rsidP="00B44B02">
            <w:pPr>
              <w:pStyle w:val="TableText"/>
              <w:spacing w:line="240" w:lineRule="auto"/>
              <w:rPr>
                <w:rFonts w:ascii="Times New Roman" w:hAnsi="Times New Roman" w:cs="Times New Roman"/>
                <w:sz w:val="20"/>
                <w:szCs w:val="20"/>
              </w:rPr>
            </w:pPr>
          </w:p>
        </w:tc>
        <w:tc>
          <w:tcPr>
            <w:tcW w:w="1219" w:type="dxa"/>
            <w:tcBorders>
              <w:top w:val="single" w:sz="4" w:space="0" w:color="auto"/>
              <w:bottom w:val="single" w:sz="4" w:space="0" w:color="auto"/>
            </w:tcBorders>
            <w:tcMar>
              <w:top w:w="100" w:type="dxa"/>
              <w:left w:w="100" w:type="dxa"/>
              <w:bottom w:w="100" w:type="dxa"/>
              <w:right w:w="100" w:type="dxa"/>
            </w:tcMar>
          </w:tcPr>
          <w:p w14:paraId="5B3E00EA" w14:textId="3F31C2D0" w:rsidR="007128A8" w:rsidRPr="00FC5E0A" w:rsidRDefault="007128A8"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 xml:space="preserve">Mean score (scale </w:t>
            </w:r>
            <w:r w:rsidR="00B47351" w:rsidRPr="00FC5E0A">
              <w:rPr>
                <w:rFonts w:ascii="Times New Roman" w:hAnsi="Times New Roman" w:cs="Times New Roman"/>
                <w:sz w:val="20"/>
                <w:szCs w:val="20"/>
              </w:rPr>
              <w:t>1-5</w:t>
            </w:r>
            <w:r w:rsidRPr="00FC5E0A">
              <w:rPr>
                <w:rFonts w:ascii="Times New Roman" w:hAnsi="Times New Roman" w:cs="Times New Roman"/>
                <w:sz w:val="20"/>
                <w:szCs w:val="20"/>
              </w:rPr>
              <w:t>)</w:t>
            </w:r>
          </w:p>
        </w:tc>
        <w:tc>
          <w:tcPr>
            <w:tcW w:w="1219" w:type="dxa"/>
            <w:tcBorders>
              <w:top w:val="single" w:sz="4" w:space="0" w:color="auto"/>
              <w:bottom w:val="single" w:sz="4" w:space="0" w:color="auto"/>
            </w:tcBorders>
            <w:tcMar>
              <w:top w:w="100" w:type="dxa"/>
              <w:left w:w="100" w:type="dxa"/>
              <w:bottom w:w="100" w:type="dxa"/>
              <w:right w:w="100" w:type="dxa"/>
            </w:tcMar>
          </w:tcPr>
          <w:p w14:paraId="74B601FF" w14:textId="77777777" w:rsidR="007128A8" w:rsidRPr="00FC5E0A" w:rsidRDefault="007128A8"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Standard</w:t>
            </w:r>
          </w:p>
          <w:p w14:paraId="0577908C" w14:textId="77777777" w:rsidR="007128A8" w:rsidRPr="00FC5E0A" w:rsidRDefault="007128A8"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deviation</w:t>
            </w:r>
          </w:p>
        </w:tc>
        <w:tc>
          <w:tcPr>
            <w:tcW w:w="1219" w:type="dxa"/>
            <w:tcBorders>
              <w:top w:val="single" w:sz="4" w:space="0" w:color="auto"/>
              <w:bottom w:val="single" w:sz="4" w:space="0" w:color="auto"/>
            </w:tcBorders>
          </w:tcPr>
          <w:p w14:paraId="56F0F68B" w14:textId="77777777" w:rsidR="007128A8" w:rsidRPr="00FC5E0A" w:rsidRDefault="007128A8"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f</w:t>
            </w:r>
          </w:p>
        </w:tc>
        <w:tc>
          <w:tcPr>
            <w:tcW w:w="1219" w:type="dxa"/>
            <w:tcBorders>
              <w:top w:val="single" w:sz="4" w:space="0" w:color="auto"/>
              <w:bottom w:val="single" w:sz="4" w:space="0" w:color="auto"/>
            </w:tcBorders>
          </w:tcPr>
          <w:p w14:paraId="752F085C" w14:textId="77777777" w:rsidR="007128A8" w:rsidRPr="00FC5E0A" w:rsidRDefault="007128A8"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w:t>
            </w:r>
          </w:p>
        </w:tc>
      </w:tr>
      <w:tr w:rsidR="00FC5E0A" w:rsidRPr="00FC5E0A" w14:paraId="2AC23072" w14:textId="77777777" w:rsidTr="00371E67">
        <w:tc>
          <w:tcPr>
            <w:tcW w:w="2552" w:type="dxa"/>
            <w:tcBorders>
              <w:top w:val="single" w:sz="4" w:space="0" w:color="auto"/>
            </w:tcBorders>
            <w:shd w:val="clear" w:color="auto" w:fill="auto"/>
            <w:tcMar>
              <w:top w:w="100" w:type="dxa"/>
              <w:left w:w="100" w:type="dxa"/>
              <w:bottom w:w="100" w:type="dxa"/>
              <w:right w:w="100" w:type="dxa"/>
            </w:tcMar>
          </w:tcPr>
          <w:p w14:paraId="2176CE45" w14:textId="77777777" w:rsidR="007128A8" w:rsidRPr="00FC5E0A" w:rsidRDefault="007128A8"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Men</w:t>
            </w:r>
          </w:p>
        </w:tc>
        <w:tc>
          <w:tcPr>
            <w:tcW w:w="1219" w:type="dxa"/>
            <w:tcBorders>
              <w:top w:val="single" w:sz="4" w:space="0" w:color="auto"/>
            </w:tcBorders>
            <w:shd w:val="clear" w:color="auto" w:fill="auto"/>
            <w:tcMar>
              <w:top w:w="100" w:type="dxa"/>
              <w:left w:w="100" w:type="dxa"/>
              <w:bottom w:w="100" w:type="dxa"/>
              <w:right w:w="100" w:type="dxa"/>
            </w:tcMar>
          </w:tcPr>
          <w:p w14:paraId="65D3EE67" w14:textId="42658CEE" w:rsidR="007128A8" w:rsidRPr="00FC5E0A" w:rsidRDefault="0057146C"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4.84</w:t>
            </w:r>
          </w:p>
        </w:tc>
        <w:tc>
          <w:tcPr>
            <w:tcW w:w="1219" w:type="dxa"/>
            <w:tcBorders>
              <w:top w:val="single" w:sz="4" w:space="0" w:color="auto"/>
            </w:tcBorders>
            <w:shd w:val="clear" w:color="auto" w:fill="auto"/>
            <w:tcMar>
              <w:top w:w="100" w:type="dxa"/>
              <w:left w:w="100" w:type="dxa"/>
              <w:bottom w:w="100" w:type="dxa"/>
              <w:right w:w="100" w:type="dxa"/>
            </w:tcMar>
          </w:tcPr>
          <w:p w14:paraId="0E6DCE3F" w14:textId="1395FBA3" w:rsidR="007128A8" w:rsidRPr="00FC5E0A" w:rsidRDefault="000F2BA6"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.29</w:t>
            </w:r>
          </w:p>
        </w:tc>
        <w:tc>
          <w:tcPr>
            <w:tcW w:w="1219" w:type="dxa"/>
            <w:tcBorders>
              <w:top w:val="single" w:sz="4" w:space="0" w:color="auto"/>
            </w:tcBorders>
          </w:tcPr>
          <w:p w14:paraId="258DFEC9" w14:textId="090B92D2" w:rsidR="007128A8" w:rsidRPr="00FC5E0A" w:rsidRDefault="000F2BA6"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100</w:t>
            </w:r>
          </w:p>
        </w:tc>
        <w:tc>
          <w:tcPr>
            <w:tcW w:w="1219" w:type="dxa"/>
            <w:tcBorders>
              <w:top w:val="single" w:sz="4" w:space="0" w:color="auto"/>
            </w:tcBorders>
          </w:tcPr>
          <w:p w14:paraId="53742BD3" w14:textId="63CE7B13" w:rsidR="007128A8" w:rsidRPr="00FC5E0A" w:rsidRDefault="000F2BA6"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49</w:t>
            </w:r>
          </w:p>
        </w:tc>
      </w:tr>
      <w:tr w:rsidR="00FC5E0A" w:rsidRPr="00FC5E0A" w14:paraId="48EA4764" w14:textId="77777777" w:rsidTr="00371E67">
        <w:tc>
          <w:tcPr>
            <w:tcW w:w="2552" w:type="dxa"/>
            <w:shd w:val="clear" w:color="auto" w:fill="auto"/>
            <w:tcMar>
              <w:top w:w="100" w:type="dxa"/>
              <w:left w:w="100" w:type="dxa"/>
              <w:bottom w:w="100" w:type="dxa"/>
              <w:right w:w="100" w:type="dxa"/>
            </w:tcMar>
          </w:tcPr>
          <w:p w14:paraId="76C94360" w14:textId="77777777" w:rsidR="007128A8" w:rsidRPr="00FC5E0A" w:rsidRDefault="007128A8"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Women</w:t>
            </w:r>
          </w:p>
        </w:tc>
        <w:tc>
          <w:tcPr>
            <w:tcW w:w="1219" w:type="dxa"/>
            <w:shd w:val="clear" w:color="auto" w:fill="auto"/>
            <w:tcMar>
              <w:top w:w="100" w:type="dxa"/>
              <w:left w:w="100" w:type="dxa"/>
              <w:bottom w:w="100" w:type="dxa"/>
              <w:right w:w="100" w:type="dxa"/>
            </w:tcMar>
          </w:tcPr>
          <w:p w14:paraId="222AC266" w14:textId="3C21C757" w:rsidR="007128A8" w:rsidRPr="00FC5E0A" w:rsidRDefault="0057146C"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4.79</w:t>
            </w:r>
          </w:p>
        </w:tc>
        <w:tc>
          <w:tcPr>
            <w:tcW w:w="1219" w:type="dxa"/>
            <w:shd w:val="clear" w:color="auto" w:fill="auto"/>
            <w:tcMar>
              <w:top w:w="100" w:type="dxa"/>
              <w:left w:w="100" w:type="dxa"/>
              <w:bottom w:w="100" w:type="dxa"/>
              <w:right w:w="100" w:type="dxa"/>
            </w:tcMar>
          </w:tcPr>
          <w:p w14:paraId="5D7074BB" w14:textId="0861C732" w:rsidR="007128A8" w:rsidRPr="00FC5E0A" w:rsidRDefault="000F2BA6"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.41</w:t>
            </w:r>
          </w:p>
        </w:tc>
        <w:tc>
          <w:tcPr>
            <w:tcW w:w="1219" w:type="dxa"/>
          </w:tcPr>
          <w:p w14:paraId="3E3B142F" w14:textId="3194232B" w:rsidR="007128A8" w:rsidRPr="00FC5E0A" w:rsidRDefault="000F2BA6"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106</w:t>
            </w:r>
          </w:p>
        </w:tc>
        <w:tc>
          <w:tcPr>
            <w:tcW w:w="1219" w:type="dxa"/>
          </w:tcPr>
          <w:p w14:paraId="7B821847" w14:textId="6CFC975F" w:rsidR="007128A8" w:rsidRPr="00FC5E0A" w:rsidRDefault="000F2BA6"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51</w:t>
            </w:r>
          </w:p>
        </w:tc>
      </w:tr>
      <w:tr w:rsidR="007128A8" w:rsidRPr="00FC5E0A" w14:paraId="01577009" w14:textId="77777777" w:rsidTr="00371E67">
        <w:tc>
          <w:tcPr>
            <w:tcW w:w="2552" w:type="dxa"/>
            <w:tcBorders>
              <w:bottom w:val="single" w:sz="4" w:space="0" w:color="auto"/>
            </w:tcBorders>
            <w:shd w:val="clear" w:color="auto" w:fill="auto"/>
            <w:tcMar>
              <w:top w:w="100" w:type="dxa"/>
              <w:left w:w="100" w:type="dxa"/>
              <w:bottom w:w="100" w:type="dxa"/>
              <w:right w:w="100" w:type="dxa"/>
            </w:tcMar>
          </w:tcPr>
          <w:p w14:paraId="0D4D9324" w14:textId="77777777" w:rsidR="007128A8" w:rsidRPr="00FC5E0A" w:rsidRDefault="007128A8"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Total</w:t>
            </w:r>
          </w:p>
        </w:tc>
        <w:tc>
          <w:tcPr>
            <w:tcW w:w="1219" w:type="dxa"/>
            <w:tcBorders>
              <w:bottom w:val="single" w:sz="4" w:space="0" w:color="auto"/>
            </w:tcBorders>
            <w:shd w:val="clear" w:color="auto" w:fill="auto"/>
            <w:tcMar>
              <w:top w:w="100" w:type="dxa"/>
              <w:left w:w="100" w:type="dxa"/>
              <w:bottom w:w="100" w:type="dxa"/>
              <w:right w:w="100" w:type="dxa"/>
            </w:tcMar>
          </w:tcPr>
          <w:p w14:paraId="74128625" w14:textId="492C9B50" w:rsidR="007128A8" w:rsidRPr="00FC5E0A" w:rsidRDefault="0057146C"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4.82</w:t>
            </w:r>
          </w:p>
        </w:tc>
        <w:tc>
          <w:tcPr>
            <w:tcW w:w="1219" w:type="dxa"/>
            <w:tcBorders>
              <w:bottom w:val="single" w:sz="4" w:space="0" w:color="auto"/>
            </w:tcBorders>
            <w:shd w:val="clear" w:color="auto" w:fill="auto"/>
            <w:tcMar>
              <w:top w:w="100" w:type="dxa"/>
              <w:left w:w="100" w:type="dxa"/>
              <w:bottom w:w="100" w:type="dxa"/>
              <w:right w:w="100" w:type="dxa"/>
            </w:tcMar>
          </w:tcPr>
          <w:p w14:paraId="05B130E2" w14:textId="31FB2B26" w:rsidR="007128A8" w:rsidRPr="00FC5E0A" w:rsidRDefault="000F2BA6"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.36</w:t>
            </w:r>
          </w:p>
        </w:tc>
        <w:tc>
          <w:tcPr>
            <w:tcW w:w="1219" w:type="dxa"/>
            <w:tcBorders>
              <w:bottom w:val="single" w:sz="4" w:space="0" w:color="auto"/>
            </w:tcBorders>
          </w:tcPr>
          <w:p w14:paraId="79ACEFE4" w14:textId="71AD704F" w:rsidR="007128A8" w:rsidRPr="00FC5E0A" w:rsidRDefault="000F2BA6"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206</w:t>
            </w:r>
          </w:p>
        </w:tc>
        <w:tc>
          <w:tcPr>
            <w:tcW w:w="1219" w:type="dxa"/>
            <w:tcBorders>
              <w:bottom w:val="single" w:sz="4" w:space="0" w:color="auto"/>
            </w:tcBorders>
          </w:tcPr>
          <w:p w14:paraId="7A7BFAF5" w14:textId="77777777" w:rsidR="007128A8" w:rsidRPr="00FC5E0A" w:rsidRDefault="007128A8" w:rsidP="00B44B02">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100</w:t>
            </w:r>
          </w:p>
        </w:tc>
      </w:tr>
    </w:tbl>
    <w:p w14:paraId="3A1D1899" w14:textId="77777777" w:rsidR="007128A8" w:rsidRPr="00FC5E0A" w:rsidRDefault="007128A8" w:rsidP="00BE48C4">
      <w:pPr>
        <w:pStyle w:val="Articlenormaltext"/>
        <w:rPr>
          <w:szCs w:val="22"/>
        </w:rPr>
      </w:pPr>
    </w:p>
    <w:p w14:paraId="567BF7E2" w14:textId="0E06F62B" w:rsidR="00E503AE" w:rsidRPr="00FC5E0A" w:rsidRDefault="00E503AE" w:rsidP="00E503AE">
      <w:pPr>
        <w:jc w:val="both"/>
        <w:rPr>
          <w:rFonts w:ascii="Times New Roman" w:hAnsi="Times New Roman"/>
          <w:lang w:val="en-GB"/>
        </w:rPr>
      </w:pPr>
      <w:r w:rsidRPr="00FC5E0A">
        <w:rPr>
          <w:rFonts w:ascii="Times New Roman" w:hAnsi="Times New Roman"/>
          <w:lang w:val="en-GB"/>
        </w:rPr>
        <w:t xml:space="preserve">As far as the VIFT evaluation concerned, the </w:t>
      </w:r>
      <w:r w:rsidRPr="00FC5E0A">
        <w:rPr>
          <w:rFonts w:ascii="Times New Roman" w:hAnsi="Times New Roman"/>
          <w:lang w:val="en-US"/>
        </w:rPr>
        <w:t>frequency</w:t>
      </w:r>
      <w:r w:rsidRPr="00FC5E0A">
        <w:rPr>
          <w:rFonts w:ascii="Times New Roman" w:hAnsi="Times New Roman"/>
          <w:lang w:val="en-GB"/>
        </w:rPr>
        <w:t xml:space="preserve"> results is presented on Table </w:t>
      </w:r>
      <w:r w:rsidR="00B44B02" w:rsidRPr="00FC5E0A">
        <w:rPr>
          <w:rFonts w:ascii="Times New Roman" w:hAnsi="Times New Roman"/>
          <w:lang w:val="en-GB"/>
        </w:rPr>
        <w:t>6</w:t>
      </w:r>
      <w:r w:rsidRPr="00FC5E0A">
        <w:rPr>
          <w:rFonts w:ascii="Times New Roman" w:hAnsi="Times New Roman"/>
          <w:lang w:val="en-GB"/>
        </w:rPr>
        <w:t xml:space="preserve"> (Likert scale 1-5, 1=very poor, 5=perfect).</w:t>
      </w:r>
    </w:p>
    <w:p w14:paraId="019BF112" w14:textId="77777777" w:rsidR="00E503AE" w:rsidRPr="00FC5E0A" w:rsidRDefault="00E503AE" w:rsidP="00BE48C4">
      <w:pPr>
        <w:pStyle w:val="Articlenormaltext"/>
        <w:rPr>
          <w:szCs w:val="22"/>
          <w:lang w:val="en-GB"/>
        </w:rPr>
      </w:pPr>
    </w:p>
    <w:p w14:paraId="5B2F304D" w14:textId="7D986E63" w:rsidR="00E55E88" w:rsidRPr="00FC5E0A" w:rsidRDefault="00E55E88" w:rsidP="00E55E88">
      <w:pPr>
        <w:tabs>
          <w:tab w:val="left" w:pos="851"/>
        </w:tabs>
        <w:spacing w:after="120" w:line="240" w:lineRule="auto"/>
        <w:rPr>
          <w:rFonts w:ascii="Times New Roman" w:hAnsi="Times New Roman"/>
        </w:rPr>
      </w:pPr>
      <w:r w:rsidRPr="00FC5E0A">
        <w:rPr>
          <w:rFonts w:ascii="Times New Roman" w:hAnsi="Times New Roman"/>
          <w:b/>
          <w:bCs/>
          <w:lang w:val="en-US"/>
        </w:rPr>
        <w:t xml:space="preserve">Table </w:t>
      </w:r>
      <w:r w:rsidR="00B44B02" w:rsidRPr="00FC5E0A">
        <w:rPr>
          <w:rFonts w:ascii="Times New Roman" w:hAnsi="Times New Roman"/>
          <w:b/>
          <w:bCs/>
          <w:lang w:val="en-US"/>
        </w:rPr>
        <w:t>6</w:t>
      </w:r>
      <w:r w:rsidRPr="00FC5E0A">
        <w:rPr>
          <w:rFonts w:ascii="Times New Roman" w:hAnsi="Times New Roman"/>
          <w:b/>
          <w:bCs/>
          <w:lang w:val="en-US"/>
        </w:rPr>
        <w:t>:</w:t>
      </w:r>
      <w:r w:rsidRPr="00FC5E0A">
        <w:rPr>
          <w:rFonts w:ascii="Times New Roman" w:hAnsi="Times New Roman"/>
          <w:lang w:val="en-US"/>
        </w:rPr>
        <w:t xml:space="preserve"> </w:t>
      </w:r>
      <w:r w:rsidRPr="00FC5E0A">
        <w:rPr>
          <w:rFonts w:ascii="Times New Roman" w:hAnsi="Times New Roman"/>
          <w:lang w:val="en-US"/>
        </w:rPr>
        <w:tab/>
      </w:r>
      <w:r w:rsidR="002F5676" w:rsidRPr="00FC5E0A">
        <w:rPr>
          <w:rFonts w:ascii="Times New Roman" w:hAnsi="Times New Roman"/>
          <w:lang w:val="en-US"/>
        </w:rPr>
        <w:t xml:space="preserve">Evaluation of the VIFT by </w:t>
      </w:r>
      <w:r w:rsidR="00C85C81" w:rsidRPr="00FC5E0A">
        <w:rPr>
          <w:rFonts w:ascii="Times New Roman" w:hAnsi="Times New Roman"/>
          <w:lang w:val="en-US"/>
        </w:rPr>
        <w:t xml:space="preserve">the </w:t>
      </w:r>
      <w:r w:rsidR="002F5676" w:rsidRPr="00FC5E0A">
        <w:rPr>
          <w:rFonts w:ascii="Times New Roman" w:hAnsi="Times New Roman"/>
          <w:lang w:val="en-US"/>
        </w:rPr>
        <w:t>participants</w:t>
      </w:r>
    </w:p>
    <w:tbl>
      <w:tblPr>
        <w:tblW w:w="4990" w:type="dxa"/>
        <w:tblLayout w:type="fixed"/>
        <w:tblLook w:val="0600" w:firstRow="0" w:lastRow="0" w:firstColumn="0" w:lastColumn="0" w:noHBand="1" w:noVBand="1"/>
      </w:tblPr>
      <w:tblGrid>
        <w:gridCol w:w="2552"/>
        <w:gridCol w:w="1219"/>
        <w:gridCol w:w="1219"/>
      </w:tblGrid>
      <w:tr w:rsidR="00FC5E0A" w:rsidRPr="00FC5E0A" w14:paraId="53377D7B" w14:textId="77777777" w:rsidTr="00371E67">
        <w:trPr>
          <w:trHeight w:val="360"/>
        </w:trPr>
        <w:tc>
          <w:tcPr>
            <w:tcW w:w="2552" w:type="dxa"/>
            <w:tcBorders>
              <w:top w:val="single" w:sz="4" w:space="0" w:color="auto"/>
              <w:bottom w:val="single" w:sz="4" w:space="0" w:color="auto"/>
            </w:tcBorders>
            <w:tcMar>
              <w:top w:w="100" w:type="dxa"/>
              <w:left w:w="100" w:type="dxa"/>
              <w:bottom w:w="100" w:type="dxa"/>
              <w:right w:w="100" w:type="dxa"/>
            </w:tcMar>
          </w:tcPr>
          <w:p w14:paraId="3C5CDF34" w14:textId="11EF835E" w:rsidR="00E55E88" w:rsidRPr="00FC5E0A" w:rsidRDefault="005F2D8A"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VIFT Evaluation</w:t>
            </w:r>
          </w:p>
        </w:tc>
        <w:tc>
          <w:tcPr>
            <w:tcW w:w="1219" w:type="dxa"/>
            <w:tcBorders>
              <w:top w:val="single" w:sz="4" w:space="0" w:color="auto"/>
              <w:bottom w:val="single" w:sz="4" w:space="0" w:color="auto"/>
            </w:tcBorders>
          </w:tcPr>
          <w:p w14:paraId="51EB9093" w14:textId="77777777" w:rsidR="00E55E88" w:rsidRPr="00FC5E0A" w:rsidRDefault="00E55E88"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f</w:t>
            </w:r>
          </w:p>
        </w:tc>
        <w:tc>
          <w:tcPr>
            <w:tcW w:w="1219" w:type="dxa"/>
            <w:tcBorders>
              <w:top w:val="single" w:sz="4" w:space="0" w:color="auto"/>
              <w:bottom w:val="single" w:sz="4" w:space="0" w:color="auto"/>
            </w:tcBorders>
          </w:tcPr>
          <w:p w14:paraId="55164A91" w14:textId="77777777" w:rsidR="00E55E88" w:rsidRPr="00FC5E0A" w:rsidRDefault="00E55E88"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w:t>
            </w:r>
          </w:p>
        </w:tc>
      </w:tr>
      <w:tr w:rsidR="00FC5E0A" w:rsidRPr="00FC5E0A" w14:paraId="3C3969C8" w14:textId="77777777" w:rsidTr="00371E67">
        <w:tc>
          <w:tcPr>
            <w:tcW w:w="2552" w:type="dxa"/>
            <w:tcBorders>
              <w:top w:val="single" w:sz="4" w:space="0" w:color="auto"/>
            </w:tcBorders>
            <w:shd w:val="clear" w:color="auto" w:fill="auto"/>
            <w:tcMar>
              <w:top w:w="100" w:type="dxa"/>
              <w:left w:w="100" w:type="dxa"/>
              <w:bottom w:w="100" w:type="dxa"/>
              <w:right w:w="100" w:type="dxa"/>
            </w:tcMar>
          </w:tcPr>
          <w:p w14:paraId="12D5CB9A" w14:textId="77777777" w:rsidR="00E55E88" w:rsidRPr="00FC5E0A" w:rsidRDefault="00E55E88"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1 Very Poor</w:t>
            </w:r>
          </w:p>
        </w:tc>
        <w:tc>
          <w:tcPr>
            <w:tcW w:w="1219" w:type="dxa"/>
            <w:tcBorders>
              <w:top w:val="single" w:sz="4" w:space="0" w:color="auto"/>
            </w:tcBorders>
          </w:tcPr>
          <w:p w14:paraId="2EF08659" w14:textId="77777777" w:rsidR="00E55E88" w:rsidRPr="00FC5E0A" w:rsidRDefault="00E55E88"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1</w:t>
            </w:r>
          </w:p>
        </w:tc>
        <w:tc>
          <w:tcPr>
            <w:tcW w:w="1219" w:type="dxa"/>
            <w:tcBorders>
              <w:top w:val="single" w:sz="4" w:space="0" w:color="auto"/>
            </w:tcBorders>
          </w:tcPr>
          <w:p w14:paraId="5C5ECF09" w14:textId="77777777" w:rsidR="00E55E88" w:rsidRPr="00FC5E0A" w:rsidRDefault="00E55E88"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.49</w:t>
            </w:r>
          </w:p>
        </w:tc>
      </w:tr>
      <w:tr w:rsidR="00FC5E0A" w:rsidRPr="00FC5E0A" w14:paraId="198F341B" w14:textId="77777777" w:rsidTr="00371E67">
        <w:tc>
          <w:tcPr>
            <w:tcW w:w="2552" w:type="dxa"/>
            <w:shd w:val="clear" w:color="auto" w:fill="auto"/>
            <w:tcMar>
              <w:top w:w="100" w:type="dxa"/>
              <w:left w:w="100" w:type="dxa"/>
              <w:bottom w:w="100" w:type="dxa"/>
              <w:right w:w="100" w:type="dxa"/>
            </w:tcMar>
          </w:tcPr>
          <w:p w14:paraId="019BEB83" w14:textId="77777777" w:rsidR="00E55E88" w:rsidRPr="00FC5E0A" w:rsidRDefault="00E55E88"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2 Poor</w:t>
            </w:r>
          </w:p>
        </w:tc>
        <w:tc>
          <w:tcPr>
            <w:tcW w:w="1219" w:type="dxa"/>
          </w:tcPr>
          <w:p w14:paraId="55A6A980" w14:textId="13B9E8F4" w:rsidR="00E55E88" w:rsidRPr="00FC5E0A" w:rsidRDefault="005F2D8A"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6</w:t>
            </w:r>
          </w:p>
        </w:tc>
        <w:tc>
          <w:tcPr>
            <w:tcW w:w="1219" w:type="dxa"/>
          </w:tcPr>
          <w:p w14:paraId="75C17415" w14:textId="64898B39" w:rsidR="00E55E88" w:rsidRPr="00FC5E0A" w:rsidRDefault="001856F2"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2.91</w:t>
            </w:r>
          </w:p>
        </w:tc>
      </w:tr>
      <w:tr w:rsidR="00FC5E0A" w:rsidRPr="00FC5E0A" w14:paraId="433C9FC9" w14:textId="77777777" w:rsidTr="00371E67">
        <w:tc>
          <w:tcPr>
            <w:tcW w:w="2552" w:type="dxa"/>
            <w:shd w:val="clear" w:color="auto" w:fill="auto"/>
            <w:tcMar>
              <w:top w:w="100" w:type="dxa"/>
              <w:left w:w="100" w:type="dxa"/>
              <w:bottom w:w="100" w:type="dxa"/>
              <w:right w:w="100" w:type="dxa"/>
            </w:tcMar>
          </w:tcPr>
          <w:p w14:paraId="25CEA7A2" w14:textId="77777777" w:rsidR="00E55E88" w:rsidRPr="00FC5E0A" w:rsidRDefault="00E55E88"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3 Satisfactory</w:t>
            </w:r>
          </w:p>
        </w:tc>
        <w:tc>
          <w:tcPr>
            <w:tcW w:w="1219" w:type="dxa"/>
          </w:tcPr>
          <w:p w14:paraId="0401B1B2" w14:textId="27151371" w:rsidR="00E55E88" w:rsidRPr="00FC5E0A" w:rsidRDefault="005F2D8A"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55</w:t>
            </w:r>
          </w:p>
        </w:tc>
        <w:tc>
          <w:tcPr>
            <w:tcW w:w="1219" w:type="dxa"/>
          </w:tcPr>
          <w:p w14:paraId="500AA3D9" w14:textId="2D31FBA8" w:rsidR="00E55E88" w:rsidRPr="00FC5E0A" w:rsidRDefault="001856F2"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26.70</w:t>
            </w:r>
          </w:p>
        </w:tc>
      </w:tr>
      <w:tr w:rsidR="00FC5E0A" w:rsidRPr="00FC5E0A" w14:paraId="0F5446F0" w14:textId="77777777" w:rsidTr="00371E67">
        <w:tc>
          <w:tcPr>
            <w:tcW w:w="2552" w:type="dxa"/>
            <w:shd w:val="clear" w:color="auto" w:fill="auto"/>
            <w:tcMar>
              <w:top w:w="100" w:type="dxa"/>
              <w:left w:w="100" w:type="dxa"/>
              <w:bottom w:w="100" w:type="dxa"/>
              <w:right w:w="100" w:type="dxa"/>
            </w:tcMar>
          </w:tcPr>
          <w:p w14:paraId="07CAC7B3" w14:textId="77777777" w:rsidR="00E55E88" w:rsidRPr="00FC5E0A" w:rsidRDefault="00E55E88"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4 Very good</w:t>
            </w:r>
          </w:p>
        </w:tc>
        <w:tc>
          <w:tcPr>
            <w:tcW w:w="1219" w:type="dxa"/>
          </w:tcPr>
          <w:p w14:paraId="095BE42A" w14:textId="23DD56EB" w:rsidR="00E55E88" w:rsidRPr="00FC5E0A" w:rsidRDefault="005F2D8A"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99</w:t>
            </w:r>
          </w:p>
        </w:tc>
        <w:tc>
          <w:tcPr>
            <w:tcW w:w="1219" w:type="dxa"/>
          </w:tcPr>
          <w:p w14:paraId="254CD356" w14:textId="4F016089" w:rsidR="00E55E88" w:rsidRPr="00FC5E0A" w:rsidRDefault="001856F2"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48.06</w:t>
            </w:r>
          </w:p>
        </w:tc>
      </w:tr>
      <w:tr w:rsidR="00FC5E0A" w:rsidRPr="00FC5E0A" w14:paraId="0B37344E" w14:textId="77777777" w:rsidTr="00371E67">
        <w:tc>
          <w:tcPr>
            <w:tcW w:w="2552" w:type="dxa"/>
            <w:shd w:val="clear" w:color="auto" w:fill="auto"/>
            <w:tcMar>
              <w:top w:w="100" w:type="dxa"/>
              <w:left w:w="100" w:type="dxa"/>
              <w:bottom w:w="100" w:type="dxa"/>
              <w:right w:w="100" w:type="dxa"/>
            </w:tcMar>
          </w:tcPr>
          <w:p w14:paraId="2F321D9C" w14:textId="77777777" w:rsidR="00E55E88" w:rsidRPr="00FC5E0A" w:rsidRDefault="00E55E88"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5 Perfect</w:t>
            </w:r>
          </w:p>
        </w:tc>
        <w:tc>
          <w:tcPr>
            <w:tcW w:w="1219" w:type="dxa"/>
          </w:tcPr>
          <w:p w14:paraId="30A6BAE5" w14:textId="5CDFC2DF" w:rsidR="00E55E88" w:rsidRPr="00FC5E0A" w:rsidRDefault="005F2D8A"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45</w:t>
            </w:r>
          </w:p>
        </w:tc>
        <w:tc>
          <w:tcPr>
            <w:tcW w:w="1219" w:type="dxa"/>
          </w:tcPr>
          <w:p w14:paraId="075CB923" w14:textId="5C6CA9DF" w:rsidR="00E55E88" w:rsidRPr="00FC5E0A" w:rsidRDefault="001856F2"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21.84</w:t>
            </w:r>
          </w:p>
        </w:tc>
      </w:tr>
      <w:tr w:rsidR="00E55E88" w:rsidRPr="00FC5E0A" w14:paraId="17B33E5B" w14:textId="77777777" w:rsidTr="00371E67">
        <w:tc>
          <w:tcPr>
            <w:tcW w:w="2552" w:type="dxa"/>
            <w:tcBorders>
              <w:bottom w:val="single" w:sz="4" w:space="0" w:color="auto"/>
            </w:tcBorders>
            <w:shd w:val="clear" w:color="auto" w:fill="auto"/>
            <w:tcMar>
              <w:top w:w="100" w:type="dxa"/>
              <w:left w:w="100" w:type="dxa"/>
              <w:bottom w:w="100" w:type="dxa"/>
              <w:right w:w="100" w:type="dxa"/>
            </w:tcMar>
          </w:tcPr>
          <w:p w14:paraId="5FDE5DD7" w14:textId="77777777" w:rsidR="00E55E88" w:rsidRPr="00FC5E0A" w:rsidRDefault="00E55E88"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Total</w:t>
            </w:r>
          </w:p>
        </w:tc>
        <w:tc>
          <w:tcPr>
            <w:tcW w:w="1219" w:type="dxa"/>
            <w:tcBorders>
              <w:bottom w:val="single" w:sz="4" w:space="0" w:color="auto"/>
            </w:tcBorders>
          </w:tcPr>
          <w:p w14:paraId="70C2E236" w14:textId="77777777" w:rsidR="00E55E88" w:rsidRPr="00FC5E0A" w:rsidRDefault="00E55E88"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206</w:t>
            </w:r>
          </w:p>
        </w:tc>
        <w:tc>
          <w:tcPr>
            <w:tcW w:w="1219" w:type="dxa"/>
            <w:tcBorders>
              <w:bottom w:val="single" w:sz="4" w:space="0" w:color="auto"/>
            </w:tcBorders>
          </w:tcPr>
          <w:p w14:paraId="7F6D1B0A" w14:textId="77777777" w:rsidR="00E55E88" w:rsidRPr="00FC5E0A" w:rsidRDefault="00E55E88"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100</w:t>
            </w:r>
          </w:p>
        </w:tc>
      </w:tr>
    </w:tbl>
    <w:p w14:paraId="526BD5F1" w14:textId="77777777" w:rsidR="00E55E88" w:rsidRPr="00FC5E0A" w:rsidRDefault="00E55E88" w:rsidP="00E55E88">
      <w:pPr>
        <w:pStyle w:val="Articlenormaltext"/>
        <w:rPr>
          <w:szCs w:val="22"/>
        </w:rPr>
      </w:pPr>
    </w:p>
    <w:p w14:paraId="6E1FC450" w14:textId="0E4CC16B" w:rsidR="000368D3" w:rsidRPr="00FC5E0A" w:rsidRDefault="000368D3" w:rsidP="00785971">
      <w:pPr>
        <w:pStyle w:val="Articlenormaltext"/>
        <w:rPr>
          <w:szCs w:val="22"/>
        </w:rPr>
      </w:pPr>
      <w:r w:rsidRPr="00FC5E0A">
        <w:rPr>
          <w:szCs w:val="22"/>
        </w:rPr>
        <w:t xml:space="preserve">According to </w:t>
      </w:r>
      <w:r w:rsidR="00785971" w:rsidRPr="00FC5E0A">
        <w:rPr>
          <w:szCs w:val="22"/>
        </w:rPr>
        <w:t>the results</w:t>
      </w:r>
      <w:r w:rsidRPr="00FC5E0A">
        <w:rPr>
          <w:szCs w:val="22"/>
        </w:rPr>
        <w:t xml:space="preserve"> 48.06% (f=99) of the participants evaluated the VIFT as “Very good” and another 21.84% (f=45) as “perfect”. On the other hand, 26.70% (f=55), evaluated the VIFT as “Satisfactory”. The overall assessment was very high (M=4.45, in a Likert scale 1-5, SD=.44).</w:t>
      </w:r>
    </w:p>
    <w:p w14:paraId="28FA05F0" w14:textId="31A4D47A" w:rsidR="00785971" w:rsidRPr="00FC5E0A" w:rsidRDefault="00785971" w:rsidP="00785971">
      <w:pPr>
        <w:pStyle w:val="Articlenormaltext"/>
        <w:rPr>
          <w:szCs w:val="22"/>
        </w:rPr>
      </w:pPr>
    </w:p>
    <w:p w14:paraId="1A15C048" w14:textId="4E1499C9" w:rsidR="00785971" w:rsidRPr="00FC5E0A" w:rsidRDefault="00785971" w:rsidP="00785971">
      <w:pPr>
        <w:pStyle w:val="Articlenormaltext"/>
        <w:rPr>
          <w:szCs w:val="22"/>
        </w:rPr>
      </w:pPr>
      <w:r w:rsidRPr="00FC5E0A">
        <w:rPr>
          <w:szCs w:val="22"/>
        </w:rPr>
        <w:lastRenderedPageBreak/>
        <w:t xml:space="preserve">There is not found any statistically significant difference (t=-.498, df=204, p=.619) between men (M=4.44, SD=.43) and women (M=4.47, SD=.46) concerning the VIFT evaluation (see Table </w:t>
      </w:r>
      <w:r w:rsidR="00B44B02" w:rsidRPr="00FC5E0A">
        <w:rPr>
          <w:szCs w:val="22"/>
        </w:rPr>
        <w:t>7</w:t>
      </w:r>
      <w:r w:rsidRPr="00FC5E0A">
        <w:rPr>
          <w:szCs w:val="22"/>
        </w:rPr>
        <w:t>).</w:t>
      </w:r>
    </w:p>
    <w:p w14:paraId="7BCF4FA4" w14:textId="77777777" w:rsidR="00E55E88" w:rsidRPr="00FC5E0A" w:rsidRDefault="00E55E88" w:rsidP="00BE48C4">
      <w:pPr>
        <w:pStyle w:val="Articlenormaltext"/>
        <w:rPr>
          <w:szCs w:val="22"/>
          <w:lang w:val="en-GB"/>
        </w:rPr>
      </w:pPr>
    </w:p>
    <w:p w14:paraId="1CB6BD55" w14:textId="6F7CBD64" w:rsidR="00785971" w:rsidRPr="00FC5E0A" w:rsidRDefault="00785971" w:rsidP="00785971">
      <w:pPr>
        <w:tabs>
          <w:tab w:val="left" w:pos="851"/>
        </w:tabs>
        <w:spacing w:after="120" w:line="240" w:lineRule="auto"/>
        <w:rPr>
          <w:rFonts w:ascii="Times New Roman" w:hAnsi="Times New Roman"/>
        </w:rPr>
      </w:pPr>
      <w:r w:rsidRPr="00FC5E0A">
        <w:rPr>
          <w:rFonts w:ascii="Times New Roman" w:hAnsi="Times New Roman"/>
          <w:b/>
          <w:bCs/>
          <w:lang w:val="en-US"/>
        </w:rPr>
        <w:t xml:space="preserve">Table </w:t>
      </w:r>
      <w:r w:rsidR="00B44B02" w:rsidRPr="00FC5E0A">
        <w:rPr>
          <w:rFonts w:ascii="Times New Roman" w:hAnsi="Times New Roman"/>
          <w:b/>
          <w:bCs/>
          <w:lang w:val="en-US"/>
        </w:rPr>
        <w:t>7</w:t>
      </w:r>
      <w:r w:rsidRPr="00FC5E0A">
        <w:rPr>
          <w:rFonts w:ascii="Times New Roman" w:hAnsi="Times New Roman"/>
          <w:b/>
          <w:bCs/>
          <w:lang w:val="en-US"/>
        </w:rPr>
        <w:t>:</w:t>
      </w:r>
      <w:r w:rsidRPr="00FC5E0A">
        <w:rPr>
          <w:rFonts w:ascii="Times New Roman" w:hAnsi="Times New Roman"/>
          <w:lang w:val="en-US"/>
        </w:rPr>
        <w:t xml:space="preserve"> </w:t>
      </w:r>
      <w:r w:rsidRPr="00FC5E0A">
        <w:rPr>
          <w:rFonts w:ascii="Times New Roman" w:hAnsi="Times New Roman"/>
          <w:lang w:val="en-US"/>
        </w:rPr>
        <w:tab/>
        <w:t xml:space="preserve">Evaluation </w:t>
      </w:r>
      <w:r w:rsidR="000E570E" w:rsidRPr="00FC5E0A">
        <w:rPr>
          <w:rFonts w:ascii="Times New Roman" w:hAnsi="Times New Roman"/>
          <w:lang w:val="en-US"/>
        </w:rPr>
        <w:t xml:space="preserve">of the VIFT </w:t>
      </w:r>
      <w:r w:rsidRPr="00FC5E0A">
        <w:rPr>
          <w:rFonts w:ascii="Times New Roman" w:hAnsi="Times New Roman"/>
          <w:lang w:val="en-US"/>
        </w:rPr>
        <w:t xml:space="preserve">by gender </w:t>
      </w:r>
    </w:p>
    <w:tbl>
      <w:tblPr>
        <w:tblW w:w="7428" w:type="dxa"/>
        <w:tblLayout w:type="fixed"/>
        <w:tblLook w:val="0600" w:firstRow="0" w:lastRow="0" w:firstColumn="0" w:lastColumn="0" w:noHBand="1" w:noVBand="1"/>
      </w:tblPr>
      <w:tblGrid>
        <w:gridCol w:w="2552"/>
        <w:gridCol w:w="1219"/>
        <w:gridCol w:w="1219"/>
        <w:gridCol w:w="1219"/>
        <w:gridCol w:w="1219"/>
      </w:tblGrid>
      <w:tr w:rsidR="00FC5E0A" w:rsidRPr="00FC5E0A" w14:paraId="73904B9D" w14:textId="77777777" w:rsidTr="00371E67">
        <w:trPr>
          <w:trHeight w:val="360"/>
        </w:trPr>
        <w:tc>
          <w:tcPr>
            <w:tcW w:w="2552" w:type="dxa"/>
            <w:tcBorders>
              <w:top w:val="single" w:sz="4" w:space="0" w:color="auto"/>
              <w:bottom w:val="single" w:sz="4" w:space="0" w:color="auto"/>
            </w:tcBorders>
            <w:tcMar>
              <w:top w:w="100" w:type="dxa"/>
              <w:left w:w="100" w:type="dxa"/>
              <w:bottom w:w="100" w:type="dxa"/>
              <w:right w:w="100" w:type="dxa"/>
            </w:tcMar>
          </w:tcPr>
          <w:p w14:paraId="298A25B8" w14:textId="77777777" w:rsidR="00785971" w:rsidRPr="00FC5E0A" w:rsidRDefault="00785971" w:rsidP="00815F5D">
            <w:pPr>
              <w:pStyle w:val="TableText"/>
              <w:spacing w:line="240" w:lineRule="auto"/>
              <w:rPr>
                <w:rFonts w:ascii="Times New Roman" w:hAnsi="Times New Roman" w:cs="Times New Roman"/>
                <w:sz w:val="20"/>
                <w:szCs w:val="20"/>
              </w:rPr>
            </w:pPr>
          </w:p>
        </w:tc>
        <w:tc>
          <w:tcPr>
            <w:tcW w:w="1219" w:type="dxa"/>
            <w:tcBorders>
              <w:top w:val="single" w:sz="4" w:space="0" w:color="auto"/>
              <w:bottom w:val="single" w:sz="4" w:space="0" w:color="auto"/>
            </w:tcBorders>
            <w:tcMar>
              <w:top w:w="100" w:type="dxa"/>
              <w:left w:w="100" w:type="dxa"/>
              <w:bottom w:w="100" w:type="dxa"/>
              <w:right w:w="100" w:type="dxa"/>
            </w:tcMar>
          </w:tcPr>
          <w:p w14:paraId="33D5D465" w14:textId="77777777" w:rsidR="00785971" w:rsidRPr="00FC5E0A" w:rsidRDefault="00785971"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Mean score (scale 1-5)</w:t>
            </w:r>
          </w:p>
        </w:tc>
        <w:tc>
          <w:tcPr>
            <w:tcW w:w="1219" w:type="dxa"/>
            <w:tcBorders>
              <w:top w:val="single" w:sz="4" w:space="0" w:color="auto"/>
              <w:bottom w:val="single" w:sz="4" w:space="0" w:color="auto"/>
            </w:tcBorders>
            <w:tcMar>
              <w:top w:w="100" w:type="dxa"/>
              <w:left w:w="100" w:type="dxa"/>
              <w:bottom w:w="100" w:type="dxa"/>
              <w:right w:w="100" w:type="dxa"/>
            </w:tcMar>
          </w:tcPr>
          <w:p w14:paraId="2D41E449" w14:textId="77777777" w:rsidR="00785971" w:rsidRPr="00FC5E0A" w:rsidRDefault="00785971"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Standard</w:t>
            </w:r>
          </w:p>
          <w:p w14:paraId="53DF83D5" w14:textId="77777777" w:rsidR="00785971" w:rsidRPr="00FC5E0A" w:rsidRDefault="00785971"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deviation</w:t>
            </w:r>
          </w:p>
        </w:tc>
        <w:tc>
          <w:tcPr>
            <w:tcW w:w="1219" w:type="dxa"/>
            <w:tcBorders>
              <w:top w:val="single" w:sz="4" w:space="0" w:color="auto"/>
              <w:bottom w:val="single" w:sz="4" w:space="0" w:color="auto"/>
            </w:tcBorders>
          </w:tcPr>
          <w:p w14:paraId="40D16EE0" w14:textId="77777777" w:rsidR="00785971" w:rsidRPr="00FC5E0A" w:rsidRDefault="00785971" w:rsidP="00815F5D">
            <w:pPr>
              <w:pStyle w:val="TableText"/>
              <w:spacing w:line="240" w:lineRule="auto"/>
              <w:jc w:val="center"/>
              <w:rPr>
                <w:rFonts w:ascii="Times New Roman" w:hAnsi="Times New Roman" w:cs="Times New Roman"/>
                <w:sz w:val="20"/>
                <w:szCs w:val="20"/>
              </w:rPr>
            </w:pPr>
            <w:r w:rsidRPr="00FC5E0A">
              <w:rPr>
                <w:rFonts w:ascii="Times New Roman" w:hAnsi="Times New Roman" w:cs="Times New Roman"/>
                <w:sz w:val="20"/>
                <w:szCs w:val="20"/>
              </w:rPr>
              <w:t>f</w:t>
            </w:r>
          </w:p>
        </w:tc>
        <w:tc>
          <w:tcPr>
            <w:tcW w:w="1219" w:type="dxa"/>
            <w:tcBorders>
              <w:top w:val="single" w:sz="4" w:space="0" w:color="auto"/>
              <w:bottom w:val="single" w:sz="4" w:space="0" w:color="auto"/>
            </w:tcBorders>
          </w:tcPr>
          <w:p w14:paraId="3D9761D0" w14:textId="77777777" w:rsidR="00785971" w:rsidRPr="00FC5E0A" w:rsidRDefault="00785971" w:rsidP="00815F5D">
            <w:pPr>
              <w:pStyle w:val="TableText"/>
              <w:spacing w:line="240" w:lineRule="auto"/>
              <w:jc w:val="center"/>
              <w:rPr>
                <w:rFonts w:ascii="Times New Roman" w:hAnsi="Times New Roman" w:cs="Times New Roman"/>
                <w:sz w:val="20"/>
                <w:szCs w:val="20"/>
              </w:rPr>
            </w:pPr>
            <w:r w:rsidRPr="00FC5E0A">
              <w:rPr>
                <w:rFonts w:ascii="Times New Roman" w:hAnsi="Times New Roman" w:cs="Times New Roman"/>
                <w:sz w:val="20"/>
                <w:szCs w:val="20"/>
              </w:rPr>
              <w:t>%</w:t>
            </w:r>
          </w:p>
        </w:tc>
      </w:tr>
      <w:tr w:rsidR="00FC5E0A" w:rsidRPr="00FC5E0A" w14:paraId="26701AD9" w14:textId="77777777" w:rsidTr="00371E67">
        <w:tc>
          <w:tcPr>
            <w:tcW w:w="2552" w:type="dxa"/>
            <w:tcBorders>
              <w:top w:val="single" w:sz="4" w:space="0" w:color="auto"/>
            </w:tcBorders>
            <w:shd w:val="clear" w:color="auto" w:fill="auto"/>
            <w:tcMar>
              <w:top w:w="100" w:type="dxa"/>
              <w:left w:w="100" w:type="dxa"/>
              <w:bottom w:w="100" w:type="dxa"/>
              <w:right w:w="100" w:type="dxa"/>
            </w:tcMar>
          </w:tcPr>
          <w:p w14:paraId="01B1CB30" w14:textId="77777777" w:rsidR="00785971" w:rsidRPr="00FC5E0A" w:rsidRDefault="00785971"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Men</w:t>
            </w:r>
          </w:p>
        </w:tc>
        <w:tc>
          <w:tcPr>
            <w:tcW w:w="1219" w:type="dxa"/>
            <w:tcBorders>
              <w:top w:val="single" w:sz="4" w:space="0" w:color="auto"/>
            </w:tcBorders>
            <w:shd w:val="clear" w:color="auto" w:fill="auto"/>
            <w:tcMar>
              <w:top w:w="100" w:type="dxa"/>
              <w:left w:w="100" w:type="dxa"/>
              <w:bottom w:w="100" w:type="dxa"/>
              <w:right w:w="100" w:type="dxa"/>
            </w:tcMar>
          </w:tcPr>
          <w:p w14:paraId="1CCC9B60" w14:textId="1618D1EE" w:rsidR="00785971" w:rsidRPr="00FC5E0A" w:rsidRDefault="00785971"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4.</w:t>
            </w:r>
            <w:r w:rsidR="00366581" w:rsidRPr="00FC5E0A">
              <w:rPr>
                <w:rFonts w:ascii="Times New Roman" w:hAnsi="Times New Roman" w:cs="Times New Roman"/>
                <w:sz w:val="20"/>
                <w:szCs w:val="20"/>
              </w:rPr>
              <w:t>44</w:t>
            </w:r>
          </w:p>
        </w:tc>
        <w:tc>
          <w:tcPr>
            <w:tcW w:w="1219" w:type="dxa"/>
            <w:tcBorders>
              <w:top w:val="single" w:sz="4" w:space="0" w:color="auto"/>
            </w:tcBorders>
            <w:shd w:val="clear" w:color="auto" w:fill="auto"/>
            <w:tcMar>
              <w:top w:w="100" w:type="dxa"/>
              <w:left w:w="100" w:type="dxa"/>
              <w:bottom w:w="100" w:type="dxa"/>
              <w:right w:w="100" w:type="dxa"/>
            </w:tcMar>
          </w:tcPr>
          <w:p w14:paraId="7071686C" w14:textId="6E89A7EC" w:rsidR="00785971" w:rsidRPr="00FC5E0A" w:rsidRDefault="00785971"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w:t>
            </w:r>
            <w:r w:rsidR="00366581" w:rsidRPr="00FC5E0A">
              <w:rPr>
                <w:rFonts w:ascii="Times New Roman" w:hAnsi="Times New Roman" w:cs="Times New Roman"/>
                <w:sz w:val="20"/>
                <w:szCs w:val="20"/>
              </w:rPr>
              <w:t>43</w:t>
            </w:r>
          </w:p>
        </w:tc>
        <w:tc>
          <w:tcPr>
            <w:tcW w:w="1219" w:type="dxa"/>
            <w:tcBorders>
              <w:top w:val="single" w:sz="4" w:space="0" w:color="auto"/>
            </w:tcBorders>
          </w:tcPr>
          <w:p w14:paraId="49BFF111" w14:textId="77777777" w:rsidR="00785971" w:rsidRPr="00FC5E0A" w:rsidRDefault="00785971"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100</w:t>
            </w:r>
          </w:p>
        </w:tc>
        <w:tc>
          <w:tcPr>
            <w:tcW w:w="1219" w:type="dxa"/>
            <w:tcBorders>
              <w:top w:val="single" w:sz="4" w:space="0" w:color="auto"/>
            </w:tcBorders>
          </w:tcPr>
          <w:p w14:paraId="63900080" w14:textId="67EA6566" w:rsidR="00785971" w:rsidRPr="00FC5E0A" w:rsidRDefault="00E3336D"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48.54</w:t>
            </w:r>
          </w:p>
        </w:tc>
      </w:tr>
      <w:tr w:rsidR="00FC5E0A" w:rsidRPr="00FC5E0A" w14:paraId="5DC2EEE4" w14:textId="77777777" w:rsidTr="00371E67">
        <w:tc>
          <w:tcPr>
            <w:tcW w:w="2552" w:type="dxa"/>
            <w:shd w:val="clear" w:color="auto" w:fill="auto"/>
            <w:tcMar>
              <w:top w:w="100" w:type="dxa"/>
              <w:left w:w="100" w:type="dxa"/>
              <w:bottom w:w="100" w:type="dxa"/>
              <w:right w:w="100" w:type="dxa"/>
            </w:tcMar>
          </w:tcPr>
          <w:p w14:paraId="35C2C356" w14:textId="77777777" w:rsidR="00785971" w:rsidRPr="00FC5E0A" w:rsidRDefault="00785971"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Women</w:t>
            </w:r>
          </w:p>
        </w:tc>
        <w:tc>
          <w:tcPr>
            <w:tcW w:w="1219" w:type="dxa"/>
            <w:shd w:val="clear" w:color="auto" w:fill="auto"/>
            <w:tcMar>
              <w:top w:w="100" w:type="dxa"/>
              <w:left w:w="100" w:type="dxa"/>
              <w:bottom w:w="100" w:type="dxa"/>
              <w:right w:w="100" w:type="dxa"/>
            </w:tcMar>
          </w:tcPr>
          <w:p w14:paraId="0BCC7F2E" w14:textId="11A99B75" w:rsidR="00785971" w:rsidRPr="00FC5E0A" w:rsidRDefault="00785971"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4.</w:t>
            </w:r>
            <w:r w:rsidR="00366581" w:rsidRPr="00FC5E0A">
              <w:rPr>
                <w:rFonts w:ascii="Times New Roman" w:hAnsi="Times New Roman" w:cs="Times New Roman"/>
                <w:sz w:val="20"/>
                <w:szCs w:val="20"/>
              </w:rPr>
              <w:t>47</w:t>
            </w:r>
          </w:p>
        </w:tc>
        <w:tc>
          <w:tcPr>
            <w:tcW w:w="1219" w:type="dxa"/>
            <w:shd w:val="clear" w:color="auto" w:fill="auto"/>
            <w:tcMar>
              <w:top w:w="100" w:type="dxa"/>
              <w:left w:w="100" w:type="dxa"/>
              <w:bottom w:w="100" w:type="dxa"/>
              <w:right w:w="100" w:type="dxa"/>
            </w:tcMar>
          </w:tcPr>
          <w:p w14:paraId="3F37BF62" w14:textId="2B96C074" w:rsidR="00785971" w:rsidRPr="00FC5E0A" w:rsidRDefault="00785971"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.4</w:t>
            </w:r>
            <w:r w:rsidR="00366581" w:rsidRPr="00FC5E0A">
              <w:rPr>
                <w:rFonts w:ascii="Times New Roman" w:hAnsi="Times New Roman" w:cs="Times New Roman"/>
                <w:sz w:val="20"/>
                <w:szCs w:val="20"/>
              </w:rPr>
              <w:t>6</w:t>
            </w:r>
          </w:p>
        </w:tc>
        <w:tc>
          <w:tcPr>
            <w:tcW w:w="1219" w:type="dxa"/>
          </w:tcPr>
          <w:p w14:paraId="58B5EADE" w14:textId="77777777" w:rsidR="00785971" w:rsidRPr="00FC5E0A" w:rsidRDefault="00785971"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106</w:t>
            </w:r>
          </w:p>
        </w:tc>
        <w:tc>
          <w:tcPr>
            <w:tcW w:w="1219" w:type="dxa"/>
          </w:tcPr>
          <w:p w14:paraId="56001F70" w14:textId="0B6FDD95" w:rsidR="00785971" w:rsidRPr="00FC5E0A" w:rsidRDefault="00785971"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51</w:t>
            </w:r>
            <w:r w:rsidR="00E3336D" w:rsidRPr="00FC5E0A">
              <w:rPr>
                <w:rFonts w:ascii="Times New Roman" w:hAnsi="Times New Roman" w:cs="Times New Roman"/>
                <w:sz w:val="20"/>
                <w:szCs w:val="20"/>
              </w:rPr>
              <w:t>.</w:t>
            </w:r>
            <w:r w:rsidR="00F6695C" w:rsidRPr="00FC5E0A">
              <w:rPr>
                <w:rFonts w:ascii="Times New Roman" w:hAnsi="Times New Roman" w:cs="Times New Roman"/>
                <w:sz w:val="20"/>
                <w:szCs w:val="20"/>
              </w:rPr>
              <w:t>46</w:t>
            </w:r>
          </w:p>
        </w:tc>
      </w:tr>
      <w:tr w:rsidR="00785971" w:rsidRPr="00FC5E0A" w14:paraId="1A9DF5D0" w14:textId="77777777" w:rsidTr="00371E67">
        <w:tc>
          <w:tcPr>
            <w:tcW w:w="2552" w:type="dxa"/>
            <w:tcBorders>
              <w:bottom w:val="single" w:sz="4" w:space="0" w:color="auto"/>
            </w:tcBorders>
            <w:shd w:val="clear" w:color="auto" w:fill="auto"/>
            <w:tcMar>
              <w:top w:w="100" w:type="dxa"/>
              <w:left w:w="100" w:type="dxa"/>
              <w:bottom w:w="100" w:type="dxa"/>
              <w:right w:w="100" w:type="dxa"/>
            </w:tcMar>
          </w:tcPr>
          <w:p w14:paraId="1A538D8D" w14:textId="77777777" w:rsidR="00785971" w:rsidRPr="00FC5E0A" w:rsidRDefault="00785971"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Total</w:t>
            </w:r>
          </w:p>
        </w:tc>
        <w:tc>
          <w:tcPr>
            <w:tcW w:w="1219" w:type="dxa"/>
            <w:tcBorders>
              <w:bottom w:val="single" w:sz="4" w:space="0" w:color="auto"/>
            </w:tcBorders>
            <w:shd w:val="clear" w:color="auto" w:fill="auto"/>
            <w:tcMar>
              <w:top w:w="100" w:type="dxa"/>
              <w:left w:w="100" w:type="dxa"/>
              <w:bottom w:w="100" w:type="dxa"/>
              <w:right w:w="100" w:type="dxa"/>
            </w:tcMar>
          </w:tcPr>
          <w:p w14:paraId="126A2335" w14:textId="0D46069B" w:rsidR="00785971" w:rsidRPr="00FC5E0A" w:rsidRDefault="00785971"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4.</w:t>
            </w:r>
            <w:r w:rsidR="00366581" w:rsidRPr="00FC5E0A">
              <w:rPr>
                <w:rFonts w:ascii="Times New Roman" w:hAnsi="Times New Roman" w:cs="Times New Roman"/>
                <w:sz w:val="20"/>
                <w:szCs w:val="20"/>
              </w:rPr>
              <w:t>45</w:t>
            </w:r>
          </w:p>
        </w:tc>
        <w:tc>
          <w:tcPr>
            <w:tcW w:w="1219" w:type="dxa"/>
            <w:tcBorders>
              <w:bottom w:val="single" w:sz="4" w:space="0" w:color="auto"/>
            </w:tcBorders>
            <w:shd w:val="clear" w:color="auto" w:fill="auto"/>
            <w:tcMar>
              <w:top w:w="100" w:type="dxa"/>
              <w:left w:w="100" w:type="dxa"/>
              <w:bottom w:w="100" w:type="dxa"/>
              <w:right w:w="100" w:type="dxa"/>
            </w:tcMar>
          </w:tcPr>
          <w:p w14:paraId="0CD55896" w14:textId="5497868F" w:rsidR="00785971" w:rsidRPr="00FC5E0A" w:rsidRDefault="00785971"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w:t>
            </w:r>
            <w:r w:rsidR="00366581" w:rsidRPr="00FC5E0A">
              <w:rPr>
                <w:rFonts w:ascii="Times New Roman" w:hAnsi="Times New Roman" w:cs="Times New Roman"/>
                <w:sz w:val="20"/>
                <w:szCs w:val="20"/>
              </w:rPr>
              <w:t>44</w:t>
            </w:r>
          </w:p>
        </w:tc>
        <w:tc>
          <w:tcPr>
            <w:tcW w:w="1219" w:type="dxa"/>
            <w:tcBorders>
              <w:bottom w:val="single" w:sz="4" w:space="0" w:color="auto"/>
            </w:tcBorders>
          </w:tcPr>
          <w:p w14:paraId="6FB42C09" w14:textId="77777777" w:rsidR="00785971" w:rsidRPr="00FC5E0A" w:rsidRDefault="00785971"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206</w:t>
            </w:r>
          </w:p>
        </w:tc>
        <w:tc>
          <w:tcPr>
            <w:tcW w:w="1219" w:type="dxa"/>
            <w:tcBorders>
              <w:bottom w:val="single" w:sz="4" w:space="0" w:color="auto"/>
            </w:tcBorders>
          </w:tcPr>
          <w:p w14:paraId="6E0A424A" w14:textId="77777777" w:rsidR="00785971" w:rsidRPr="00FC5E0A" w:rsidRDefault="00785971" w:rsidP="00815F5D">
            <w:pPr>
              <w:pStyle w:val="TableText"/>
              <w:spacing w:line="240" w:lineRule="auto"/>
              <w:rPr>
                <w:rFonts w:ascii="Times New Roman" w:hAnsi="Times New Roman" w:cs="Times New Roman"/>
                <w:sz w:val="20"/>
                <w:szCs w:val="20"/>
              </w:rPr>
            </w:pPr>
            <w:r w:rsidRPr="00FC5E0A">
              <w:rPr>
                <w:rFonts w:ascii="Times New Roman" w:hAnsi="Times New Roman" w:cs="Times New Roman"/>
                <w:sz w:val="20"/>
                <w:szCs w:val="20"/>
              </w:rPr>
              <w:t>100</w:t>
            </w:r>
          </w:p>
        </w:tc>
      </w:tr>
    </w:tbl>
    <w:p w14:paraId="5BBA7F69" w14:textId="77777777" w:rsidR="00785971" w:rsidRPr="00FC5E0A" w:rsidRDefault="00785971" w:rsidP="00BE48C4">
      <w:pPr>
        <w:pStyle w:val="Articlenormaltext"/>
        <w:rPr>
          <w:szCs w:val="22"/>
          <w:lang w:val="en-GB"/>
        </w:rPr>
      </w:pPr>
    </w:p>
    <w:p w14:paraId="7009575C" w14:textId="1E0B6721" w:rsidR="00426697" w:rsidRPr="00FC5E0A" w:rsidRDefault="00426697" w:rsidP="005E527D">
      <w:pPr>
        <w:pStyle w:val="Articlenormaltext"/>
        <w:rPr>
          <w:szCs w:val="22"/>
          <w:lang w:val="en-GB"/>
        </w:rPr>
      </w:pPr>
      <w:r w:rsidRPr="00FC5E0A">
        <w:rPr>
          <w:szCs w:val="22"/>
          <w:lang w:val="en-GB"/>
        </w:rPr>
        <w:t>The relation between VIFT and organizers evaluation has been tested via Pearson’ r test and found to be positively correlated (r=.497, p=.000).</w:t>
      </w:r>
    </w:p>
    <w:p w14:paraId="7AA92EE4" w14:textId="226A4D48" w:rsidR="00BE48C4" w:rsidRPr="00FC5E0A" w:rsidRDefault="00B44B02" w:rsidP="00D6691B">
      <w:pPr>
        <w:pStyle w:val="2"/>
        <w:numPr>
          <w:ilvl w:val="0"/>
          <w:numId w:val="0"/>
        </w:numPr>
        <w:ind w:left="578"/>
        <w:rPr>
          <w:rFonts w:ascii="Times New Roman" w:hAnsi="Times New Roman" w:cs="Times New Roman"/>
          <w:sz w:val="22"/>
          <w:szCs w:val="22"/>
        </w:rPr>
      </w:pPr>
      <w:r w:rsidRPr="00FC5E0A">
        <w:rPr>
          <w:rFonts w:ascii="Times New Roman" w:hAnsi="Times New Roman" w:cs="Times New Roman"/>
          <w:sz w:val="22"/>
          <w:szCs w:val="22"/>
        </w:rPr>
        <w:t xml:space="preserve">4.5 </w:t>
      </w:r>
      <w:r w:rsidR="000A6763" w:rsidRPr="00FC5E0A">
        <w:rPr>
          <w:rFonts w:ascii="Times New Roman" w:hAnsi="Times New Roman" w:cs="Times New Roman"/>
          <w:sz w:val="22"/>
          <w:szCs w:val="22"/>
        </w:rPr>
        <w:t xml:space="preserve">Main research question </w:t>
      </w:r>
    </w:p>
    <w:p w14:paraId="5DABDB42" w14:textId="513B6BB0" w:rsidR="000368D3" w:rsidRPr="00FC5E0A" w:rsidRDefault="000368D3" w:rsidP="005E527D">
      <w:pPr>
        <w:spacing w:line="264" w:lineRule="auto"/>
        <w:jc w:val="both"/>
        <w:rPr>
          <w:rFonts w:ascii="Times New Roman" w:hAnsi="Times New Roman"/>
          <w:lang w:val="en-US"/>
        </w:rPr>
      </w:pPr>
      <w:r w:rsidRPr="00FC5E0A">
        <w:rPr>
          <w:rFonts w:ascii="Times New Roman" w:hAnsi="Times New Roman"/>
          <w:lang w:val="en-US"/>
        </w:rPr>
        <w:t xml:space="preserve">Based on the results presented above </w:t>
      </w:r>
      <w:r w:rsidR="00B44B02" w:rsidRPr="00FC5E0A">
        <w:rPr>
          <w:rFonts w:ascii="Times New Roman" w:hAnsi="Times New Roman"/>
          <w:lang w:val="en-US"/>
        </w:rPr>
        <w:t xml:space="preserve">(high quality of deliverables, well above average scores in theoretical knowledge written test and the high </w:t>
      </w:r>
      <w:r w:rsidRPr="00FC5E0A">
        <w:rPr>
          <w:rFonts w:ascii="Times New Roman" w:hAnsi="Times New Roman"/>
          <w:lang w:val="en-US"/>
        </w:rPr>
        <w:t xml:space="preserve"> </w:t>
      </w:r>
      <w:r w:rsidR="00B44B02" w:rsidRPr="00FC5E0A">
        <w:rPr>
          <w:rFonts w:ascii="Times New Roman" w:hAnsi="Times New Roman"/>
          <w:lang w:val="en-US"/>
        </w:rPr>
        <w:t>level evaluation of organizers’ efficiency and the VIFT)</w:t>
      </w:r>
      <w:r w:rsidR="001A616C" w:rsidRPr="00FC5E0A">
        <w:rPr>
          <w:rFonts w:ascii="Times New Roman" w:hAnsi="Times New Roman"/>
          <w:lang w:val="en-US"/>
        </w:rPr>
        <w:t>, it</w:t>
      </w:r>
      <w:r w:rsidR="00B44B02" w:rsidRPr="00FC5E0A">
        <w:rPr>
          <w:rFonts w:ascii="Times New Roman" w:hAnsi="Times New Roman"/>
          <w:lang w:val="en-US"/>
        </w:rPr>
        <w:t xml:space="preserve"> </w:t>
      </w:r>
      <w:r w:rsidRPr="00FC5E0A">
        <w:rPr>
          <w:rFonts w:ascii="Times New Roman" w:hAnsi="Times New Roman"/>
          <w:lang w:val="en-US"/>
        </w:rPr>
        <w:t xml:space="preserve">can be stated that indeed </w:t>
      </w:r>
      <w:r w:rsidRPr="00FC5E0A">
        <w:rPr>
          <w:rFonts w:ascii="Times New Roman" w:hAnsi="Times New Roman"/>
        </w:rPr>
        <w:t xml:space="preserve">a Serious Game is capable of serving as an auxiliary educational tool </w:t>
      </w:r>
      <w:r w:rsidRPr="00FC5E0A">
        <w:rPr>
          <w:rFonts w:ascii="Times New Roman" w:hAnsi="Times New Roman"/>
          <w:lang w:val="en-US"/>
        </w:rPr>
        <w:t xml:space="preserve">and serve as a means for  </w:t>
      </w:r>
      <w:r w:rsidRPr="00FC5E0A" w:rsidDel="00CF3EC0">
        <w:rPr>
          <w:rFonts w:ascii="Times New Roman" w:hAnsi="Times New Roman"/>
          <w:lang w:val="en-US"/>
        </w:rPr>
        <w:t xml:space="preserve"> </w:t>
      </w:r>
      <w:r w:rsidRPr="00FC5E0A">
        <w:rPr>
          <w:rFonts w:ascii="Times New Roman" w:hAnsi="Times New Roman"/>
          <w:lang w:val="en-US"/>
        </w:rPr>
        <w:t xml:space="preserve">acquiring theoretical knowledge and gaining practical experiences </w:t>
      </w:r>
      <w:r w:rsidRPr="00FC5E0A">
        <w:rPr>
          <w:rFonts w:ascii="Times New Roman" w:hAnsi="Times New Roman"/>
        </w:rPr>
        <w:t>in the field of sport event management</w:t>
      </w:r>
      <w:r w:rsidR="001A616C" w:rsidRPr="00FC5E0A">
        <w:rPr>
          <w:rFonts w:ascii="Times New Roman" w:hAnsi="Times New Roman"/>
        </w:rPr>
        <w:t>.</w:t>
      </w:r>
    </w:p>
    <w:p w14:paraId="61D99050" w14:textId="77777777" w:rsidR="00CF6223" w:rsidRPr="00FC5E0A" w:rsidRDefault="00CF6223" w:rsidP="00CF6223">
      <w:pPr>
        <w:pStyle w:val="Articlenormaltext"/>
        <w:rPr>
          <w:szCs w:val="22"/>
          <w:lang w:val="en-GB"/>
        </w:rPr>
      </w:pPr>
    </w:p>
    <w:p w14:paraId="5B8D4F4D" w14:textId="6AE8B5AC" w:rsidR="0043101F" w:rsidRPr="00FC5E0A" w:rsidRDefault="0043101F" w:rsidP="00CF6223">
      <w:pPr>
        <w:pStyle w:val="Articlenormaltext"/>
        <w:rPr>
          <w:szCs w:val="22"/>
          <w:lang w:val="en-GB"/>
        </w:rPr>
      </w:pPr>
      <w:r w:rsidRPr="00FC5E0A">
        <w:rPr>
          <w:szCs w:val="22"/>
          <w:lang w:val="en-GB"/>
        </w:rPr>
        <w:t xml:space="preserve">Intuitively, the outcome of the above analysis can serve as an indicated validation of our approach; that is, the use of SG Top Eleven as an educational auxiliary tool to a Sport Event Management class </w:t>
      </w:r>
      <w:r w:rsidR="00815F5D" w:rsidRPr="00FC5E0A">
        <w:rPr>
          <w:szCs w:val="22"/>
        </w:rPr>
        <w:t>through the implementation of the proposed hybrid</w:t>
      </w:r>
      <w:r w:rsidRPr="00FC5E0A">
        <w:rPr>
          <w:szCs w:val="22"/>
          <w:lang w:val="en-GB"/>
        </w:rPr>
        <w:t>.</w:t>
      </w:r>
    </w:p>
    <w:p w14:paraId="0A813F68" w14:textId="7B8BC342" w:rsidR="00684572" w:rsidRPr="00FC5E0A" w:rsidRDefault="00684572" w:rsidP="00684572">
      <w:pPr>
        <w:pStyle w:val="1"/>
        <w:rPr>
          <w:rFonts w:ascii="Times New Roman" w:hAnsi="Times New Roman" w:cs="Times New Roman"/>
          <w:color w:val="auto"/>
          <w:sz w:val="22"/>
        </w:rPr>
      </w:pPr>
      <w:r w:rsidRPr="00FC5E0A">
        <w:rPr>
          <w:rFonts w:ascii="Times New Roman" w:hAnsi="Times New Roman" w:cs="Times New Roman"/>
          <w:color w:val="auto"/>
          <w:sz w:val="22"/>
        </w:rPr>
        <w:t>Discussion &amp; Conclusion</w:t>
      </w:r>
    </w:p>
    <w:p w14:paraId="28653817" w14:textId="7BE92294" w:rsidR="001D1DCC" w:rsidRPr="00FC5E0A" w:rsidRDefault="001D1DCC" w:rsidP="005E527D">
      <w:pPr>
        <w:spacing w:line="264" w:lineRule="auto"/>
        <w:jc w:val="both"/>
        <w:rPr>
          <w:rFonts w:ascii="Times New Roman" w:hAnsi="Times New Roman"/>
          <w:lang w:val="en-US"/>
        </w:rPr>
      </w:pPr>
      <w:r w:rsidRPr="00FC5E0A">
        <w:rPr>
          <w:rFonts w:ascii="Times New Roman" w:hAnsi="Times New Roman"/>
          <w:lang w:val="en-US"/>
        </w:rPr>
        <w:t xml:space="preserve">The purpose of the study was to explore the feasibility of </w:t>
      </w:r>
      <w:r w:rsidR="001A616C" w:rsidRPr="00FC5E0A">
        <w:rPr>
          <w:rFonts w:ascii="Times New Roman" w:hAnsi="Times New Roman"/>
          <w:lang w:val="en-US"/>
        </w:rPr>
        <w:t>converting a</w:t>
      </w:r>
      <w:r w:rsidR="000368D3" w:rsidRPr="00FC5E0A">
        <w:rPr>
          <w:rFonts w:ascii="Times New Roman" w:hAnsi="Times New Roman"/>
          <w:lang w:val="en-US"/>
        </w:rPr>
        <w:t xml:space="preserve"> </w:t>
      </w:r>
      <w:r w:rsidR="007B70F7" w:rsidRPr="00FC5E0A">
        <w:rPr>
          <w:rFonts w:ascii="Times New Roman" w:hAnsi="Times New Roman"/>
          <w:lang w:val="en-US"/>
        </w:rPr>
        <w:t>serious game (</w:t>
      </w:r>
      <w:r w:rsidRPr="00FC5E0A">
        <w:rPr>
          <w:rFonts w:ascii="Times New Roman" w:hAnsi="Times New Roman"/>
          <w:lang w:val="en-US"/>
        </w:rPr>
        <w:t>SG</w:t>
      </w:r>
      <w:r w:rsidR="007B70F7" w:rsidRPr="00FC5E0A">
        <w:rPr>
          <w:rFonts w:ascii="Times New Roman" w:hAnsi="Times New Roman"/>
          <w:lang w:val="en-US"/>
        </w:rPr>
        <w:t>)</w:t>
      </w:r>
      <w:r w:rsidRPr="00FC5E0A">
        <w:rPr>
          <w:rFonts w:ascii="Times New Roman" w:hAnsi="Times New Roman"/>
          <w:lang w:val="en-US"/>
        </w:rPr>
        <w:t xml:space="preserve"> to an auxiliary teaching tool for experiencing sport event management. In fact, the aim was to investigate whether through such a process, students can acquire knowledge, skills and practical experiences related to sport event management. The innovative approach was the extension of the original concept of the game by vesting educational scenarios and setting class assignments for sport event management students that emerged from the </w:t>
      </w:r>
      <w:r w:rsidR="006A4325" w:rsidRPr="00FC5E0A">
        <w:rPr>
          <w:rFonts w:ascii="Times New Roman" w:hAnsi="Times New Roman"/>
          <w:lang w:val="en-US"/>
        </w:rPr>
        <w:t>Virtual Intramural Football Tournament (</w:t>
      </w:r>
      <w:r w:rsidRPr="00FC5E0A">
        <w:rPr>
          <w:rFonts w:ascii="Times New Roman" w:hAnsi="Times New Roman"/>
          <w:lang w:val="en-US"/>
        </w:rPr>
        <w:t>VIFT</w:t>
      </w:r>
      <w:r w:rsidR="006A4325" w:rsidRPr="00FC5E0A">
        <w:rPr>
          <w:rFonts w:ascii="Times New Roman" w:hAnsi="Times New Roman"/>
          <w:lang w:val="en-US"/>
        </w:rPr>
        <w:t>)</w:t>
      </w:r>
      <w:r w:rsidRPr="00FC5E0A">
        <w:rPr>
          <w:rFonts w:ascii="Times New Roman" w:hAnsi="Times New Roman"/>
          <w:lang w:val="en-US"/>
        </w:rPr>
        <w:t>. A hybrid approach followed since the procedure implemented both through the internet and in real life.</w:t>
      </w:r>
    </w:p>
    <w:p w14:paraId="4E25A312" w14:textId="77777777" w:rsidR="001D1DCC" w:rsidRPr="00FC5E0A" w:rsidRDefault="001D1DCC" w:rsidP="00D27128">
      <w:pPr>
        <w:spacing w:line="264" w:lineRule="auto"/>
        <w:ind w:firstLine="284"/>
        <w:jc w:val="both"/>
        <w:rPr>
          <w:rFonts w:ascii="Times New Roman" w:hAnsi="Times New Roman"/>
          <w:lang w:val="en-US"/>
        </w:rPr>
      </w:pPr>
      <w:r w:rsidRPr="00FC5E0A">
        <w:rPr>
          <w:rFonts w:ascii="Times New Roman" w:hAnsi="Times New Roman"/>
          <w:lang w:val="en-US"/>
        </w:rPr>
        <w:t xml:space="preserve">McGonigal </w:t>
      </w:r>
      <w:r w:rsidRPr="00FC5E0A">
        <w:rPr>
          <w:rFonts w:ascii="Times New Roman" w:hAnsi="Times New Roman"/>
          <w:lang w:val="en-US"/>
        </w:rPr>
        <w:fldChar w:fldCharType="begin" w:fldLock="1"/>
      </w:r>
      <w:r w:rsidRPr="00FC5E0A">
        <w:rPr>
          <w:rFonts w:ascii="Times New Roman" w:hAnsi="Times New Roman"/>
          <w:lang w:val="en-US"/>
        </w:rPr>
        <w:instrText>ADDIN CSL_CITATION {"citationItems":[{"id":"ITEM-1","itemData":{"ISBN":"1101467150","author":[{"dropping-particle":"","family":"McGonigal","given":"Jane","non-dropping-particle":"","parse-names":false,"suffix":""}],"id":"ITEM-1","issued":{"date-parts":[["2011"]]},"publisher":"The Penguin Press","publisher-place":"New York","title":"Reality is broken: Why games make us better and how they can change the world","type":"book"},"uris":["http://www.mendeley.com/documents/?uuid=2ad91220-421a-42af-9223-6a8323d93d82"]}],"mendeley":{"formattedCitation":"[6]","plainTextFormattedCitation":"[6]","previouslyFormattedCitation":"[6]"},"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[6]</w:t>
      </w:r>
      <w:r w:rsidRPr="00FC5E0A">
        <w:rPr>
          <w:rFonts w:ascii="Times New Roman" w:hAnsi="Times New Roman"/>
          <w:lang w:val="en-US"/>
        </w:rPr>
        <w:fldChar w:fldCharType="end"/>
      </w:r>
      <w:r w:rsidRPr="00FC5E0A">
        <w:rPr>
          <w:rFonts w:ascii="Times New Roman" w:hAnsi="Times New Roman"/>
          <w:lang w:val="en-US"/>
        </w:rPr>
        <w:t xml:space="preserve"> mentions that a game can be educational when it possesses the characteristic of clearly defined goals. Following the work of Afthinos </w:t>
      </w:r>
      <w:r w:rsidRPr="00FC5E0A">
        <w:rPr>
          <w:rFonts w:ascii="Times New Roman" w:hAnsi="Times New Roman"/>
          <w:i/>
          <w:iCs/>
          <w:lang w:val="en-US"/>
        </w:rPr>
        <w:t>et al.</w:t>
      </w:r>
      <w:r w:rsidRPr="00FC5E0A">
        <w:rPr>
          <w:rFonts w:ascii="Times New Roman" w:hAnsi="Times New Roman"/>
          <w:lang w:val="en-US"/>
        </w:rPr>
        <w:t xml:space="preserve"> </w:t>
      </w:r>
      <w:r w:rsidRPr="00FC5E0A">
        <w:rPr>
          <w:rFonts w:ascii="Times New Roman" w:hAnsi="Times New Roman"/>
          <w:lang w:val="en-US"/>
        </w:rPr>
        <w:fldChar w:fldCharType="begin" w:fldLock="1"/>
      </w:r>
      <w:r w:rsidRPr="00FC5E0A">
        <w:rPr>
          <w:rFonts w:ascii="Times New Roman" w:hAnsi="Times New Roman"/>
          <w:lang w:val="en-US"/>
        </w:rPr>
        <w:instrText>ADDIN CSL_CITATION {"citationItems":[{"id":"ITEM-1","itemData":{"DOI":"10.1007/s10758-021-09573-8","ISBN":"0123456789","ISSN":"22111670","abstract":"The aim of this study is to examine whether students of a sport management undergraduate course can gain knowledge in the management of a professional soccer club, by participating in a commercial serious game. Serious is considered the cyber game that its purpose exceeds entertainment. For this case study, the serious sport club management game was “Top Eleven”. The theoretical model that this study was based on, is Misfeldt’s “scenarios based learning” for the transformation of a serious game into an educational means. It includes dimensions that cover part of the sport management class content in the National and Kapodistrian University of Athens, School of Physical Education and Sport Science. The transformation consisted of educational scenarios vested to the serious game, in order to add educational parameters to its basic elements with the purpose to relate further to the sport management class. The application showed that Top Eleven covers adequately Misfeldt’s model dimensions; therefore it can be used as an educational tool. Furthermore, an evaluation of the class gamification was conducted by the participating students (n = 62). The data collected showed that the majority of the students (f = 61, 98.4%) agreed that the participation in the serious game was “helpful” to their sport management class education process. They further agreed that they gained “very” or “very much” knowledge related to the management of a professional soccer club (f = 41, 66.1%) and that 59.7% (f = 37) of them would choose to work in a position of “sport club manager” as a result of the experience they gained by participating in the serious game.","author":[{"dropping-particle":"","family":"Afthinos","given":"Yanni","non-dropping-particle":"","parse-names":false,"suffix":""},{"dropping-particle":"","family":"Kiaffas","given":"Zacharias","non-dropping-particle":"","parse-names":false,"suffix":""},{"dropping-particle":"","family":"Afthinos","given":"Theofilos","non-dropping-particle":"","parse-names":false,"suffix":""}],"container-title":"Technology, Knowledge and Learning","id":"ITEM-1","issue":"1","issued":{"date-parts":[["2022"]]},"page":"255-273","publisher":"Springer Netherlands","title":"The Serious Game “Top Eleven” as an Educational Simulation Platform for Acquiring Knowledge and Skills in the Management of Sports Clubs","type":"article-journal","volume":"27"},"uris":["http://www.mendeley.com/documents/?uuid=30dcf59c-a82e-4fef-8228-412cc63cdcc0"]}],"mendeley":{"formattedCitation":"[10]","plainTextFormattedCitation":"[10]","previouslyFormattedCitation":"[10]"},"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[10]</w:t>
      </w:r>
      <w:r w:rsidRPr="00FC5E0A">
        <w:rPr>
          <w:rFonts w:ascii="Times New Roman" w:hAnsi="Times New Roman"/>
          <w:lang w:val="en-US"/>
        </w:rPr>
        <w:fldChar w:fldCharType="end"/>
      </w:r>
      <w:r w:rsidRPr="00FC5E0A">
        <w:rPr>
          <w:rFonts w:ascii="Times New Roman" w:hAnsi="Times New Roman"/>
          <w:lang w:val="en-US"/>
        </w:rPr>
        <w:t xml:space="preserve">, we claim that in this case Top Eleven futures the educational goal of providing Sport Event Management class students with sport event management knowledge, skills and experience in the form of educational scenarios, given by the instructor (Table 1 &amp; Table 4). In fact, the game is vested with the educational sport event management scenarios. This is a “learn by play” educational approach by transforming a SG game into a learning tool. </w:t>
      </w:r>
    </w:p>
    <w:p w14:paraId="14EDC5C7" w14:textId="45C66BE2" w:rsidR="001D1DCC" w:rsidRPr="00FC5E0A" w:rsidRDefault="001D1DCC" w:rsidP="00E67E2C">
      <w:pPr>
        <w:spacing w:line="264" w:lineRule="auto"/>
        <w:ind w:firstLine="284"/>
        <w:jc w:val="both"/>
        <w:rPr>
          <w:rFonts w:ascii="Times New Roman" w:hAnsi="Times New Roman"/>
          <w:lang w:val="en-US"/>
        </w:rPr>
      </w:pPr>
      <w:r w:rsidRPr="00FC5E0A">
        <w:rPr>
          <w:rFonts w:ascii="Times New Roman" w:hAnsi="Times New Roman"/>
          <w:lang w:val="en-US"/>
        </w:rPr>
        <w:t xml:space="preserve">The idea was to create a football tournament in a strictly controlled environment, which would be run exclusively by the students following the Sport Event Management class. For this purpose, using the SG Top Eleven, the VIFT was created based on and supported by the “Unified Model of Events Management”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[21]","plainTextFormattedCitation":"[21]","previouslyFormattedCitation":"[21]"},"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[21]</w:t>
      </w:r>
      <w:r w:rsidRPr="00FC5E0A">
        <w:rPr>
          <w:rFonts w:ascii="Times New Roman" w:hAnsi="Times New Roman"/>
          <w:lang w:val="en-US"/>
        </w:rPr>
        <w:fldChar w:fldCharType="end"/>
      </w:r>
      <w:r w:rsidRPr="00FC5E0A">
        <w:rPr>
          <w:rFonts w:ascii="Times New Roman" w:hAnsi="Times New Roman"/>
          <w:lang w:val="en-US"/>
        </w:rPr>
        <w:t xml:space="preserve"> and the “Scenario Based Education Framework”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{"citationItems":[{"id":"ITEM-1","itemData":{"ISSN":"14794403","abstract":"In this paper I describe s how students use a project management simulation game based on an attack-defense mechanism where two teams of players compete by challenging each other’s projects. The project management simulation game is intended to be played by pre-service construction workers and engineers. The gameplay has two parts: a planning part, where the player make managerial decisions about his construction site, and a challenge part where the player chooses between typical problems to occur on the opponent’s construction site. Playing the game involves analyzing both your own and you opponent’s building project for weak spots. The intention of the project management simulation game, is to provide students with an increased sensitivity towards the relation between planning and reality in complex construction projects. The project management simulation game can be interpreted both as a competitive game and as a simulation. Both of these views are meaningful and can be seen as supporting learning. Emphasizing the simulation aspect let us explain how students learn by being immersed into a simulated world, where the players identify with specific roles, live out specific situations, and experiment with relevant parameters. Emphasizing the competition game aspect we can see how play and competition allow players to experience intrinsic motivation and engagement, as well as thinking strategically about their choices, and hence put attention towards all the things that can go wrong in construction work. The goal of the paper is to investigate empirically how these two understandings influence game experience and learning outcome. This question is approached by qualitative post-game interviews about the experienced fun, competition and realism. Specific attention is given to how the understandings of the experience (for instance as a game and as a simulation) is entangled when the students describe their experience. Using the concepts frame and domain it is analyzed how the students conceptualize and make meaning of the particular educational scenario manifested by the project management simulation game. We take as an outset that students interpret the situations in the project management simulation game as relating to one or several domains, especially the domains competition and simulation. Results suggest that the views of the scenario as a competition and as a simulation do coexist, and that these views merge in a subtle way. The players consider the…","author":[{"dropping-particle":"","family":"Misfeldt","given":"Morten","non-dropping-particle":"","parse-names":false,"suffix":""}],"container-title":"Electronic Journal of e-Learning","id":"ITEM-1","issue":"3","issued":{"date-parts":[["2015"]]},"page":"181-191","title":"Scenario based education as a framework for understanding students engagement and learning in a project management simulation game","type":"article-journal","volume":"13"},"uris":["http://www.mendeley.com/documents/?uuid=092313e4-c29d-4f9b-b151-b70746c3b863"]}],"mendeley":{"formattedCitation":"[29]","plainTextFormattedCitation":"[29]","previouslyFormattedCitation":"[29]"},"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[29]</w:t>
      </w:r>
      <w:r w:rsidRPr="00FC5E0A">
        <w:rPr>
          <w:rFonts w:ascii="Times New Roman" w:hAnsi="Times New Roman"/>
          <w:lang w:val="en-US"/>
        </w:rPr>
        <w:fldChar w:fldCharType="end"/>
      </w:r>
      <w:r w:rsidRPr="00FC5E0A">
        <w:rPr>
          <w:rFonts w:ascii="Times New Roman" w:hAnsi="Times New Roman"/>
          <w:lang w:val="en-US"/>
        </w:rPr>
        <w:t xml:space="preserve">. Through this innovative approach of alternative teaching method and internship via a virtual team sport </w:t>
      </w:r>
      <w:r w:rsidRPr="00FC5E0A">
        <w:rPr>
          <w:rFonts w:ascii="Times New Roman" w:hAnsi="Times New Roman"/>
          <w:lang w:val="en-US"/>
        </w:rPr>
        <w:lastRenderedPageBreak/>
        <w:t xml:space="preserve">tournament, students trained in a laboratory dynamic in nature approach, by using various sport management and marketing tools. </w:t>
      </w:r>
      <w:bookmarkStart w:id="12" w:name="_Hlk105916694"/>
    </w:p>
    <w:p w14:paraId="00C92DC7" w14:textId="165F0B5C" w:rsidR="001D1DCC" w:rsidRPr="00FC5E0A" w:rsidRDefault="001D1DCC" w:rsidP="00E67E2C">
      <w:pPr>
        <w:spacing w:line="264" w:lineRule="auto"/>
        <w:ind w:firstLine="284"/>
        <w:jc w:val="both"/>
        <w:rPr>
          <w:rFonts w:ascii="Times New Roman" w:hAnsi="Times New Roman"/>
          <w:lang w:val="en-US"/>
        </w:rPr>
      </w:pPr>
      <w:bookmarkStart w:id="13" w:name="_Hlk190625660"/>
      <w:r w:rsidRPr="00FC5E0A">
        <w:rPr>
          <w:rFonts w:ascii="Times New Roman" w:hAnsi="Times New Roman"/>
          <w:lang w:val="en-US"/>
        </w:rPr>
        <w:t xml:space="preserve">Initially, </w:t>
      </w:r>
      <w:r w:rsidR="00170017" w:rsidRPr="00FC5E0A">
        <w:rPr>
          <w:rFonts w:ascii="Times New Roman" w:hAnsi="Times New Roman"/>
          <w:lang w:val="en-US"/>
        </w:rPr>
        <w:t xml:space="preserve">followed the Misfeldts’ model the scenario of organizing an event was created and </w:t>
      </w:r>
      <w:r w:rsidRPr="00FC5E0A">
        <w:rPr>
          <w:rFonts w:ascii="Times New Roman" w:hAnsi="Times New Roman"/>
          <w:lang w:val="en-US"/>
        </w:rPr>
        <w:t xml:space="preserve">in accordance with the first element of Salem’s </w:t>
      </w:r>
      <w:r w:rsidRPr="00FC5E0A">
        <w:rPr>
          <w:rFonts w:ascii="Times New Roman" w:hAnsi="Times New Roman"/>
          <w:i/>
          <w:iCs/>
          <w:lang w:val="en-US"/>
        </w:rPr>
        <w:t>et al.</w:t>
      </w:r>
      <w:r w:rsidRPr="00FC5E0A">
        <w:rPr>
          <w:rFonts w:ascii="Times New Roman" w:hAnsi="Times New Roman"/>
          <w:lang w:val="en-US"/>
        </w:rPr>
        <w:t xml:space="preserve">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author":[{"dropping-particle":"","family":"Salem","given":"G.","non-dropping-particle":"","parse-names":false,"suffix":""},{"dropping-particle":"","family":"Jones","given":"E.","non-dropping-particle":"","parse-names":false,"suffix":""},{"dropping-particle":"","family":"Morgan","given":"N.","non-dropping-particle":"","parse-names":false,"suffix":""}],"container-title":"Festival and events management: an international arts and culture perspective","editor":[{"dropping-particle":"","family":"Yeoman","given":"I.","non-dropping-particle":"","parse-names":false,"suffix":""},{"dropping-particle":"","family":"Robertson","given":"M.","non-dropping-particle":"","parse-names":false,"suffix":""},{"dropping-particle":"","family":"Ali-Knight","given":"J.A.","non-dropping-particle":"","parse-names":false,"suffix":""},{"dropping-particle":"","family":"Drummond","given":"S.","non-dropping-particle":"","parse-names":false,"suffix":""},{"dropping-particle":"","family":"McMahon-Beattie","given":"U.","non-dropping-particle":"","parse-names":false,"suffix":""}],"id":"ITEM-1","issued":{"date-parts":[["2014"]]},"page":"14-31","publisher":"Elsevier Butterworth-Heinemann","publisher-place":"Boston, MA","title":"An overview of events management","type":"chapter"},"uris":["http://www.mendeley.com/documents/?uuid=74ce0dc2-1ee2-4d79-8055-f405e3731374"]}],"mendeley":{"formattedCitation":"[21]","plainTextFormattedCitation":"[21]","previouslyFormattedCitation":"[21]"},"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[21]</w:t>
      </w:r>
      <w:r w:rsidRPr="00FC5E0A">
        <w:rPr>
          <w:rFonts w:ascii="Times New Roman" w:hAnsi="Times New Roman"/>
          <w:lang w:val="en-US"/>
        </w:rPr>
        <w:fldChar w:fldCharType="end"/>
      </w:r>
      <w:r w:rsidRPr="00FC5E0A">
        <w:rPr>
          <w:rFonts w:ascii="Times New Roman" w:hAnsi="Times New Roman"/>
          <w:lang w:val="en-US"/>
        </w:rPr>
        <w:t xml:space="preserve"> model, organizers set the mission statement, the goals of the VIFT and the </w:t>
      </w:r>
      <w:r w:rsidR="006A4325" w:rsidRPr="00FC5E0A">
        <w:rPr>
          <w:rFonts w:ascii="Times New Roman" w:hAnsi="Times New Roman"/>
          <w:lang w:val="en-US"/>
        </w:rPr>
        <w:t>Organizing Committee (</w:t>
      </w:r>
      <w:r w:rsidRPr="00FC5E0A">
        <w:rPr>
          <w:rFonts w:ascii="Times New Roman" w:hAnsi="Times New Roman"/>
          <w:lang w:val="en-US"/>
        </w:rPr>
        <w:t>OC</w:t>
      </w:r>
      <w:r w:rsidR="006A4325" w:rsidRPr="00FC5E0A">
        <w:rPr>
          <w:rFonts w:ascii="Times New Roman" w:hAnsi="Times New Roman"/>
          <w:lang w:val="en-US"/>
        </w:rPr>
        <w:t>)</w:t>
      </w:r>
      <w:r w:rsidRPr="00FC5E0A">
        <w:rPr>
          <w:rFonts w:ascii="Times New Roman" w:hAnsi="Times New Roman"/>
          <w:lang w:val="en-US"/>
        </w:rPr>
        <w:t xml:space="preserve">. </w:t>
      </w:r>
      <w:bookmarkEnd w:id="13"/>
      <w:r w:rsidRPr="00FC5E0A">
        <w:rPr>
          <w:rFonts w:ascii="Times New Roman" w:hAnsi="Times New Roman"/>
          <w:lang w:val="en-US"/>
        </w:rPr>
        <w:t xml:space="preserve">Following that, according to the second element of the model, organizers practiced in planning tools as suggested by Kendal </w:t>
      </w:r>
      <w:r w:rsidRPr="00FC5E0A">
        <w:rPr>
          <w:rFonts w:ascii="Times New Roman" w:hAnsi="Times New Roman"/>
          <w:i/>
          <w:iCs/>
          <w:lang w:val="en-US"/>
        </w:rPr>
        <w:t xml:space="preserve">et al.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{"citationItems":[{"id":"ITEM-1","itemData":{"DOI":"10.1016/j.cor.2009.05.013","ISSN":"03050548","abstract":"Sports have worldwide appeal. Professional sport leagues involve significant investments in players. Events such as the Olympics Games, the Football World Cup and the major golf and tennis tournaments generate huge worldwide television audiences and many sports are multi-million dollar industries. A key aspect of sporting events is the ability to generate schedules that optimize logistic issues and that are seen as fair to all those who have an interest. This is not just restricted to generating the fixtures, but also to other areas such as assigning officials to the games in the competitions. This paper provides an annotated bibliography for sports scheduling articles. This area can be traced back over 40 years. It is noticeable that the number of papers has risen in recent years, demonstrating that scientific interest is increasing in this area. © 2009 Elsevier Ltd. All rights reserved.","author":[{"dropping-particle":"","family":"Kendall","given":"Graham","non-dropping-particle":"","parse-names":false,"suffix":""},{"dropping-particle":"","family":"Knust","given":"Sigrid","non-dropping-particle":"","parse-names":false,"suffix":""},{"dropping-particle":"","family":"Ribeiro","given":"Celso C.","non-dropping-particle":"","parse-names":false,"suffix":""},{"dropping-particle":"","family":"Urrutia","given":"Sebastián","non-dropping-particle":"","parse-names":false,"suffix":""}],"container-title":"Computers and Operations Research","id":"ITEM-1","issue":"1","issued":{"date-parts":[["2010"]]},"page":"1-19","publisher":"Elsevier","title":"Scheduling in sports: An annotated bibliography","type":"article-journal","volume":"37"},"uris":["http://www.mendeley.com/documents/?uuid=89910123-b21c-45fc-b3ed-e9a0324e5438"]}],"mendeley":{"formattedCitation":"[22]","plainTextFormattedCitation":"[22]","previouslyFormattedCitation":"[22]"},"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[22]</w:t>
      </w:r>
      <w:r w:rsidRPr="00FC5E0A">
        <w:rPr>
          <w:rFonts w:ascii="Times New Roman" w:hAnsi="Times New Roman"/>
          <w:lang w:val="en-US"/>
        </w:rPr>
        <w:fldChar w:fldCharType="end"/>
      </w:r>
      <w:r w:rsidRPr="00FC5E0A">
        <w:rPr>
          <w:rFonts w:ascii="Times New Roman" w:hAnsi="Times New Roman"/>
          <w:lang w:val="en-US"/>
        </w:rPr>
        <w:t xml:space="preserve">. By using planning tools and through the creation of a list with actions required to achieve the given goal, organizers learned to form and use the Structured Task Analysis which is a pivotal tool for planning an event </w:t>
      </w:r>
      <w:r w:rsidRPr="00FC5E0A">
        <w:rPr>
          <w:rFonts w:ascii="Times New Roman" w:hAnsi="Times New Roman"/>
          <w:lang w:val="en-US"/>
        </w:rPr>
        <w:fldChar w:fldCharType="begin" w:fldLock="1"/>
      </w:r>
      <w:r w:rsidR="00B67A73" w:rsidRPr="00FC5E0A">
        <w:rPr>
          <w:rFonts w:ascii="Times New Roman" w:hAnsi="Times New Roman"/>
          <w:lang w:val="en-US"/>
        </w:rPr>
        <w:instrText>ADDIN CSL_CITATION {"citationItems":[{"id":"ITEM-1","itemData":{"author":[{"dropping-particle":"","family":"Afthinos","given":"Yanni","non-dropping-particle":"","parse-names":false,"suffix":""}],"id":"ITEM-1","issued":{"date-parts":[["2015"]]},"publisher":"Sport Option","publisher-place":"Athens","title":"Sport Event Organization [Οργάνωση αθλητικών αγώνων]","type":"book"},"uris":["http://www.mendeley.com/documents/?uuid=943ea676-e5c9-41d2-a534-2671a4925099"]}],"mendeley":{"formattedCitation":"[24]","plainTextFormattedCitation":"[24]","previouslyFormattedCitation":"[24]"},"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[24]</w:t>
      </w:r>
      <w:r w:rsidRPr="00FC5E0A">
        <w:rPr>
          <w:rFonts w:ascii="Times New Roman" w:hAnsi="Times New Roman"/>
          <w:lang w:val="en-US"/>
        </w:rPr>
        <w:fldChar w:fldCharType="end"/>
      </w:r>
      <w:r w:rsidRPr="00FC5E0A">
        <w:rPr>
          <w:rFonts w:ascii="Times New Roman" w:hAnsi="Times New Roman"/>
          <w:lang w:val="en-US"/>
        </w:rPr>
        <w:t>. Regarding the implementation, the third element of the model, organizers learned by practice to deal with managerial issues.</w:t>
      </w:r>
      <w:bookmarkEnd w:id="12"/>
      <w:r w:rsidRPr="00FC5E0A">
        <w:rPr>
          <w:rFonts w:ascii="Times New Roman" w:hAnsi="Times New Roman"/>
          <w:lang w:val="en-US"/>
        </w:rPr>
        <w:t xml:space="preserve"> Concerning the evaluation, the fourth element of the model, both the VIFT and organizers were evaluated by the participants. Additionally, organizers were also assessed by the class instructor through written test and deliverables.</w:t>
      </w:r>
    </w:p>
    <w:p w14:paraId="40EDCD89" w14:textId="1B59A54A" w:rsidR="001D1DCC" w:rsidRPr="00FC5E0A" w:rsidRDefault="001D1DCC" w:rsidP="009E1D9E">
      <w:pPr>
        <w:spacing w:line="264" w:lineRule="auto"/>
        <w:ind w:firstLine="284"/>
        <w:jc w:val="both"/>
        <w:rPr>
          <w:rFonts w:ascii="Times New Roman" w:hAnsi="Times New Roman"/>
          <w:lang w:val="en-US"/>
        </w:rPr>
      </w:pPr>
      <w:r w:rsidRPr="00FC5E0A">
        <w:rPr>
          <w:rFonts w:ascii="Times New Roman" w:hAnsi="Times New Roman"/>
          <w:lang w:val="en-US"/>
        </w:rPr>
        <w:t xml:space="preserve">In terms of marketing, organizers created a website as </w:t>
      </w:r>
      <w:r w:rsidR="005C7C28" w:rsidRPr="00FC5E0A">
        <w:rPr>
          <w:rFonts w:ascii="Times New Roman" w:hAnsi="Times New Roman"/>
          <w:lang w:val="en-US"/>
        </w:rPr>
        <w:t>VIFT’s</w:t>
      </w:r>
      <w:r w:rsidRPr="00FC5E0A">
        <w:rPr>
          <w:rFonts w:ascii="Times New Roman" w:hAnsi="Times New Roman"/>
          <w:lang w:val="en-US"/>
        </w:rPr>
        <w:t xml:space="preserve"> main communication and information tool. They also developed and implemented the VIFT’s sponsorship program, which resulted in awarding, during the virtual closing ceremony, various sponsors’ in-kind offerings to the managers of the winning teams. </w:t>
      </w:r>
    </w:p>
    <w:p w14:paraId="7DF2DAFB" w14:textId="77777777" w:rsidR="001D1DCC" w:rsidRPr="00FC5E0A" w:rsidRDefault="001D1DCC" w:rsidP="009E1D9E">
      <w:pPr>
        <w:spacing w:line="264" w:lineRule="auto"/>
        <w:ind w:firstLine="284"/>
        <w:jc w:val="both"/>
        <w:rPr>
          <w:rFonts w:ascii="Times New Roman" w:hAnsi="Times New Roman"/>
          <w:lang w:val="en-US"/>
        </w:rPr>
      </w:pPr>
      <w:r w:rsidRPr="00FC5E0A">
        <w:rPr>
          <w:rFonts w:ascii="Times New Roman" w:hAnsi="Times New Roman"/>
          <w:lang w:val="en-US"/>
        </w:rPr>
        <w:t xml:space="preserve">Based on the procedure followed results, managerial skills described in Table 1 were well developed and satisfactorily assessed by the class instructor. The above results are supported by the high quality of deliverables, the performance in the written test (57.14% above the average) and the VIFT’s successfully completion.  </w:t>
      </w:r>
    </w:p>
    <w:p w14:paraId="68C7CF29" w14:textId="0B6D66FF" w:rsidR="001D1DCC" w:rsidRPr="00FC5E0A" w:rsidRDefault="001D1DCC" w:rsidP="009E1D9E">
      <w:pPr>
        <w:spacing w:line="264" w:lineRule="auto"/>
        <w:ind w:firstLine="284"/>
        <w:jc w:val="both"/>
        <w:rPr>
          <w:rFonts w:ascii="Times New Roman" w:hAnsi="Times New Roman"/>
          <w:lang w:val="en-US"/>
        </w:rPr>
      </w:pPr>
      <w:r w:rsidRPr="00FC5E0A">
        <w:rPr>
          <w:rFonts w:ascii="Times New Roman" w:hAnsi="Times New Roman"/>
          <w:lang w:val="en-US"/>
        </w:rPr>
        <w:t xml:space="preserve">Regarding the written skills test results, prior experience displays a positive effect on the acquired skills level with no gender differentiation. </w:t>
      </w:r>
      <w:bookmarkStart w:id="14" w:name="_Hlk105916596"/>
      <w:r w:rsidRPr="00FC5E0A">
        <w:rPr>
          <w:rFonts w:ascii="Times New Roman" w:hAnsi="Times New Roman"/>
          <w:lang w:val="en-US"/>
        </w:rPr>
        <w:t xml:space="preserve">The score of the written knowledge test, although lower than the corresponding skills test, </w:t>
      </w:r>
      <w:r w:rsidR="009E1D9E" w:rsidRPr="00FC5E0A">
        <w:rPr>
          <w:rFonts w:ascii="Times New Roman" w:hAnsi="Times New Roman"/>
          <w:lang w:val="en-US"/>
        </w:rPr>
        <w:t>was</w:t>
      </w:r>
      <w:r w:rsidRPr="00FC5E0A">
        <w:rPr>
          <w:rFonts w:ascii="Times New Roman" w:hAnsi="Times New Roman"/>
          <w:lang w:val="en-US"/>
        </w:rPr>
        <w:t xml:space="preserve"> </w:t>
      </w:r>
      <w:r w:rsidR="00D6691B" w:rsidRPr="00FC5E0A">
        <w:rPr>
          <w:rFonts w:ascii="Times New Roman" w:hAnsi="Times New Roman"/>
          <w:lang w:val="en-US"/>
        </w:rPr>
        <w:t>considered</w:t>
      </w:r>
      <w:r w:rsidRPr="00FC5E0A">
        <w:rPr>
          <w:rFonts w:ascii="Times New Roman" w:hAnsi="Times New Roman"/>
          <w:lang w:val="en-US"/>
        </w:rPr>
        <w:t xml:space="preserve"> satisfactory. It is also verified that prior experience positively </w:t>
      </w:r>
      <w:r w:rsidR="009E1D9E" w:rsidRPr="00FC5E0A">
        <w:rPr>
          <w:rFonts w:ascii="Times New Roman" w:hAnsi="Times New Roman"/>
          <w:lang w:val="en-US"/>
        </w:rPr>
        <w:t>affects</w:t>
      </w:r>
      <w:r w:rsidRPr="00FC5E0A">
        <w:rPr>
          <w:rFonts w:ascii="Times New Roman" w:hAnsi="Times New Roman"/>
          <w:lang w:val="en-US"/>
        </w:rPr>
        <w:t xml:space="preserve"> knowledge in sport event management while there is no found any gender differentiation. </w:t>
      </w:r>
    </w:p>
    <w:p w14:paraId="54633B06" w14:textId="77777777" w:rsidR="001D1DCC" w:rsidRPr="00FC5E0A" w:rsidRDefault="001D1DCC" w:rsidP="002112E9">
      <w:pPr>
        <w:spacing w:line="264" w:lineRule="auto"/>
        <w:ind w:firstLine="284"/>
        <w:jc w:val="both"/>
        <w:rPr>
          <w:rFonts w:ascii="Times New Roman" w:hAnsi="Times New Roman"/>
          <w:lang w:val="en-US"/>
        </w:rPr>
      </w:pPr>
      <w:r w:rsidRPr="00FC5E0A">
        <w:rPr>
          <w:rFonts w:ascii="Times New Roman" w:hAnsi="Times New Roman"/>
          <w:lang w:val="en-US"/>
        </w:rPr>
        <w:t>The effort and effectiveness of the organizers were highly evaluated by the participants, which confirmed by the positive VIFT’s assessment. This statement indicates that the VIFT was successfully planned and managed. The validity of the evaluation was verified by the positive correlation between the VIFT’s and organizers assessment.</w:t>
      </w:r>
    </w:p>
    <w:p w14:paraId="7DDC3AEE" w14:textId="77777777" w:rsidR="001D1DCC" w:rsidRPr="00FC5E0A" w:rsidRDefault="001D1DCC" w:rsidP="00021E85">
      <w:pPr>
        <w:spacing w:before="240" w:after="160" w:line="22" w:lineRule="atLeast"/>
        <w:ind w:firstLine="284"/>
        <w:jc w:val="both"/>
        <w:rPr>
          <w:rFonts w:ascii="Times New Roman" w:hAnsi="Times New Roman"/>
          <w:strike/>
          <w:lang w:val="en-US"/>
        </w:rPr>
      </w:pPr>
      <w:r w:rsidRPr="00FC5E0A">
        <w:rPr>
          <w:rFonts w:ascii="Times New Roman" w:hAnsi="Times New Roman"/>
          <w:strike/>
          <w:lang w:val="en-US"/>
        </w:rPr>
        <w:t>In conclusion it could be argued that the SG Top Eleven can be used as a teaching and experiencing simulator tool, vested with the educational scenarios that presented in this study, as it assists in acquiring knowledge and develop sport event management skills in a laboratory environment</w:t>
      </w:r>
      <w:bookmarkStart w:id="15" w:name="_Hlk90061833"/>
      <w:bookmarkEnd w:id="14"/>
      <w:r w:rsidRPr="00FC5E0A">
        <w:rPr>
          <w:rFonts w:ascii="Times New Roman" w:hAnsi="Times New Roman"/>
          <w:strike/>
          <w:lang w:val="en-US"/>
        </w:rPr>
        <w:t>.</w:t>
      </w:r>
    </w:p>
    <w:p w14:paraId="67CF4CA2" w14:textId="16BBDE09" w:rsidR="00FF36BD" w:rsidRPr="00FC5E0A" w:rsidRDefault="00FF36BD" w:rsidP="00FF36BD">
      <w:pPr>
        <w:pStyle w:val="2"/>
      </w:pPr>
      <w:r w:rsidRPr="00FC5E0A">
        <w:t>Conclusion</w:t>
      </w:r>
    </w:p>
    <w:p w14:paraId="5AB061F7" w14:textId="215F8072" w:rsidR="00FF36BD" w:rsidRPr="00FC5E0A" w:rsidRDefault="00FF36BD" w:rsidP="00FF36BD">
      <w:pPr>
        <w:spacing w:line="264" w:lineRule="auto"/>
        <w:jc w:val="both"/>
        <w:rPr>
          <w:rFonts w:ascii="Times New Roman" w:hAnsi="Times New Roman"/>
          <w:lang w:val="en-US"/>
        </w:rPr>
      </w:pPr>
      <w:r w:rsidRPr="00FC5E0A">
        <w:rPr>
          <w:rFonts w:ascii="Times New Roman" w:hAnsi="Times New Roman"/>
          <w:lang w:val="en-US"/>
        </w:rPr>
        <w:t xml:space="preserve">Based on the results presented above (high quality of deliverables, well above average scores in theoretical knowledge written test and the high  level evaluation of organizers’ efficiency and the VIFT), it can be stated that indeed </w:t>
      </w:r>
      <w:r w:rsidRPr="00FC5E0A">
        <w:rPr>
          <w:rFonts w:ascii="Times New Roman" w:hAnsi="Times New Roman"/>
        </w:rPr>
        <w:t xml:space="preserve">a Serious Game is capable of serving as an auxiliary educational tool </w:t>
      </w:r>
      <w:r w:rsidRPr="00FC5E0A">
        <w:rPr>
          <w:rFonts w:ascii="Times New Roman" w:hAnsi="Times New Roman"/>
          <w:lang w:val="en-US"/>
        </w:rPr>
        <w:t xml:space="preserve">and serve as a means for  </w:t>
      </w:r>
      <w:r w:rsidRPr="00FC5E0A" w:rsidDel="00CF3EC0">
        <w:rPr>
          <w:rFonts w:ascii="Times New Roman" w:hAnsi="Times New Roman"/>
          <w:lang w:val="en-US"/>
        </w:rPr>
        <w:t xml:space="preserve"> </w:t>
      </w:r>
      <w:r w:rsidRPr="00FC5E0A">
        <w:rPr>
          <w:rFonts w:ascii="Times New Roman" w:hAnsi="Times New Roman"/>
          <w:lang w:val="en-US"/>
        </w:rPr>
        <w:t xml:space="preserve">acquiring theoretical knowledge and gaining practical experiences </w:t>
      </w:r>
      <w:r w:rsidRPr="00FC5E0A">
        <w:rPr>
          <w:rFonts w:ascii="Times New Roman" w:hAnsi="Times New Roman"/>
        </w:rPr>
        <w:t>in the field of sport event management.</w:t>
      </w:r>
    </w:p>
    <w:p w14:paraId="3BAB1D91" w14:textId="77777777" w:rsidR="00FF36BD" w:rsidRPr="00FC5E0A" w:rsidRDefault="00FF36BD" w:rsidP="00FF36BD">
      <w:pPr>
        <w:pStyle w:val="Articlenormaltext"/>
        <w:rPr>
          <w:szCs w:val="22"/>
          <w:lang w:val="en-GB"/>
        </w:rPr>
      </w:pPr>
    </w:p>
    <w:p w14:paraId="2E9A1F8A" w14:textId="77777777" w:rsidR="00FF36BD" w:rsidRPr="00FC5E0A" w:rsidRDefault="00FF36BD" w:rsidP="00FF36BD">
      <w:pPr>
        <w:pStyle w:val="Articlenormaltext"/>
        <w:rPr>
          <w:szCs w:val="22"/>
          <w:lang w:val="en-GB"/>
        </w:rPr>
      </w:pPr>
      <w:r w:rsidRPr="00FC5E0A">
        <w:rPr>
          <w:szCs w:val="22"/>
          <w:lang w:val="en-GB"/>
        </w:rPr>
        <w:t xml:space="preserve">Intuitively, the outcome of the above analysis can serve as an indicated validation of our approach; that is, the use of SG Top Eleven as an educational auxiliary tool to a Sport Event Management class </w:t>
      </w:r>
      <w:r w:rsidRPr="00FC5E0A">
        <w:rPr>
          <w:szCs w:val="22"/>
        </w:rPr>
        <w:t>through the implementation of the proposed hybrid</w:t>
      </w:r>
      <w:r w:rsidRPr="00FC5E0A">
        <w:rPr>
          <w:szCs w:val="22"/>
          <w:lang w:val="en-GB"/>
        </w:rPr>
        <w:t>.</w:t>
      </w:r>
    </w:p>
    <w:p w14:paraId="16B6037D" w14:textId="77777777" w:rsidR="00FF36BD" w:rsidRPr="00FC5E0A" w:rsidRDefault="00FF36BD" w:rsidP="00021E85">
      <w:pPr>
        <w:spacing w:before="240" w:after="160" w:line="22" w:lineRule="atLeast"/>
        <w:ind w:firstLine="284"/>
        <w:jc w:val="both"/>
        <w:rPr>
          <w:rFonts w:ascii="Times New Roman" w:hAnsi="Times New Roman"/>
          <w:lang w:val="en-GB"/>
        </w:rPr>
      </w:pPr>
    </w:p>
    <w:p w14:paraId="2B045FD1" w14:textId="37C84E5A" w:rsidR="00F8116E" w:rsidRPr="00FC5E0A" w:rsidRDefault="002465B5" w:rsidP="00F8116E">
      <w:pPr>
        <w:pStyle w:val="2"/>
        <w:rPr>
          <w:rFonts w:ascii="Times New Roman" w:hAnsi="Times New Roman" w:cs="Times New Roman"/>
          <w:sz w:val="22"/>
          <w:szCs w:val="22"/>
        </w:rPr>
      </w:pPr>
      <w:bookmarkStart w:id="16" w:name="_Hlk190625780"/>
      <w:bookmarkEnd w:id="15"/>
      <w:r w:rsidRPr="00FC5E0A">
        <w:rPr>
          <w:rFonts w:ascii="Times New Roman" w:hAnsi="Times New Roman" w:cs="Times New Roman"/>
          <w:sz w:val="22"/>
          <w:szCs w:val="22"/>
        </w:rPr>
        <w:t xml:space="preserve">Contribution to </w:t>
      </w:r>
      <w:r w:rsidR="001A616C" w:rsidRPr="00FC5E0A">
        <w:rPr>
          <w:rFonts w:ascii="Times New Roman" w:hAnsi="Times New Roman" w:cs="Times New Roman"/>
          <w:sz w:val="22"/>
          <w:szCs w:val="22"/>
        </w:rPr>
        <w:t>existing</w:t>
      </w:r>
      <w:r w:rsidRPr="00FC5E0A">
        <w:rPr>
          <w:rFonts w:ascii="Times New Roman" w:hAnsi="Times New Roman" w:cs="Times New Roman"/>
          <w:sz w:val="22"/>
          <w:szCs w:val="22"/>
        </w:rPr>
        <w:t xml:space="preserve"> literature </w:t>
      </w:r>
      <w:r w:rsidR="00F8116E" w:rsidRPr="00FC5E0A">
        <w:rPr>
          <w:rFonts w:ascii="Times New Roman" w:hAnsi="Times New Roman" w:cs="Times New Roman"/>
          <w:sz w:val="22"/>
          <w:szCs w:val="22"/>
        </w:rPr>
        <w:t xml:space="preserve"> </w:t>
      </w:r>
    </w:p>
    <w:p w14:paraId="2C389C94" w14:textId="3BCF4415" w:rsidR="00407F8B" w:rsidRPr="00FC5E0A" w:rsidRDefault="00407F8B" w:rsidP="00EC1EA4">
      <w:pPr>
        <w:spacing w:line="264" w:lineRule="auto"/>
        <w:jc w:val="both"/>
        <w:rPr>
          <w:rFonts w:ascii="Times New Roman" w:hAnsi="Times New Roman"/>
        </w:rPr>
      </w:pPr>
      <w:r w:rsidRPr="00FC5E0A">
        <w:rPr>
          <w:rFonts w:ascii="Times New Roman" w:hAnsi="Times New Roman"/>
        </w:rPr>
        <w:t xml:space="preserve">This study adopts an empirical approach to pedagogical application, investigating the potential of serious games as an educational tool. In contrast to the studies reviewed in the literature, which </w:t>
      </w:r>
      <w:r w:rsidRPr="00FC5E0A">
        <w:rPr>
          <w:rFonts w:ascii="Times New Roman" w:hAnsi="Times New Roman"/>
        </w:rPr>
        <w:lastRenderedPageBreak/>
        <w:t>predominantly emphasized knowledge acquisition with limited focus on the development of soft skills—primarily within the broader domain of project management and utilizing qualitative data—this research introduces an innovative approach by leveraging gamification as a means to implement a hybrid learning process. This process aims not only at knowledge acquisition but also at fostering the development of soft skills specifically related to event management, and gaining real experiences incorporating both qualitative and quantitative data</w:t>
      </w:r>
    </w:p>
    <w:p w14:paraId="40515677" w14:textId="5BE2F0B1" w:rsidR="00EC1EA4" w:rsidRPr="00FC5E0A" w:rsidRDefault="00EC1EA4" w:rsidP="00EC1EA4">
      <w:pPr>
        <w:spacing w:line="264" w:lineRule="auto"/>
        <w:jc w:val="both"/>
        <w:rPr>
          <w:rFonts w:ascii="Times New Roman" w:hAnsi="Times New Roman"/>
          <w:lang w:val="en-US"/>
        </w:rPr>
      </w:pPr>
      <w:r w:rsidRPr="00FC5E0A">
        <w:rPr>
          <w:rFonts w:ascii="Times New Roman" w:hAnsi="Times New Roman"/>
          <w:lang w:val="en-US"/>
        </w:rPr>
        <w:t xml:space="preserve">This paper </w:t>
      </w:r>
      <w:bookmarkStart w:id="17" w:name="_Hlk122778192"/>
      <w:r w:rsidRPr="00FC5E0A">
        <w:rPr>
          <w:rFonts w:ascii="Times New Roman" w:hAnsi="Times New Roman"/>
          <w:lang w:val="en-US"/>
        </w:rPr>
        <w:t xml:space="preserve">adds to the existing literature </w:t>
      </w:r>
      <w:bookmarkEnd w:id="17"/>
      <w:r w:rsidRPr="00FC5E0A">
        <w:rPr>
          <w:rFonts w:ascii="Times New Roman" w:hAnsi="Times New Roman"/>
          <w:lang w:val="en-US"/>
        </w:rPr>
        <w:t xml:space="preserve">in terms of the provision of a means to add skills and knowledge to students in the sport management field by using a SG to test skills knowledge and gain experience instead of intern to an actual event where a mistake can be costly to both organizers and the un-experienced individual. </w:t>
      </w:r>
    </w:p>
    <w:p w14:paraId="0B6EF970" w14:textId="3D62E928" w:rsidR="00EC1EA4" w:rsidRPr="00FC5E0A" w:rsidRDefault="00EC1EA4" w:rsidP="00EC1EA4">
      <w:pPr>
        <w:spacing w:line="264" w:lineRule="auto"/>
        <w:ind w:firstLine="284"/>
        <w:jc w:val="both"/>
        <w:rPr>
          <w:rFonts w:ascii="Times New Roman" w:hAnsi="Times New Roman"/>
          <w:lang w:val="en-US"/>
        </w:rPr>
      </w:pPr>
      <w:r w:rsidRPr="00FC5E0A">
        <w:rPr>
          <w:rFonts w:ascii="Times New Roman" w:hAnsi="Times New Roman"/>
          <w:lang w:val="en-US"/>
        </w:rPr>
        <w:t xml:space="preserve">The educational purpose is the attempt to provide validation for the use of SG Top Eleven as an auxiliary tool that provides </w:t>
      </w:r>
      <w:r w:rsidR="001A616C" w:rsidRPr="00FC5E0A">
        <w:rPr>
          <w:rFonts w:ascii="Times New Roman" w:hAnsi="Times New Roman"/>
          <w:lang w:val="en-US"/>
        </w:rPr>
        <w:t>an</w:t>
      </w:r>
      <w:r w:rsidRPr="00FC5E0A">
        <w:rPr>
          <w:rFonts w:ascii="Times New Roman" w:hAnsi="Times New Roman"/>
          <w:lang w:val="en-US"/>
        </w:rPr>
        <w:t xml:space="preserve"> environment where a student can gain experience in sport event management.</w:t>
      </w:r>
    </w:p>
    <w:p w14:paraId="3B63E7DF" w14:textId="77777777" w:rsidR="00EC1EA4" w:rsidRPr="00FC5E0A" w:rsidRDefault="00EC1EA4" w:rsidP="00EC1EA4">
      <w:pPr>
        <w:spacing w:line="264" w:lineRule="auto"/>
        <w:ind w:firstLine="284"/>
        <w:jc w:val="both"/>
        <w:rPr>
          <w:rFonts w:ascii="Times New Roman" w:hAnsi="Times New Roman"/>
          <w:lang w:val="en-US"/>
        </w:rPr>
      </w:pPr>
      <w:r w:rsidRPr="00FC5E0A">
        <w:rPr>
          <w:rFonts w:ascii="Times New Roman" w:hAnsi="Times New Roman"/>
          <w:lang w:val="en-US"/>
        </w:rPr>
        <w:t xml:space="preserve">As SG affect students’ performance, engagement, and learning motivation, the concept of efficiently integrating games as simulations in the educational process is often up to the instructor’s discretion </w:t>
      </w:r>
      <w:r w:rsidRPr="00FC5E0A">
        <w:rPr>
          <w:rFonts w:ascii="Times New Roman" w:hAnsi="Times New Roman"/>
          <w:lang w:val="en-US"/>
        </w:rPr>
        <w:fldChar w:fldCharType="begin" w:fldLock="1"/>
      </w:r>
      <w:r w:rsidRPr="00FC5E0A">
        <w:rPr>
          <w:rFonts w:ascii="Times New Roman" w:hAnsi="Times New Roman"/>
          <w:lang w:val="en-US"/>
        </w:rPr>
        <w:instrText>ADDIN CSL_CITATION {"citationItems":[{"id":"ITEM-1","itemData":{"DOI":"10.1186/s41239-017-0062-1","ISBN":"4123901700","ISSN":"23659440","abstract":"The focus of higher education institutions is the preparation of future professionals. To achieve this aim, innovative teaching methods are often deployed, including games and simulations, which form the subject of this paper. As the field of digital games and simulations is ever maturing, this paper attempts to systematically review the literature relevant to games and simulation pedagogy in higher education. Two researchers collaborate to apply a qualitative method, coding and synthesizing the results using multiple criteria. The main objective is to study the impact of games and simulations with regard to achieving specific learning objectives. On balance, results indicate that games and/or simulations have a positive impact on learning goals. The researchers identify three learning outcomes when integrating games into the learning process: cognitive, behavioural, and affective. As a final step, the authors consolidate evidence for the benefit of academics and practitioners in higher education interested in the efficient use of games and simulations for pedagogical purposes. Such evidence also provides potential options and pathways for future research.","author":[{"dropping-particle":"","family":"Vlachopoulos","given":"Dimitrios","non-dropping-particle":"","parse-names":false,"suffix":""},{"dropping-particle":"","family":"Makri","given":"Agoritsa","non-dropping-particle":"","parse-names":false,"suffix":""}],"container-title":"International Journal of Educational Technology in Higher Education","id":"ITEM-1","issue":"1","issued":{"date-parts":[["2017"]]},"number-of-pages":"1-33","publisher":"International Journal of Educational Technology in Higher Education","title":"The effect of games and simulations on higher education: a systematic literature review","type":"book","volume":"14"},"uris":["http://www.mendeley.com/documents/?uuid=d6e654e7-80de-46ef-b60e-76d06588330b"]}],"mendeley":{"formattedCitation":"[1]","plainTextFormattedCitation":"[1]","previouslyFormattedCitation":"[1]"},"properties":{"noteIndex":0},"schema":"https://github.com/citation-style-language/schema/raw/master/csl-citation.json"}</w:instrText>
      </w:r>
      <w:r w:rsidRPr="00FC5E0A">
        <w:rPr>
          <w:rFonts w:ascii="Times New Roman" w:hAnsi="Times New Roman"/>
          <w:lang w:val="en-US"/>
        </w:rPr>
        <w:fldChar w:fldCharType="separate"/>
      </w:r>
      <w:r w:rsidRPr="00FC5E0A">
        <w:rPr>
          <w:rFonts w:ascii="Times New Roman" w:hAnsi="Times New Roman"/>
          <w:noProof/>
          <w:lang w:val="en-US"/>
        </w:rPr>
        <w:t>[1]</w:t>
      </w:r>
      <w:r w:rsidRPr="00FC5E0A">
        <w:rPr>
          <w:rFonts w:ascii="Times New Roman" w:hAnsi="Times New Roman"/>
          <w:lang w:val="en-US"/>
        </w:rPr>
        <w:fldChar w:fldCharType="end"/>
      </w:r>
      <w:r w:rsidRPr="00FC5E0A">
        <w:rPr>
          <w:rFonts w:ascii="Times New Roman" w:hAnsi="Times New Roman"/>
          <w:lang w:val="en-US"/>
        </w:rPr>
        <w:t xml:space="preserve">. In accordance, this study aimed to develop a framework to assist Sport Event Management class instructor to use the SG Top Eleven as an auxiliary tool in providing students with experience by setting up, plan manage and marketing a virtual football tournament. </w:t>
      </w:r>
    </w:p>
    <w:bookmarkEnd w:id="16"/>
    <w:p w14:paraId="3C63598C" w14:textId="77777777" w:rsidR="00FF36BD" w:rsidRPr="00FC5E0A" w:rsidRDefault="00FF36BD" w:rsidP="00EC1EA4">
      <w:pPr>
        <w:spacing w:line="264" w:lineRule="auto"/>
        <w:ind w:firstLine="284"/>
        <w:jc w:val="both"/>
        <w:rPr>
          <w:rFonts w:ascii="Times New Roman" w:hAnsi="Times New Roman"/>
          <w:lang w:val="en-US"/>
        </w:rPr>
      </w:pPr>
    </w:p>
    <w:p w14:paraId="5969642E" w14:textId="77777777" w:rsidR="006A4325" w:rsidRPr="00FC5E0A" w:rsidRDefault="006A4325" w:rsidP="006A4325">
      <w:pPr>
        <w:pStyle w:val="2"/>
        <w:rPr>
          <w:rFonts w:ascii="Times New Roman" w:hAnsi="Times New Roman" w:cs="Times New Roman"/>
          <w:sz w:val="22"/>
          <w:szCs w:val="22"/>
        </w:rPr>
      </w:pPr>
      <w:r w:rsidRPr="00FC5E0A">
        <w:rPr>
          <w:rFonts w:ascii="Times New Roman" w:hAnsi="Times New Roman" w:cs="Times New Roman"/>
          <w:sz w:val="22"/>
          <w:szCs w:val="22"/>
        </w:rPr>
        <w:t xml:space="preserve">Limitations of the study </w:t>
      </w:r>
    </w:p>
    <w:p w14:paraId="3B352B5A" w14:textId="63C32F1E" w:rsidR="006A4325" w:rsidRPr="00FC5E0A" w:rsidRDefault="006A4325" w:rsidP="006A4325">
      <w:pPr>
        <w:pStyle w:val="Articlenormaltextfirstparagraph"/>
        <w:rPr>
          <w:szCs w:val="22"/>
          <w:lang w:val="el-GR"/>
        </w:rPr>
      </w:pPr>
      <w:r w:rsidRPr="00FC5E0A">
        <w:rPr>
          <w:szCs w:val="22"/>
        </w:rPr>
        <w:t xml:space="preserve">The present study’s results are limited to one country, one university department </w:t>
      </w:r>
      <w:r w:rsidR="001A616C" w:rsidRPr="00FC5E0A">
        <w:rPr>
          <w:szCs w:val="22"/>
        </w:rPr>
        <w:t>and to</w:t>
      </w:r>
      <w:r w:rsidRPr="00FC5E0A">
        <w:rPr>
          <w:szCs w:val="22"/>
        </w:rPr>
        <w:t xml:space="preserve"> the participating students. The population of the study was convenient, consisting of students who participated in form of a class assignment. Furthermore, there was no control group to test the effect of the education process. The means of data collection were based on education assessment rather than on standardized questionnaires. These factors make it hard to </w:t>
      </w:r>
      <w:r w:rsidRPr="00FC5E0A">
        <w:rPr>
          <w:rFonts w:eastAsia="Times New Roman"/>
          <w:szCs w:val="22"/>
        </w:rPr>
        <w:t>extrapolate universally</w:t>
      </w:r>
      <w:r w:rsidR="001A616C" w:rsidRPr="00FC5E0A">
        <w:rPr>
          <w:rFonts w:eastAsia="Times New Roman"/>
          <w:szCs w:val="22"/>
        </w:rPr>
        <w:t>.</w:t>
      </w:r>
    </w:p>
    <w:p w14:paraId="7D3E8B01" w14:textId="77777777" w:rsidR="006A4325" w:rsidRPr="00FC5E0A" w:rsidRDefault="006A4325" w:rsidP="00EC1EA4">
      <w:pPr>
        <w:spacing w:line="264" w:lineRule="auto"/>
        <w:ind w:firstLine="284"/>
        <w:jc w:val="both"/>
        <w:rPr>
          <w:rFonts w:ascii="Times New Roman" w:hAnsi="Times New Roman"/>
          <w:lang w:val="en-US"/>
        </w:rPr>
      </w:pPr>
    </w:p>
    <w:p w14:paraId="4AFB3B77" w14:textId="5EFC4851" w:rsidR="002465B5" w:rsidRPr="00FC5E0A" w:rsidRDefault="002465B5" w:rsidP="002465B5">
      <w:pPr>
        <w:pStyle w:val="2"/>
        <w:rPr>
          <w:rFonts w:ascii="Times New Roman" w:hAnsi="Times New Roman" w:cs="Times New Roman"/>
          <w:sz w:val="22"/>
          <w:szCs w:val="22"/>
        </w:rPr>
      </w:pPr>
      <w:r w:rsidRPr="00FC5E0A">
        <w:rPr>
          <w:rFonts w:ascii="Times New Roman" w:hAnsi="Times New Roman" w:cs="Times New Roman"/>
          <w:sz w:val="22"/>
          <w:szCs w:val="22"/>
        </w:rPr>
        <w:t xml:space="preserve">Future research  </w:t>
      </w:r>
    </w:p>
    <w:p w14:paraId="78CDFA69" w14:textId="6E2DBFC4" w:rsidR="00D46D7F" w:rsidRPr="00FC5E0A" w:rsidRDefault="00D46D7F" w:rsidP="00932809">
      <w:pPr>
        <w:pStyle w:val="Articlenormaltextfirstparagraph"/>
        <w:rPr>
          <w:szCs w:val="22"/>
        </w:rPr>
      </w:pPr>
      <w:r w:rsidRPr="00FC5E0A">
        <w:rPr>
          <w:szCs w:val="22"/>
        </w:rPr>
        <w:t xml:space="preserve">The education process presented in this paper should be duplicated, with </w:t>
      </w:r>
      <w:r w:rsidR="001A616C" w:rsidRPr="00FC5E0A">
        <w:rPr>
          <w:szCs w:val="22"/>
        </w:rPr>
        <w:t>randomly</w:t>
      </w:r>
      <w:r w:rsidRPr="00FC5E0A">
        <w:rPr>
          <w:szCs w:val="22"/>
        </w:rPr>
        <w:t xml:space="preserve"> assigned groups, including control, to compare the education</w:t>
      </w:r>
      <w:r w:rsidR="00932809" w:rsidRPr="00FC5E0A">
        <w:rPr>
          <w:szCs w:val="22"/>
        </w:rPr>
        <w:t>al</w:t>
      </w:r>
      <w:r w:rsidRPr="00FC5E0A">
        <w:rPr>
          <w:szCs w:val="22"/>
        </w:rPr>
        <w:t xml:space="preserve"> impact. Furthermore, </w:t>
      </w:r>
      <w:r w:rsidR="006A4325" w:rsidRPr="00FC5E0A">
        <w:rPr>
          <w:szCs w:val="22"/>
        </w:rPr>
        <w:t xml:space="preserve">it should be conducted in more universities and countries and focus on education assessment.  Finaly, </w:t>
      </w:r>
      <w:r w:rsidRPr="00FC5E0A">
        <w:rPr>
          <w:szCs w:val="22"/>
        </w:rPr>
        <w:t>an attitude toward the gamification of education pre and post-test would provide insight as to whether the new education method had an attitude impact on students.</w:t>
      </w:r>
    </w:p>
    <w:p w14:paraId="7CDDC775" w14:textId="5E0ADD42" w:rsidR="0075309C" w:rsidRPr="00FC5E0A" w:rsidRDefault="0075309C" w:rsidP="0075309C">
      <w:pPr>
        <w:pStyle w:val="1"/>
        <w:numPr>
          <w:ilvl w:val="0"/>
          <w:numId w:val="0"/>
        </w:numPr>
        <w:rPr>
          <w:rFonts w:ascii="Times New Roman" w:hAnsi="Times New Roman" w:cs="Times New Roman"/>
          <w:color w:val="auto"/>
          <w:sz w:val="22"/>
        </w:rPr>
      </w:pPr>
      <w:r w:rsidRPr="00FC5E0A">
        <w:rPr>
          <w:rFonts w:ascii="Times New Roman" w:hAnsi="Times New Roman" w:cs="Times New Roman"/>
          <w:color w:val="auto"/>
          <w:sz w:val="22"/>
        </w:rPr>
        <w:t>A</w:t>
      </w:r>
      <w:r w:rsidR="00AE1D0E" w:rsidRPr="00FC5E0A">
        <w:rPr>
          <w:rFonts w:ascii="Times New Roman" w:hAnsi="Times New Roman" w:cs="Times New Roman"/>
          <w:color w:val="auto"/>
          <w:sz w:val="22"/>
        </w:rPr>
        <w:t>bbreviations</w:t>
      </w:r>
    </w:p>
    <w:p w14:paraId="03E44A0B" w14:textId="77777777" w:rsidR="005055EE" w:rsidRPr="00FC5E0A" w:rsidRDefault="005055EE" w:rsidP="005055EE">
      <w:pPr>
        <w:pStyle w:val="Articlenormaltextfirstparagraph"/>
        <w:rPr>
          <w:szCs w:val="22"/>
        </w:rPr>
      </w:pPr>
      <w:r w:rsidRPr="00FC5E0A">
        <w:rPr>
          <w:szCs w:val="22"/>
        </w:rPr>
        <w:t>NKUA</w:t>
      </w:r>
      <w:r w:rsidRPr="00FC5E0A">
        <w:rPr>
          <w:szCs w:val="22"/>
        </w:rPr>
        <w:tab/>
      </w:r>
      <w:r w:rsidRPr="00FC5E0A">
        <w:rPr>
          <w:szCs w:val="22"/>
        </w:rPr>
        <w:tab/>
        <w:t>National and Kapodistrian University of Athens</w:t>
      </w:r>
    </w:p>
    <w:p w14:paraId="67F93B18" w14:textId="77777777" w:rsidR="005055EE" w:rsidRPr="00FC5E0A" w:rsidRDefault="005055EE" w:rsidP="005055EE">
      <w:pPr>
        <w:pStyle w:val="Articlenormaltextfirstparagraph"/>
        <w:rPr>
          <w:szCs w:val="22"/>
        </w:rPr>
      </w:pPr>
      <w:r w:rsidRPr="00FC5E0A">
        <w:rPr>
          <w:szCs w:val="22"/>
        </w:rPr>
        <w:t>SPESS</w:t>
      </w:r>
      <w:r w:rsidRPr="00FC5E0A">
        <w:rPr>
          <w:szCs w:val="22"/>
        </w:rPr>
        <w:tab/>
      </w:r>
      <w:r w:rsidRPr="00FC5E0A">
        <w:rPr>
          <w:szCs w:val="22"/>
        </w:rPr>
        <w:tab/>
        <w:t>School of Physical Education and Sport Sciences</w:t>
      </w:r>
    </w:p>
    <w:p w14:paraId="5F5D0346" w14:textId="77777777" w:rsidR="005055EE" w:rsidRPr="00FC5E0A" w:rsidRDefault="005055EE" w:rsidP="005055EE">
      <w:pPr>
        <w:pStyle w:val="Articlenormaltextfirstparagraph"/>
        <w:rPr>
          <w:szCs w:val="22"/>
        </w:rPr>
      </w:pPr>
      <w:r w:rsidRPr="00FC5E0A">
        <w:rPr>
          <w:szCs w:val="22"/>
        </w:rPr>
        <w:t>SG</w:t>
      </w:r>
      <w:r w:rsidRPr="00FC5E0A">
        <w:rPr>
          <w:szCs w:val="22"/>
        </w:rPr>
        <w:tab/>
      </w:r>
      <w:r w:rsidRPr="00FC5E0A">
        <w:rPr>
          <w:szCs w:val="22"/>
        </w:rPr>
        <w:tab/>
        <w:t>Serious game</w:t>
      </w:r>
    </w:p>
    <w:p w14:paraId="0E53826E" w14:textId="77777777" w:rsidR="005055EE" w:rsidRPr="00FC5E0A" w:rsidRDefault="005055EE" w:rsidP="005055EE">
      <w:pPr>
        <w:pStyle w:val="Articlenormaltextfirstparagraph"/>
        <w:rPr>
          <w:szCs w:val="22"/>
        </w:rPr>
      </w:pPr>
      <w:r w:rsidRPr="00FC5E0A">
        <w:rPr>
          <w:szCs w:val="22"/>
        </w:rPr>
        <w:t>OC</w:t>
      </w:r>
      <w:r w:rsidRPr="00FC5E0A">
        <w:rPr>
          <w:szCs w:val="22"/>
        </w:rPr>
        <w:tab/>
      </w:r>
      <w:r w:rsidRPr="00FC5E0A">
        <w:rPr>
          <w:szCs w:val="22"/>
        </w:rPr>
        <w:tab/>
        <w:t>Organizing Committee</w:t>
      </w:r>
    </w:p>
    <w:p w14:paraId="34BF5BF3" w14:textId="77777777" w:rsidR="005055EE" w:rsidRPr="00FC5E0A" w:rsidRDefault="005055EE" w:rsidP="005055EE">
      <w:pPr>
        <w:pStyle w:val="Articlenormaltextfirstparagraph"/>
        <w:rPr>
          <w:szCs w:val="22"/>
        </w:rPr>
      </w:pPr>
      <w:r w:rsidRPr="00FC5E0A">
        <w:rPr>
          <w:szCs w:val="22"/>
        </w:rPr>
        <w:t>PM</w:t>
      </w:r>
      <w:r w:rsidRPr="00FC5E0A">
        <w:rPr>
          <w:szCs w:val="22"/>
        </w:rPr>
        <w:tab/>
      </w:r>
      <w:r w:rsidRPr="00FC5E0A">
        <w:rPr>
          <w:szCs w:val="22"/>
        </w:rPr>
        <w:tab/>
        <w:t>Project Manager</w:t>
      </w:r>
    </w:p>
    <w:p w14:paraId="53D0B738" w14:textId="77777777" w:rsidR="005055EE" w:rsidRPr="00FC5E0A" w:rsidRDefault="005055EE" w:rsidP="005055EE">
      <w:pPr>
        <w:pStyle w:val="Articlenormaltextfirstparagraph"/>
        <w:rPr>
          <w:szCs w:val="22"/>
        </w:rPr>
      </w:pPr>
      <w:r w:rsidRPr="00FC5E0A">
        <w:rPr>
          <w:szCs w:val="22"/>
        </w:rPr>
        <w:t>VIFT</w:t>
      </w:r>
      <w:r w:rsidRPr="00FC5E0A">
        <w:rPr>
          <w:szCs w:val="22"/>
        </w:rPr>
        <w:tab/>
      </w:r>
      <w:r w:rsidRPr="00FC5E0A">
        <w:rPr>
          <w:szCs w:val="22"/>
        </w:rPr>
        <w:tab/>
        <w:t>Virtual Intramural Football Tournament</w:t>
      </w:r>
    </w:p>
    <w:p w14:paraId="0C0CA531" w14:textId="77777777" w:rsidR="005A758C" w:rsidRPr="00FC5E0A" w:rsidRDefault="005A758C" w:rsidP="00BA7FD2">
      <w:pPr>
        <w:pStyle w:val="1"/>
        <w:numPr>
          <w:ilvl w:val="0"/>
          <w:numId w:val="0"/>
        </w:numPr>
        <w:rPr>
          <w:rFonts w:ascii="Times New Roman" w:hAnsi="Times New Roman" w:cs="Times New Roman"/>
          <w:color w:val="auto"/>
          <w:sz w:val="22"/>
        </w:rPr>
      </w:pPr>
      <w:bookmarkStart w:id="18" w:name="_2p2csry" w:colFirst="0" w:colLast="0"/>
      <w:bookmarkEnd w:id="18"/>
      <w:r w:rsidRPr="00FC5E0A">
        <w:rPr>
          <w:rFonts w:ascii="Times New Roman" w:hAnsi="Times New Roman" w:cs="Times New Roman"/>
          <w:color w:val="auto"/>
          <w:sz w:val="22"/>
        </w:rPr>
        <w:t>References</w:t>
      </w:r>
    </w:p>
    <w:p w14:paraId="7AAF91FC" w14:textId="72664C06" w:rsidR="00B67A73" w:rsidRPr="00FC5E0A" w:rsidRDefault="00DB34D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lang w:val="en-US"/>
        </w:rPr>
        <w:fldChar w:fldCharType="begin" w:fldLock="1"/>
      </w:r>
      <w:r w:rsidRPr="00FC5E0A">
        <w:rPr>
          <w:rFonts w:ascii="Times New Roman" w:hAnsi="Times New Roman"/>
          <w:lang w:val="en-US"/>
        </w:rPr>
        <w:instrText xml:space="preserve">ADDIN Mendeley Bibliography CSL_BIBLIOGRAPHY </w:instrText>
      </w:r>
      <w:r w:rsidRPr="00FC5E0A">
        <w:rPr>
          <w:rFonts w:ascii="Times New Roman" w:hAnsi="Times New Roman"/>
          <w:lang w:val="en-US"/>
        </w:rPr>
        <w:fldChar w:fldCharType="separate"/>
      </w:r>
      <w:r w:rsidR="00B67A73" w:rsidRPr="00FC5E0A">
        <w:rPr>
          <w:rFonts w:ascii="Times New Roman" w:hAnsi="Times New Roman"/>
          <w:noProof/>
        </w:rPr>
        <w:t>[1]</w:t>
      </w:r>
      <w:r w:rsidR="00B67A73" w:rsidRPr="00FC5E0A">
        <w:rPr>
          <w:rFonts w:ascii="Times New Roman" w:hAnsi="Times New Roman"/>
          <w:noProof/>
          <w:sz w:val="20"/>
          <w:szCs w:val="20"/>
        </w:rPr>
        <w:tab/>
        <w:t xml:space="preserve">D. Vlachopoulos and A. Makri, </w:t>
      </w:r>
      <w:r w:rsidR="00B67A73" w:rsidRPr="00FC5E0A">
        <w:rPr>
          <w:rFonts w:ascii="Times New Roman" w:hAnsi="Times New Roman"/>
          <w:i/>
          <w:iCs/>
          <w:noProof/>
          <w:sz w:val="20"/>
          <w:szCs w:val="20"/>
        </w:rPr>
        <w:t>The effect of games and simulations on higher education: a systematic literature review</w:t>
      </w:r>
      <w:r w:rsidR="00B67A73" w:rsidRPr="00FC5E0A">
        <w:rPr>
          <w:rFonts w:ascii="Times New Roman" w:hAnsi="Times New Roman"/>
          <w:noProof/>
          <w:sz w:val="20"/>
          <w:szCs w:val="20"/>
        </w:rPr>
        <w:t>, vol. 14, no. 1. International Journal of Educational Technology in Higher Education, 2017.</w:t>
      </w:r>
    </w:p>
    <w:p w14:paraId="3C80680F"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lastRenderedPageBreak/>
        <w:t>[2]</w:t>
      </w:r>
      <w:r w:rsidRPr="00FC5E0A">
        <w:rPr>
          <w:rFonts w:ascii="Times New Roman" w:hAnsi="Times New Roman"/>
          <w:noProof/>
          <w:sz w:val="20"/>
          <w:szCs w:val="20"/>
        </w:rPr>
        <w:tab/>
        <w:t xml:space="preserve">P. Boinodiris, “Playing to win: serious games for business,” in </w:t>
      </w:r>
      <w:r w:rsidRPr="00FC5E0A">
        <w:rPr>
          <w:rFonts w:ascii="Times New Roman" w:hAnsi="Times New Roman"/>
          <w:i/>
          <w:iCs/>
          <w:noProof/>
          <w:sz w:val="20"/>
          <w:szCs w:val="20"/>
        </w:rPr>
        <w:t>The Bridge: Linking Engineering and Society</w:t>
      </w:r>
      <w:r w:rsidRPr="00FC5E0A">
        <w:rPr>
          <w:rFonts w:ascii="Times New Roman" w:hAnsi="Times New Roman"/>
          <w:noProof/>
          <w:sz w:val="20"/>
          <w:szCs w:val="20"/>
        </w:rPr>
        <w:t>, R. M. Latanision and C. H. Fletcher, Eds. National Academy of Sciences, 2012, pp. 34–39.</w:t>
      </w:r>
    </w:p>
    <w:p w14:paraId="2524D680"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[3]</w:t>
      </w:r>
      <w:r w:rsidRPr="00FC5E0A">
        <w:rPr>
          <w:rFonts w:ascii="Times New Roman" w:hAnsi="Times New Roman"/>
          <w:noProof/>
          <w:sz w:val="20"/>
          <w:szCs w:val="20"/>
        </w:rPr>
        <w:tab/>
        <w:t xml:space="preserve">L. Chalip, “Toward a Distinctive,” </w:t>
      </w:r>
      <w:r w:rsidRPr="00FC5E0A">
        <w:rPr>
          <w:rFonts w:ascii="Times New Roman" w:hAnsi="Times New Roman"/>
          <w:i/>
          <w:iCs/>
          <w:noProof/>
          <w:sz w:val="20"/>
          <w:szCs w:val="20"/>
        </w:rPr>
        <w:t>J. Sport Manag.</w:t>
      </w:r>
      <w:r w:rsidRPr="00FC5E0A">
        <w:rPr>
          <w:rFonts w:ascii="Times New Roman" w:hAnsi="Times New Roman"/>
          <w:noProof/>
          <w:sz w:val="20"/>
          <w:szCs w:val="20"/>
        </w:rPr>
        <w:t>, vol. 20, no. 1, pp. 1–21, 2006.</w:t>
      </w:r>
    </w:p>
    <w:p w14:paraId="1145B82E"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[4]</w:t>
      </w:r>
      <w:r w:rsidRPr="00FC5E0A">
        <w:rPr>
          <w:rFonts w:ascii="Times New Roman" w:hAnsi="Times New Roman"/>
          <w:noProof/>
          <w:sz w:val="20"/>
          <w:szCs w:val="20"/>
        </w:rPr>
        <w:tab/>
        <w:t xml:space="preserve">S. Xinogalos and M. M. Tryfou, “Using Greenfoot as a tool for serious games programming education and development,” </w:t>
      </w:r>
      <w:r w:rsidRPr="00FC5E0A">
        <w:rPr>
          <w:rFonts w:ascii="Times New Roman" w:hAnsi="Times New Roman"/>
          <w:i/>
          <w:iCs/>
          <w:noProof/>
          <w:sz w:val="20"/>
          <w:szCs w:val="20"/>
        </w:rPr>
        <w:t>Int. J. Serious Games</w:t>
      </w:r>
      <w:r w:rsidRPr="00FC5E0A">
        <w:rPr>
          <w:rFonts w:ascii="Times New Roman" w:hAnsi="Times New Roman"/>
          <w:noProof/>
          <w:sz w:val="20"/>
          <w:szCs w:val="20"/>
        </w:rPr>
        <w:t>, vol. 8, no. 2, pp. 67–86, 2021, doi: 10.17083/ijsg.v8i2.425.</w:t>
      </w:r>
    </w:p>
    <w:p w14:paraId="3AB781B8"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[5]</w:t>
      </w:r>
      <w:r w:rsidRPr="00FC5E0A">
        <w:rPr>
          <w:rFonts w:ascii="Times New Roman" w:hAnsi="Times New Roman"/>
          <w:noProof/>
          <w:sz w:val="20"/>
          <w:szCs w:val="20"/>
        </w:rPr>
        <w:tab/>
        <w:t xml:space="preserve">N. Kara, “A systematic review of the use of serious games in science education,” </w:t>
      </w:r>
      <w:r w:rsidRPr="00FC5E0A">
        <w:rPr>
          <w:rFonts w:ascii="Times New Roman" w:hAnsi="Times New Roman"/>
          <w:i/>
          <w:iCs/>
          <w:noProof/>
          <w:sz w:val="20"/>
          <w:szCs w:val="20"/>
        </w:rPr>
        <w:t>Contemp. Educ. Technol.</w:t>
      </w:r>
      <w:r w:rsidRPr="00FC5E0A">
        <w:rPr>
          <w:rFonts w:ascii="Times New Roman" w:hAnsi="Times New Roman"/>
          <w:noProof/>
          <w:sz w:val="20"/>
          <w:szCs w:val="20"/>
        </w:rPr>
        <w:t>, vol. 13, no. 2, pp. 1–13, 2021, doi: 10.30935/cedtech/9608.</w:t>
      </w:r>
    </w:p>
    <w:p w14:paraId="2CF854D9"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[6]</w:t>
      </w:r>
      <w:r w:rsidRPr="00FC5E0A">
        <w:rPr>
          <w:rFonts w:ascii="Times New Roman" w:hAnsi="Times New Roman"/>
          <w:noProof/>
          <w:sz w:val="20"/>
          <w:szCs w:val="20"/>
        </w:rPr>
        <w:tab/>
        <w:t xml:space="preserve">J. McGonigal, </w:t>
      </w:r>
      <w:r w:rsidRPr="00FC5E0A">
        <w:rPr>
          <w:rFonts w:ascii="Times New Roman" w:hAnsi="Times New Roman"/>
          <w:i/>
          <w:iCs/>
          <w:noProof/>
          <w:sz w:val="20"/>
          <w:szCs w:val="20"/>
        </w:rPr>
        <w:t>Reality is broken: Why games make us better and how they can change the world</w:t>
      </w:r>
      <w:r w:rsidRPr="00FC5E0A">
        <w:rPr>
          <w:rFonts w:ascii="Times New Roman" w:hAnsi="Times New Roman"/>
          <w:noProof/>
          <w:sz w:val="20"/>
          <w:szCs w:val="20"/>
        </w:rPr>
        <w:t>. New York: The Penguin Press, 2011.</w:t>
      </w:r>
    </w:p>
    <w:p w14:paraId="4DDBDCFA"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[7]</w:t>
      </w:r>
      <w:r w:rsidRPr="00FC5E0A">
        <w:rPr>
          <w:rFonts w:ascii="Times New Roman" w:hAnsi="Times New Roman"/>
          <w:noProof/>
          <w:sz w:val="20"/>
          <w:szCs w:val="20"/>
        </w:rPr>
        <w:tab/>
        <w:t xml:space="preserve">H. Michel, “Characterizing serious games implementation’s strategies: Is higher education the new playground of serious games?,” </w:t>
      </w:r>
      <w:r w:rsidRPr="00FC5E0A">
        <w:rPr>
          <w:rFonts w:ascii="Times New Roman" w:hAnsi="Times New Roman"/>
          <w:i/>
          <w:iCs/>
          <w:noProof/>
          <w:sz w:val="20"/>
          <w:szCs w:val="20"/>
        </w:rPr>
        <w:t>Proc. Annu. Hawaii Int. Conf. Syst. Sci.</w:t>
      </w:r>
      <w:r w:rsidRPr="00FC5E0A">
        <w:rPr>
          <w:rFonts w:ascii="Times New Roman" w:hAnsi="Times New Roman"/>
          <w:noProof/>
          <w:sz w:val="20"/>
          <w:szCs w:val="20"/>
        </w:rPr>
        <w:t>, vol. 2016-March, pp. 818–826, 2016, doi: 10.1109/HICSS.2016.106.</w:t>
      </w:r>
    </w:p>
    <w:p w14:paraId="06B93BFD"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[8]</w:t>
      </w:r>
      <w:r w:rsidRPr="00FC5E0A">
        <w:rPr>
          <w:rFonts w:ascii="Times New Roman" w:hAnsi="Times New Roman"/>
          <w:noProof/>
          <w:sz w:val="20"/>
          <w:szCs w:val="20"/>
        </w:rPr>
        <w:tab/>
        <w:t xml:space="preserve">V. Guillén-Nieto and M. Aleson-Carbonell, “Serious games and learning effectiveness: The case of It’s a Deal!,” </w:t>
      </w:r>
      <w:r w:rsidRPr="00FC5E0A">
        <w:rPr>
          <w:rFonts w:ascii="Times New Roman" w:hAnsi="Times New Roman"/>
          <w:i/>
          <w:iCs/>
          <w:noProof/>
          <w:sz w:val="20"/>
          <w:szCs w:val="20"/>
        </w:rPr>
        <w:t>Comput. Educ.</w:t>
      </w:r>
      <w:r w:rsidRPr="00FC5E0A">
        <w:rPr>
          <w:rFonts w:ascii="Times New Roman" w:hAnsi="Times New Roman"/>
          <w:noProof/>
          <w:sz w:val="20"/>
          <w:szCs w:val="20"/>
        </w:rPr>
        <w:t>, vol. 58, no. 1, pp. 435–448, 2012, doi: 10.1016/j.compedu.2011.07.015.</w:t>
      </w:r>
    </w:p>
    <w:p w14:paraId="0B3F123C"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[9]</w:t>
      </w:r>
      <w:r w:rsidRPr="00FC5E0A">
        <w:rPr>
          <w:rFonts w:ascii="Times New Roman" w:hAnsi="Times New Roman"/>
          <w:noProof/>
          <w:sz w:val="20"/>
          <w:szCs w:val="20"/>
        </w:rPr>
        <w:tab/>
        <w:t xml:space="preserve">I. Afthinos, V. Manasis, and T. P. Chrysanthopoulos, “Serious game top eleven as an educational tool in sports economics,” </w:t>
      </w:r>
      <w:r w:rsidRPr="00FC5E0A">
        <w:rPr>
          <w:rFonts w:ascii="Times New Roman" w:hAnsi="Times New Roman"/>
          <w:i/>
          <w:iCs/>
          <w:noProof/>
          <w:sz w:val="20"/>
          <w:szCs w:val="20"/>
        </w:rPr>
        <w:t>Int. J. Serious Games</w:t>
      </w:r>
      <w:r w:rsidRPr="00FC5E0A">
        <w:rPr>
          <w:rFonts w:ascii="Times New Roman" w:hAnsi="Times New Roman"/>
          <w:noProof/>
          <w:sz w:val="20"/>
          <w:szCs w:val="20"/>
        </w:rPr>
        <w:t>, vol. 8, no. 2, pp. 3–19, 2021, doi: 10.17083/ijsg.v8i2.420.</w:t>
      </w:r>
    </w:p>
    <w:p w14:paraId="0DAB398D"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[10]</w:t>
      </w:r>
      <w:r w:rsidRPr="00FC5E0A">
        <w:rPr>
          <w:rFonts w:ascii="Times New Roman" w:hAnsi="Times New Roman"/>
          <w:noProof/>
          <w:sz w:val="20"/>
          <w:szCs w:val="20"/>
        </w:rPr>
        <w:tab/>
        <w:t xml:space="preserve">Y. Afthinos, Z. Kiaffas, and T. Afthinos, “The Serious Game ‘Top Eleven’ as an Educational Simulation Platform for Acquiring Knowledge and Skills in the Management of Sports Clubs,” </w:t>
      </w:r>
      <w:r w:rsidRPr="00FC5E0A">
        <w:rPr>
          <w:rFonts w:ascii="Times New Roman" w:hAnsi="Times New Roman"/>
          <w:i/>
          <w:iCs/>
          <w:noProof/>
          <w:sz w:val="20"/>
          <w:szCs w:val="20"/>
        </w:rPr>
        <w:t>Technol. Knowl. Learn.</w:t>
      </w:r>
      <w:r w:rsidRPr="00FC5E0A">
        <w:rPr>
          <w:rFonts w:ascii="Times New Roman" w:hAnsi="Times New Roman"/>
          <w:noProof/>
          <w:sz w:val="20"/>
          <w:szCs w:val="20"/>
        </w:rPr>
        <w:t>, vol. 27, no. 1, pp. 255–273, 2022, doi: 10.1007/s10758-021-09573-8.</w:t>
      </w:r>
    </w:p>
    <w:p w14:paraId="7CCBA113"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[11]</w:t>
      </w:r>
      <w:r w:rsidRPr="00FC5E0A">
        <w:rPr>
          <w:rFonts w:ascii="Times New Roman" w:hAnsi="Times New Roman"/>
          <w:noProof/>
          <w:sz w:val="20"/>
          <w:szCs w:val="20"/>
        </w:rPr>
        <w:tab/>
        <w:t xml:space="preserve">A. A. Juan, B. Loch, T. Daradoumis, and S. Ventura, “Games and simulation in higher education,” </w:t>
      </w:r>
      <w:r w:rsidRPr="00FC5E0A">
        <w:rPr>
          <w:rFonts w:ascii="Times New Roman" w:hAnsi="Times New Roman"/>
          <w:i/>
          <w:iCs/>
          <w:noProof/>
          <w:sz w:val="20"/>
          <w:szCs w:val="20"/>
        </w:rPr>
        <w:t>Int. J. Educ. Technol. High. Educ.</w:t>
      </w:r>
      <w:r w:rsidRPr="00FC5E0A">
        <w:rPr>
          <w:rFonts w:ascii="Times New Roman" w:hAnsi="Times New Roman"/>
          <w:noProof/>
          <w:sz w:val="20"/>
          <w:szCs w:val="20"/>
        </w:rPr>
        <w:t>, vol. 14, no. 1, pp. 0–2, 2017, doi: 10.1186/s41239-017-0075-9.</w:t>
      </w:r>
    </w:p>
    <w:p w14:paraId="2AEF415A"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[12]</w:t>
      </w:r>
      <w:r w:rsidRPr="00FC5E0A">
        <w:rPr>
          <w:rFonts w:ascii="Times New Roman" w:hAnsi="Times New Roman"/>
          <w:noProof/>
          <w:sz w:val="20"/>
          <w:szCs w:val="20"/>
        </w:rPr>
        <w:tab/>
        <w:t xml:space="preserve">Y. Zhonggen, “A Meta-Analysis of Use of Serious Games in Education over a Decade,” </w:t>
      </w:r>
      <w:r w:rsidRPr="00FC5E0A">
        <w:rPr>
          <w:rFonts w:ascii="Times New Roman" w:hAnsi="Times New Roman"/>
          <w:i/>
          <w:iCs/>
          <w:noProof/>
          <w:sz w:val="20"/>
          <w:szCs w:val="20"/>
        </w:rPr>
        <w:t>Int. J. Comput. Games Technol.</w:t>
      </w:r>
      <w:r w:rsidRPr="00FC5E0A">
        <w:rPr>
          <w:rFonts w:ascii="Times New Roman" w:hAnsi="Times New Roman"/>
          <w:noProof/>
          <w:sz w:val="20"/>
          <w:szCs w:val="20"/>
        </w:rPr>
        <w:t>, vol. 2019, no. 3, 2019, doi: 10.1155/2019/4797032.</w:t>
      </w:r>
    </w:p>
    <w:p w14:paraId="37AADF74"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[13]</w:t>
      </w:r>
      <w:r w:rsidRPr="00FC5E0A">
        <w:rPr>
          <w:rFonts w:ascii="Times New Roman" w:hAnsi="Times New Roman"/>
          <w:noProof/>
          <w:sz w:val="20"/>
          <w:szCs w:val="20"/>
        </w:rPr>
        <w:tab/>
        <w:t xml:space="preserve">Y. Afthinos, </w:t>
      </w:r>
      <w:r w:rsidRPr="00FC5E0A">
        <w:rPr>
          <w:rFonts w:ascii="Times New Roman" w:hAnsi="Times New Roman"/>
          <w:i/>
          <w:iCs/>
          <w:noProof/>
          <w:sz w:val="20"/>
          <w:szCs w:val="20"/>
        </w:rPr>
        <w:t>Sport administration: The structure and functioning of sports organizations. [Αθλητική διοίκηση: Η διάρθρωση και λειτουργία των αθλητικών οργανισμών]</w:t>
      </w:r>
      <w:r w:rsidRPr="00FC5E0A">
        <w:rPr>
          <w:rFonts w:ascii="Times New Roman" w:hAnsi="Times New Roman"/>
          <w:noProof/>
          <w:sz w:val="20"/>
          <w:szCs w:val="20"/>
        </w:rPr>
        <w:t>. Athens: Sport Option, 2017.</w:t>
      </w:r>
    </w:p>
    <w:p w14:paraId="314B431A"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[14]</w:t>
      </w:r>
      <w:r w:rsidRPr="00FC5E0A">
        <w:rPr>
          <w:rFonts w:ascii="Times New Roman" w:hAnsi="Times New Roman"/>
          <w:noProof/>
          <w:sz w:val="20"/>
          <w:szCs w:val="20"/>
        </w:rPr>
        <w:tab/>
        <w:t xml:space="preserve">M. Sailer and L. Homner, “The Gamification of Learning: a Meta-analysis,” </w:t>
      </w:r>
      <w:r w:rsidRPr="00FC5E0A">
        <w:rPr>
          <w:rFonts w:ascii="Times New Roman" w:hAnsi="Times New Roman"/>
          <w:i/>
          <w:iCs/>
          <w:noProof/>
          <w:sz w:val="20"/>
          <w:szCs w:val="20"/>
        </w:rPr>
        <w:t>Educ. Psychol. Rev.</w:t>
      </w:r>
      <w:r w:rsidRPr="00FC5E0A">
        <w:rPr>
          <w:rFonts w:ascii="Times New Roman" w:hAnsi="Times New Roman"/>
          <w:noProof/>
          <w:sz w:val="20"/>
          <w:szCs w:val="20"/>
        </w:rPr>
        <w:t>, vol. 32, no. 1, pp. 77–112, 2020, doi: 10.1007/s10648-019-09498-w.</w:t>
      </w:r>
    </w:p>
    <w:p w14:paraId="2F5A0DBE"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[15]</w:t>
      </w:r>
      <w:r w:rsidRPr="00FC5E0A">
        <w:rPr>
          <w:rFonts w:ascii="Times New Roman" w:hAnsi="Times New Roman"/>
          <w:noProof/>
          <w:sz w:val="20"/>
          <w:szCs w:val="20"/>
        </w:rPr>
        <w:tab/>
        <w:t xml:space="preserve">M. Carter, D. Compeau, M. I. L. Kennedy, and M. Schmalz, “The content and context of identity in a digital society,” </w:t>
      </w:r>
      <w:r w:rsidRPr="00FC5E0A">
        <w:rPr>
          <w:rFonts w:ascii="Times New Roman" w:hAnsi="Times New Roman"/>
          <w:i/>
          <w:iCs/>
          <w:noProof/>
          <w:sz w:val="20"/>
          <w:szCs w:val="20"/>
        </w:rPr>
        <w:t>Proc. 25th Eur. Conf. Inf. Syst. ECIS 2017</w:t>
      </w:r>
      <w:r w:rsidRPr="00FC5E0A">
        <w:rPr>
          <w:rFonts w:ascii="Times New Roman" w:hAnsi="Times New Roman"/>
          <w:noProof/>
          <w:sz w:val="20"/>
          <w:szCs w:val="20"/>
        </w:rPr>
        <w:t>, vol. 2017, pp. 3245–3254, 2017.</w:t>
      </w:r>
    </w:p>
    <w:p w14:paraId="2CCE0EF0"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[16]</w:t>
      </w:r>
      <w:r w:rsidRPr="00FC5E0A">
        <w:rPr>
          <w:rFonts w:ascii="Times New Roman" w:hAnsi="Times New Roman"/>
          <w:noProof/>
          <w:sz w:val="20"/>
          <w:szCs w:val="20"/>
        </w:rPr>
        <w:tab/>
        <w:t xml:space="preserve">C. Aldrich, </w:t>
      </w:r>
      <w:r w:rsidRPr="00FC5E0A">
        <w:rPr>
          <w:rFonts w:ascii="Times New Roman" w:hAnsi="Times New Roman"/>
          <w:i/>
          <w:iCs/>
          <w:noProof/>
          <w:sz w:val="20"/>
          <w:szCs w:val="20"/>
        </w:rPr>
        <w:t>The complete guide to simulations and serious games</w:t>
      </w:r>
      <w:r w:rsidRPr="00FC5E0A">
        <w:rPr>
          <w:rFonts w:ascii="Times New Roman" w:hAnsi="Times New Roman"/>
          <w:noProof/>
          <w:sz w:val="20"/>
          <w:szCs w:val="20"/>
        </w:rPr>
        <w:t>. San Francisco: Pfeiffer, 2009.</w:t>
      </w:r>
    </w:p>
    <w:p w14:paraId="781FC9A7"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[17]</w:t>
      </w:r>
      <w:r w:rsidRPr="00FC5E0A">
        <w:rPr>
          <w:rFonts w:ascii="Times New Roman" w:hAnsi="Times New Roman"/>
          <w:noProof/>
          <w:sz w:val="20"/>
          <w:szCs w:val="20"/>
        </w:rPr>
        <w:tab/>
        <w:t xml:space="preserve">I. Gorbanev </w:t>
      </w:r>
      <w:r w:rsidRPr="00FC5E0A">
        <w:rPr>
          <w:rFonts w:ascii="Times New Roman" w:hAnsi="Times New Roman"/>
          <w:i/>
          <w:iCs/>
          <w:noProof/>
          <w:sz w:val="20"/>
          <w:szCs w:val="20"/>
        </w:rPr>
        <w:t>et al.</w:t>
      </w:r>
      <w:r w:rsidRPr="00FC5E0A">
        <w:rPr>
          <w:rFonts w:ascii="Times New Roman" w:hAnsi="Times New Roman"/>
          <w:noProof/>
          <w:sz w:val="20"/>
          <w:szCs w:val="20"/>
        </w:rPr>
        <w:t xml:space="preserve">, “A systematic review of serious games in medical education: quality of evidence and pedagogical strategy,” </w:t>
      </w:r>
      <w:r w:rsidRPr="00FC5E0A">
        <w:rPr>
          <w:rFonts w:ascii="Times New Roman" w:hAnsi="Times New Roman"/>
          <w:i/>
          <w:iCs/>
          <w:noProof/>
          <w:sz w:val="20"/>
          <w:szCs w:val="20"/>
        </w:rPr>
        <w:t>Med. Educ. Online</w:t>
      </w:r>
      <w:r w:rsidRPr="00FC5E0A">
        <w:rPr>
          <w:rFonts w:ascii="Times New Roman" w:hAnsi="Times New Roman"/>
          <w:noProof/>
          <w:sz w:val="20"/>
          <w:szCs w:val="20"/>
        </w:rPr>
        <w:t>, vol. 23, no. 1, 2018, doi: 10.1080/10872981.2018.1438718.</w:t>
      </w:r>
    </w:p>
    <w:p w14:paraId="7687FBE8"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[18]</w:t>
      </w:r>
      <w:r w:rsidRPr="00FC5E0A">
        <w:rPr>
          <w:rFonts w:ascii="Times New Roman" w:hAnsi="Times New Roman"/>
          <w:noProof/>
          <w:sz w:val="20"/>
          <w:szCs w:val="20"/>
        </w:rPr>
        <w:tab/>
        <w:t xml:space="preserve">B. Sawyer, </w:t>
      </w:r>
      <w:r w:rsidRPr="00FC5E0A">
        <w:rPr>
          <w:rFonts w:ascii="Times New Roman" w:hAnsi="Times New Roman"/>
          <w:i/>
          <w:iCs/>
          <w:noProof/>
          <w:sz w:val="20"/>
          <w:szCs w:val="20"/>
        </w:rPr>
        <w:t>Serious games: Improving public policy through game-based learning and simulation</w:t>
      </w:r>
      <w:r w:rsidRPr="00FC5E0A">
        <w:rPr>
          <w:rFonts w:ascii="Times New Roman" w:hAnsi="Times New Roman"/>
          <w:noProof/>
          <w:sz w:val="20"/>
          <w:szCs w:val="20"/>
        </w:rPr>
        <w:t>. USA: Woodrow Wilson International Center for Scholars., 2022.</w:t>
      </w:r>
    </w:p>
    <w:p w14:paraId="59D7F761"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[19]</w:t>
      </w:r>
      <w:r w:rsidRPr="00FC5E0A">
        <w:rPr>
          <w:rFonts w:ascii="Times New Roman" w:hAnsi="Times New Roman"/>
          <w:noProof/>
          <w:sz w:val="20"/>
          <w:szCs w:val="20"/>
        </w:rPr>
        <w:tab/>
        <w:t xml:space="preserve">M. Zyda, “From visual simulation to virtual reality to games,” </w:t>
      </w:r>
      <w:r w:rsidRPr="00FC5E0A">
        <w:rPr>
          <w:rFonts w:ascii="Times New Roman" w:hAnsi="Times New Roman"/>
          <w:i/>
          <w:iCs/>
          <w:noProof/>
          <w:sz w:val="20"/>
          <w:szCs w:val="20"/>
        </w:rPr>
        <w:t>Computer (Long. Beach. Calif).</w:t>
      </w:r>
      <w:r w:rsidRPr="00FC5E0A">
        <w:rPr>
          <w:rFonts w:ascii="Times New Roman" w:hAnsi="Times New Roman"/>
          <w:noProof/>
          <w:sz w:val="20"/>
          <w:szCs w:val="20"/>
        </w:rPr>
        <w:t>, vol. 38, no. 9, pp. 25–32, 2005, doi: 10.1109/MC.2005.297.</w:t>
      </w:r>
    </w:p>
    <w:p w14:paraId="4D3A2711"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[20]</w:t>
      </w:r>
      <w:r w:rsidRPr="00FC5E0A">
        <w:rPr>
          <w:rFonts w:ascii="Times New Roman" w:hAnsi="Times New Roman"/>
          <w:noProof/>
          <w:sz w:val="20"/>
          <w:szCs w:val="20"/>
        </w:rPr>
        <w:tab/>
        <w:t xml:space="preserve">P. Rattanapian, J. Tingsabhat, and V. Kanungsukkasem, “Factors influencing achievement of regional league division 2 football tournament management,” </w:t>
      </w:r>
      <w:r w:rsidRPr="00FC5E0A">
        <w:rPr>
          <w:rFonts w:ascii="Times New Roman" w:hAnsi="Times New Roman"/>
          <w:i/>
          <w:iCs/>
          <w:noProof/>
          <w:sz w:val="20"/>
          <w:szCs w:val="20"/>
        </w:rPr>
        <w:t>Kasetsart J. Soc. Sci.</w:t>
      </w:r>
      <w:r w:rsidRPr="00FC5E0A">
        <w:rPr>
          <w:rFonts w:ascii="Times New Roman" w:hAnsi="Times New Roman"/>
          <w:noProof/>
          <w:sz w:val="20"/>
          <w:szCs w:val="20"/>
        </w:rPr>
        <w:t>, vol. 39, no. 3, pp. 542–549, 2018, doi: 10.1016/j.kjss.2017.07.014.</w:t>
      </w:r>
    </w:p>
    <w:p w14:paraId="4AF9A76B"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[21]</w:t>
      </w:r>
      <w:r w:rsidRPr="00FC5E0A">
        <w:rPr>
          <w:rFonts w:ascii="Times New Roman" w:hAnsi="Times New Roman"/>
          <w:noProof/>
          <w:sz w:val="20"/>
          <w:szCs w:val="20"/>
        </w:rPr>
        <w:tab/>
        <w:t xml:space="preserve">G. Salem, E. Jones, and N. Morgan, “An overview of events management,” in </w:t>
      </w:r>
      <w:r w:rsidRPr="00FC5E0A">
        <w:rPr>
          <w:rFonts w:ascii="Times New Roman" w:hAnsi="Times New Roman"/>
          <w:i/>
          <w:iCs/>
          <w:noProof/>
          <w:sz w:val="20"/>
          <w:szCs w:val="20"/>
        </w:rPr>
        <w:t>Festival and events management: an international arts and culture perspective</w:t>
      </w:r>
      <w:r w:rsidRPr="00FC5E0A">
        <w:rPr>
          <w:rFonts w:ascii="Times New Roman" w:hAnsi="Times New Roman"/>
          <w:noProof/>
          <w:sz w:val="20"/>
          <w:szCs w:val="20"/>
        </w:rPr>
        <w:t>, I. Yeoman, M. Robertson, J. A. Ali-Knight, S. Drummond, and U. McMahon-Beattie, Eds. Boston, MA: Elsevier Butterworth-Heinemann, 2014, pp. 14–31.</w:t>
      </w:r>
    </w:p>
    <w:p w14:paraId="66989174"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[22]</w:t>
      </w:r>
      <w:r w:rsidRPr="00FC5E0A">
        <w:rPr>
          <w:rFonts w:ascii="Times New Roman" w:hAnsi="Times New Roman"/>
          <w:noProof/>
          <w:sz w:val="20"/>
          <w:szCs w:val="20"/>
        </w:rPr>
        <w:tab/>
        <w:t xml:space="preserve">G. Kendall, S. Knust, C. C. Ribeiro, and S. Urrutia, “Scheduling in sports: An annotated bibliography,” </w:t>
      </w:r>
      <w:r w:rsidRPr="00FC5E0A">
        <w:rPr>
          <w:rFonts w:ascii="Times New Roman" w:hAnsi="Times New Roman"/>
          <w:i/>
          <w:iCs/>
          <w:noProof/>
          <w:sz w:val="20"/>
          <w:szCs w:val="20"/>
        </w:rPr>
        <w:t>Comput. Oper. Res.</w:t>
      </w:r>
      <w:r w:rsidRPr="00FC5E0A">
        <w:rPr>
          <w:rFonts w:ascii="Times New Roman" w:hAnsi="Times New Roman"/>
          <w:noProof/>
          <w:sz w:val="20"/>
          <w:szCs w:val="20"/>
        </w:rPr>
        <w:t>, vol. 37, no. 1, pp. 1–19, 2010, doi: 10.1016/j.cor.2009.05.013.</w:t>
      </w:r>
    </w:p>
    <w:p w14:paraId="06110A54"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[23]</w:t>
      </w:r>
      <w:r w:rsidRPr="00FC5E0A">
        <w:rPr>
          <w:rFonts w:ascii="Times New Roman" w:hAnsi="Times New Roman"/>
          <w:noProof/>
          <w:sz w:val="20"/>
          <w:szCs w:val="20"/>
        </w:rPr>
        <w:tab/>
        <w:t xml:space="preserve">J. Allen, </w:t>
      </w:r>
      <w:r w:rsidRPr="00FC5E0A">
        <w:rPr>
          <w:rFonts w:ascii="Times New Roman" w:hAnsi="Times New Roman"/>
          <w:i/>
          <w:iCs/>
          <w:noProof/>
          <w:sz w:val="20"/>
          <w:szCs w:val="20"/>
        </w:rPr>
        <w:t>Event planning: The ultimate guide to successful meetings, corporate events, fundraising galas, conferences, conventions, incentives and other special events</w:t>
      </w:r>
      <w:r w:rsidRPr="00FC5E0A">
        <w:rPr>
          <w:rFonts w:ascii="Times New Roman" w:hAnsi="Times New Roman"/>
          <w:noProof/>
          <w:sz w:val="20"/>
          <w:szCs w:val="20"/>
        </w:rPr>
        <w:t>. Ontario: John Wiley &amp; Sons Canada, Ltd, 2008.</w:t>
      </w:r>
    </w:p>
    <w:p w14:paraId="56C5DD4E"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[24]</w:t>
      </w:r>
      <w:r w:rsidRPr="00FC5E0A">
        <w:rPr>
          <w:rFonts w:ascii="Times New Roman" w:hAnsi="Times New Roman"/>
          <w:noProof/>
          <w:sz w:val="20"/>
          <w:szCs w:val="20"/>
        </w:rPr>
        <w:tab/>
        <w:t xml:space="preserve">Y. Afthinos, </w:t>
      </w:r>
      <w:r w:rsidRPr="00FC5E0A">
        <w:rPr>
          <w:rFonts w:ascii="Times New Roman" w:hAnsi="Times New Roman"/>
          <w:i/>
          <w:iCs/>
          <w:noProof/>
          <w:sz w:val="20"/>
          <w:szCs w:val="20"/>
        </w:rPr>
        <w:t>Sport Event Organization [Οργάνωση αθλητικών αγώνων]</w:t>
      </w:r>
      <w:r w:rsidRPr="00FC5E0A">
        <w:rPr>
          <w:rFonts w:ascii="Times New Roman" w:hAnsi="Times New Roman"/>
          <w:noProof/>
          <w:sz w:val="20"/>
          <w:szCs w:val="20"/>
        </w:rPr>
        <w:t>. Athens: Sport Option, 2015.</w:t>
      </w:r>
    </w:p>
    <w:p w14:paraId="7FC7DA4A"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[25]</w:t>
      </w:r>
      <w:r w:rsidRPr="00FC5E0A">
        <w:rPr>
          <w:rFonts w:ascii="Times New Roman" w:hAnsi="Times New Roman"/>
          <w:noProof/>
          <w:sz w:val="20"/>
          <w:szCs w:val="20"/>
        </w:rPr>
        <w:tab/>
        <w:t xml:space="preserve">T. R. Robbins, “A Multipart Project Planning and Tracking Exercise,” </w:t>
      </w:r>
      <w:r w:rsidRPr="00FC5E0A">
        <w:rPr>
          <w:rFonts w:ascii="Times New Roman" w:hAnsi="Times New Roman"/>
          <w:i/>
          <w:iCs/>
          <w:noProof/>
          <w:sz w:val="20"/>
          <w:szCs w:val="20"/>
        </w:rPr>
        <w:t>Decis. Sci. J. Innov. Educ.</w:t>
      </w:r>
      <w:r w:rsidRPr="00FC5E0A">
        <w:rPr>
          <w:rFonts w:ascii="Times New Roman" w:hAnsi="Times New Roman"/>
          <w:noProof/>
          <w:sz w:val="20"/>
          <w:szCs w:val="20"/>
        </w:rPr>
        <w:t>, vol. 17, no. 2, pp. 104–125, 2019, doi: 10.1111/dsji.12176.</w:t>
      </w:r>
    </w:p>
    <w:p w14:paraId="310E4ABC"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[26]</w:t>
      </w:r>
      <w:r w:rsidRPr="00FC5E0A">
        <w:rPr>
          <w:rFonts w:ascii="Times New Roman" w:hAnsi="Times New Roman"/>
          <w:noProof/>
          <w:sz w:val="20"/>
          <w:szCs w:val="20"/>
        </w:rPr>
        <w:tab/>
        <w:t xml:space="preserve">J. K. Pinto and D. P. Slevin, “Critical Factors in Successful Project Implementation.,” </w:t>
      </w:r>
      <w:r w:rsidRPr="00FC5E0A">
        <w:rPr>
          <w:rFonts w:ascii="Times New Roman" w:hAnsi="Times New Roman"/>
          <w:i/>
          <w:iCs/>
          <w:noProof/>
          <w:sz w:val="20"/>
          <w:szCs w:val="20"/>
        </w:rPr>
        <w:t>IEEE Trans. Eng. Manag.</w:t>
      </w:r>
      <w:r w:rsidRPr="00FC5E0A">
        <w:rPr>
          <w:rFonts w:ascii="Times New Roman" w:hAnsi="Times New Roman"/>
          <w:noProof/>
          <w:sz w:val="20"/>
          <w:szCs w:val="20"/>
        </w:rPr>
        <w:t>, vol. EM-34, no. 1, pp. 22–27, 1987, doi: 10.1109/TEM.1987.6498856.</w:t>
      </w:r>
    </w:p>
    <w:p w14:paraId="0C55DFE6"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[27]</w:t>
      </w:r>
      <w:r w:rsidRPr="00FC5E0A">
        <w:rPr>
          <w:rFonts w:ascii="Times New Roman" w:hAnsi="Times New Roman"/>
          <w:noProof/>
          <w:sz w:val="20"/>
          <w:szCs w:val="20"/>
        </w:rPr>
        <w:tab/>
        <w:t xml:space="preserve">S. Brown, D. Getz, R. Pettersson, and M. Wallstam, “Event evaluation: Definitions, concepts and a state of the art review,” </w:t>
      </w:r>
      <w:r w:rsidRPr="00FC5E0A">
        <w:rPr>
          <w:rFonts w:ascii="Times New Roman" w:hAnsi="Times New Roman"/>
          <w:i/>
          <w:iCs/>
          <w:noProof/>
          <w:sz w:val="20"/>
          <w:szCs w:val="20"/>
        </w:rPr>
        <w:t>Int. J. Event Festiv. Manag.</w:t>
      </w:r>
      <w:r w:rsidRPr="00FC5E0A">
        <w:rPr>
          <w:rFonts w:ascii="Times New Roman" w:hAnsi="Times New Roman"/>
          <w:noProof/>
          <w:sz w:val="20"/>
          <w:szCs w:val="20"/>
        </w:rPr>
        <w:t>, vol. 6, no. 2, pp. 135–157, 2015, doi: 10.1108/IJEFM-03-2015-0014.</w:t>
      </w:r>
    </w:p>
    <w:p w14:paraId="557B269D"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lastRenderedPageBreak/>
        <w:t>[28]</w:t>
      </w:r>
      <w:r w:rsidRPr="00FC5E0A">
        <w:rPr>
          <w:rFonts w:ascii="Times New Roman" w:hAnsi="Times New Roman"/>
          <w:noProof/>
          <w:sz w:val="20"/>
          <w:szCs w:val="20"/>
        </w:rPr>
        <w:tab/>
        <w:t xml:space="preserve">M. Skoric, “Top Eleven Through the Years: An Infographic,” </w:t>
      </w:r>
      <w:r w:rsidRPr="00FC5E0A">
        <w:rPr>
          <w:rFonts w:ascii="Times New Roman" w:hAnsi="Times New Roman"/>
          <w:i/>
          <w:iCs/>
          <w:noProof/>
          <w:sz w:val="20"/>
          <w:szCs w:val="20"/>
        </w:rPr>
        <w:t>2019</w:t>
      </w:r>
      <w:r w:rsidRPr="00FC5E0A">
        <w:rPr>
          <w:rFonts w:ascii="Times New Roman" w:hAnsi="Times New Roman"/>
          <w:noProof/>
          <w:sz w:val="20"/>
          <w:szCs w:val="20"/>
        </w:rPr>
        <w:t>. https://nordeus.com/top-eleven-through-the-years-an-infographic/.</w:t>
      </w:r>
    </w:p>
    <w:p w14:paraId="70852761"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[29]</w:t>
      </w:r>
      <w:r w:rsidRPr="00FC5E0A">
        <w:rPr>
          <w:rFonts w:ascii="Times New Roman" w:hAnsi="Times New Roman"/>
          <w:noProof/>
          <w:sz w:val="20"/>
          <w:szCs w:val="20"/>
        </w:rPr>
        <w:tab/>
        <w:t xml:space="preserve">M. Misfeldt, “Scenario based education as a framework for understanding students engagement and learning in a project management simulation game,” </w:t>
      </w:r>
      <w:r w:rsidRPr="00FC5E0A">
        <w:rPr>
          <w:rFonts w:ascii="Times New Roman" w:hAnsi="Times New Roman"/>
          <w:i/>
          <w:iCs/>
          <w:noProof/>
          <w:sz w:val="20"/>
          <w:szCs w:val="20"/>
        </w:rPr>
        <w:t>Electron. J. e-Learning</w:t>
      </w:r>
      <w:r w:rsidRPr="00FC5E0A">
        <w:rPr>
          <w:rFonts w:ascii="Times New Roman" w:hAnsi="Times New Roman"/>
          <w:noProof/>
          <w:sz w:val="20"/>
          <w:szCs w:val="20"/>
        </w:rPr>
        <w:t>, vol. 13, no. 3, pp. 181–191, 2015.</w:t>
      </w:r>
    </w:p>
    <w:p w14:paraId="3F44A5FB"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[30]</w:t>
      </w:r>
      <w:r w:rsidRPr="00FC5E0A">
        <w:rPr>
          <w:rFonts w:ascii="Times New Roman" w:hAnsi="Times New Roman"/>
          <w:noProof/>
          <w:sz w:val="20"/>
          <w:szCs w:val="20"/>
        </w:rPr>
        <w:tab/>
        <w:t xml:space="preserve">M. M. Farzalipour, S., Balci, V., Ghorbanzadeh, B., Moharamzadeh, M., Ameri, M. H. S., &amp; Kashef, “Determining the competencies of sport event’s managers,” </w:t>
      </w:r>
      <w:r w:rsidRPr="00FC5E0A">
        <w:rPr>
          <w:rFonts w:ascii="Times New Roman" w:hAnsi="Times New Roman"/>
          <w:i/>
          <w:iCs/>
          <w:noProof/>
          <w:sz w:val="20"/>
          <w:szCs w:val="20"/>
        </w:rPr>
        <w:t>Sch. Res. Libr.</w:t>
      </w:r>
      <w:r w:rsidRPr="00FC5E0A">
        <w:rPr>
          <w:rFonts w:ascii="Times New Roman" w:hAnsi="Times New Roman"/>
          <w:noProof/>
          <w:sz w:val="20"/>
          <w:szCs w:val="20"/>
        </w:rPr>
        <w:t>, vol. 4, no. 1, pp. 584–594, 2012.</w:t>
      </w:r>
    </w:p>
    <w:p w14:paraId="47A05DD5" w14:textId="77777777" w:rsidR="00B67A73" w:rsidRPr="00FC5E0A" w:rsidRDefault="00B67A73" w:rsidP="00B67A73">
      <w:pPr>
        <w:widowControl w:val="0"/>
        <w:autoSpaceDE w:val="0"/>
        <w:autoSpaceDN w:val="0"/>
        <w:adjustRightInd w:val="0"/>
        <w:spacing w:line="240" w:lineRule="auto"/>
        <w:ind w:left="640" w:hanging="640"/>
        <w:rPr>
          <w:rFonts w:ascii="Times New Roman" w:hAnsi="Times New Roman"/>
          <w:noProof/>
          <w:sz w:val="20"/>
          <w:szCs w:val="20"/>
        </w:rPr>
      </w:pPr>
      <w:r w:rsidRPr="00FC5E0A">
        <w:rPr>
          <w:rFonts w:ascii="Times New Roman" w:hAnsi="Times New Roman"/>
          <w:noProof/>
          <w:sz w:val="20"/>
          <w:szCs w:val="20"/>
        </w:rPr>
        <w:t>[31]</w:t>
      </w:r>
      <w:r w:rsidRPr="00FC5E0A">
        <w:rPr>
          <w:rFonts w:ascii="Times New Roman" w:hAnsi="Times New Roman"/>
          <w:noProof/>
          <w:sz w:val="20"/>
          <w:szCs w:val="20"/>
        </w:rPr>
        <w:tab/>
        <w:t xml:space="preserve">D. B. Chertoff, B. Goldiez, and J. J. LaViola, “Virtual experience test: A virtual environment evaluation questionnaire,” </w:t>
      </w:r>
      <w:r w:rsidRPr="00FC5E0A">
        <w:rPr>
          <w:rFonts w:ascii="Times New Roman" w:hAnsi="Times New Roman"/>
          <w:i/>
          <w:iCs/>
          <w:noProof/>
          <w:sz w:val="20"/>
          <w:szCs w:val="20"/>
        </w:rPr>
        <w:t>Proc. - IEEE Virtual Real.</w:t>
      </w:r>
      <w:r w:rsidRPr="00FC5E0A">
        <w:rPr>
          <w:rFonts w:ascii="Times New Roman" w:hAnsi="Times New Roman"/>
          <w:noProof/>
          <w:sz w:val="20"/>
          <w:szCs w:val="20"/>
        </w:rPr>
        <w:t>, pp. 103–110, 2010, doi: 10.1109/VR.2010.5444804.</w:t>
      </w:r>
    </w:p>
    <w:p w14:paraId="07C0439B" w14:textId="77777777" w:rsidR="00067BA4" w:rsidRPr="00FC5E0A" w:rsidRDefault="00067BA4" w:rsidP="00B67A73">
      <w:pPr>
        <w:widowControl w:val="0"/>
        <w:autoSpaceDE w:val="0"/>
        <w:autoSpaceDN w:val="0"/>
        <w:adjustRightInd w:val="0"/>
        <w:spacing w:line="240" w:lineRule="auto"/>
        <w:ind w:left="640" w:hanging="640"/>
        <w:rPr>
          <w:rFonts w:ascii="Times New Roman" w:hAnsi="Times New Roman"/>
          <w:noProof/>
          <w:sz w:val="20"/>
          <w:szCs w:val="20"/>
        </w:rPr>
      </w:pPr>
    </w:p>
    <w:p w14:paraId="6835DEB9" w14:textId="77777777" w:rsidR="00067BA4" w:rsidRPr="00FC5E0A" w:rsidRDefault="00067BA4" w:rsidP="00067BA4">
      <w:pPr>
        <w:pStyle w:val="ac"/>
        <w:numPr>
          <w:ilvl w:val="0"/>
          <w:numId w:val="18"/>
        </w:numPr>
        <w:rPr>
          <w:rFonts w:ascii="Times New Roman" w:hAnsi="Times New Roman" w:cs="Times New Roman"/>
          <w:sz w:val="20"/>
          <w:szCs w:val="20"/>
        </w:rPr>
      </w:pPr>
      <w:r w:rsidRPr="00FC5E0A">
        <w:rPr>
          <w:rFonts w:ascii="Times New Roman" w:hAnsi="Times New Roman" w:cs="Times New Roman"/>
          <w:sz w:val="20"/>
          <w:szCs w:val="20"/>
          <w:lang w:val="en-US"/>
        </w:rPr>
        <w:t>Hellström, M. M., Jaccard, D., &amp; Bonnier, K. E. (2023). A systematic review on the use of serious games in project management education. </w:t>
      </w:r>
      <w:r w:rsidRPr="00FC5E0A">
        <w:rPr>
          <w:rFonts w:ascii="Times New Roman" w:hAnsi="Times New Roman" w:cs="Times New Roman"/>
          <w:i/>
          <w:iCs/>
          <w:sz w:val="20"/>
          <w:szCs w:val="20"/>
        </w:rPr>
        <w:t>International Journal of Serious Games</w:t>
      </w:r>
      <w:r w:rsidRPr="00FC5E0A">
        <w:rPr>
          <w:rFonts w:ascii="Times New Roman" w:hAnsi="Times New Roman" w:cs="Times New Roman"/>
          <w:sz w:val="20"/>
          <w:szCs w:val="20"/>
        </w:rPr>
        <w:t>, </w:t>
      </w:r>
      <w:r w:rsidRPr="00FC5E0A">
        <w:rPr>
          <w:rFonts w:ascii="Times New Roman" w:hAnsi="Times New Roman" w:cs="Times New Roman"/>
          <w:i/>
          <w:iCs/>
          <w:sz w:val="20"/>
          <w:szCs w:val="20"/>
        </w:rPr>
        <w:t>2</w:t>
      </w:r>
      <w:r w:rsidRPr="00FC5E0A">
        <w:rPr>
          <w:rFonts w:ascii="Times New Roman" w:hAnsi="Times New Roman" w:cs="Times New Roman"/>
          <w:sz w:val="20"/>
          <w:szCs w:val="20"/>
        </w:rPr>
        <w:t>.</w:t>
      </w:r>
    </w:p>
    <w:p w14:paraId="484AFB0B" w14:textId="77777777" w:rsidR="000B2718" w:rsidRPr="00FC5E0A" w:rsidRDefault="000B2718" w:rsidP="000B2718">
      <w:pPr>
        <w:pStyle w:val="ac"/>
        <w:numPr>
          <w:ilvl w:val="0"/>
          <w:numId w:val="18"/>
        </w:numPr>
        <w:rPr>
          <w:rFonts w:ascii="Times New Roman" w:hAnsi="Times New Roman" w:cs="Times New Roman"/>
          <w:sz w:val="20"/>
          <w:szCs w:val="20"/>
          <w:lang w:val="en-US"/>
        </w:rPr>
      </w:pPr>
      <w:r w:rsidRPr="00FC5E0A">
        <w:rPr>
          <w:rFonts w:ascii="Times New Roman" w:hAnsi="Times New Roman" w:cs="Times New Roman"/>
          <w:sz w:val="20"/>
          <w:szCs w:val="20"/>
          <w:lang w:val="en-US"/>
        </w:rPr>
        <w:t>Chorianopoulos, K., &amp; Giannakos, M. (2014). Design principles for serious video games in mathematics education: from theory to practice.</w:t>
      </w:r>
      <w:r w:rsidRPr="00FC5E0A">
        <w:rPr>
          <w:rFonts w:ascii="Times New Roman" w:hAnsi="Times New Roman" w:cs="Times New Roman"/>
          <w:sz w:val="20"/>
          <w:szCs w:val="20"/>
          <w:shd w:val="clear" w:color="auto" w:fill="FFFFFF"/>
          <w:lang w:val="en-US"/>
        </w:rPr>
        <w:t xml:space="preserve"> </w:t>
      </w:r>
      <w:r w:rsidRPr="00FC5E0A">
        <w:rPr>
          <w:rFonts w:ascii="Times New Roman" w:hAnsi="Times New Roman" w:cs="Times New Roman"/>
          <w:i/>
          <w:iCs/>
          <w:sz w:val="20"/>
          <w:szCs w:val="20"/>
        </w:rPr>
        <w:t>International Journal Of Serious Games.</w:t>
      </w:r>
      <w:r w:rsidRPr="00FC5E0A">
        <w:rPr>
          <w:rFonts w:ascii="Times New Roman" w:hAnsi="Times New Roman" w:cs="Times New Roman"/>
          <w:sz w:val="20"/>
          <w:szCs w:val="20"/>
        </w:rPr>
        <w:t xml:space="preserve"> 2014, 1 (3), 51-59.</w:t>
      </w:r>
    </w:p>
    <w:p w14:paraId="78CEE9E0" w14:textId="77777777" w:rsidR="00F03CEB" w:rsidRPr="00FC5E0A" w:rsidRDefault="00F03CEB" w:rsidP="00F03CEB">
      <w:pPr>
        <w:pStyle w:val="ac"/>
        <w:numPr>
          <w:ilvl w:val="0"/>
          <w:numId w:val="18"/>
        </w:numPr>
        <w:rPr>
          <w:rFonts w:ascii="Times New Roman" w:hAnsi="Times New Roman" w:cs="Times New Roman"/>
          <w:sz w:val="20"/>
          <w:szCs w:val="20"/>
          <w:lang w:val="en-US"/>
        </w:rPr>
      </w:pPr>
      <w:r w:rsidRPr="00FC5E0A">
        <w:rPr>
          <w:rFonts w:ascii="Times New Roman" w:hAnsi="Times New Roman" w:cs="Times New Roman"/>
          <w:sz w:val="20"/>
          <w:szCs w:val="20"/>
          <w:lang w:val="pt-PT"/>
        </w:rPr>
        <w:t xml:space="preserve">Kotsopoulos, D., Bardaki, C., Lounis, S., &amp; Pramatari, K. (2018). </w:t>
      </w:r>
      <w:r w:rsidRPr="00FC5E0A">
        <w:rPr>
          <w:rFonts w:ascii="Times New Roman" w:hAnsi="Times New Roman" w:cs="Times New Roman"/>
          <w:sz w:val="20"/>
          <w:szCs w:val="20"/>
          <w:lang w:val="en-US"/>
        </w:rPr>
        <w:t>Employee profiles and preferences towards IoT-enabled gamification for energy conservation. </w:t>
      </w:r>
      <w:r w:rsidRPr="00FC5E0A">
        <w:rPr>
          <w:rFonts w:ascii="Times New Roman" w:hAnsi="Times New Roman" w:cs="Times New Roman"/>
          <w:i/>
          <w:iCs/>
          <w:sz w:val="20"/>
          <w:szCs w:val="20"/>
          <w:lang w:val="en-US"/>
        </w:rPr>
        <w:t>International Journal of Serious Games</w:t>
      </w:r>
      <w:r w:rsidRPr="00FC5E0A">
        <w:rPr>
          <w:rFonts w:ascii="Times New Roman" w:hAnsi="Times New Roman" w:cs="Times New Roman"/>
          <w:sz w:val="20"/>
          <w:szCs w:val="20"/>
          <w:lang w:val="en-US"/>
        </w:rPr>
        <w:t>, </w:t>
      </w:r>
      <w:r w:rsidRPr="00FC5E0A">
        <w:rPr>
          <w:rFonts w:ascii="Times New Roman" w:hAnsi="Times New Roman" w:cs="Times New Roman"/>
          <w:i/>
          <w:iCs/>
          <w:sz w:val="20"/>
          <w:szCs w:val="20"/>
          <w:lang w:val="en-US"/>
        </w:rPr>
        <w:t>5</w:t>
      </w:r>
      <w:r w:rsidRPr="00FC5E0A">
        <w:rPr>
          <w:rFonts w:ascii="Times New Roman" w:hAnsi="Times New Roman" w:cs="Times New Roman"/>
          <w:sz w:val="20"/>
          <w:szCs w:val="20"/>
          <w:lang w:val="en-US"/>
        </w:rPr>
        <w:t>(2), 65-85</w:t>
      </w:r>
    </w:p>
    <w:p w14:paraId="050CAECF" w14:textId="21A96F68" w:rsidR="00A65A00" w:rsidRPr="00FC5E0A" w:rsidRDefault="00A65A00" w:rsidP="00A65A00">
      <w:pPr>
        <w:pStyle w:val="ac"/>
        <w:numPr>
          <w:ilvl w:val="0"/>
          <w:numId w:val="18"/>
        </w:numPr>
        <w:rPr>
          <w:rFonts w:ascii="Times New Roman" w:hAnsi="Times New Roman" w:cs="Times New Roman"/>
          <w:sz w:val="20"/>
          <w:szCs w:val="20"/>
          <w:lang w:val="en-US"/>
        </w:rPr>
      </w:pPr>
      <w:r w:rsidRPr="00FC5E0A">
        <w:rPr>
          <w:rFonts w:ascii="Times New Roman" w:hAnsi="Times New Roman" w:cs="Times New Roman"/>
          <w:sz w:val="20"/>
          <w:szCs w:val="20"/>
          <w:lang w:val="pt-PT"/>
        </w:rPr>
        <w:t xml:space="preserve">De Gloria, A., Bellotti, F., &amp; Berta, R. (2014). </w:t>
      </w:r>
      <w:r w:rsidRPr="00FC5E0A">
        <w:rPr>
          <w:rFonts w:ascii="Times New Roman" w:hAnsi="Times New Roman" w:cs="Times New Roman"/>
          <w:sz w:val="20"/>
          <w:szCs w:val="20"/>
          <w:lang w:val="en-US"/>
        </w:rPr>
        <w:t>Serious Games for education and training. </w:t>
      </w:r>
      <w:r w:rsidRPr="00FC5E0A">
        <w:rPr>
          <w:rFonts w:ascii="Times New Roman" w:hAnsi="Times New Roman" w:cs="Times New Roman"/>
          <w:i/>
          <w:iCs/>
          <w:sz w:val="20"/>
          <w:szCs w:val="20"/>
          <w:lang w:val="en-US"/>
        </w:rPr>
        <w:t>International Journal of Serious Games</w:t>
      </w:r>
      <w:r w:rsidRPr="00FC5E0A">
        <w:rPr>
          <w:rFonts w:ascii="Times New Roman" w:hAnsi="Times New Roman" w:cs="Times New Roman"/>
          <w:sz w:val="20"/>
          <w:szCs w:val="20"/>
          <w:lang w:val="en-US"/>
        </w:rPr>
        <w:t>, </w:t>
      </w:r>
      <w:r w:rsidRPr="00FC5E0A">
        <w:rPr>
          <w:rFonts w:ascii="Times New Roman" w:hAnsi="Times New Roman" w:cs="Times New Roman"/>
          <w:i/>
          <w:iCs/>
          <w:sz w:val="20"/>
          <w:szCs w:val="20"/>
          <w:lang w:val="en-US"/>
        </w:rPr>
        <w:t>1</w:t>
      </w:r>
      <w:r w:rsidRPr="00FC5E0A">
        <w:rPr>
          <w:rFonts w:ascii="Times New Roman" w:hAnsi="Times New Roman" w:cs="Times New Roman"/>
          <w:sz w:val="20"/>
          <w:szCs w:val="20"/>
          <w:lang w:val="en-US"/>
        </w:rPr>
        <w:t>(1).</w:t>
      </w:r>
    </w:p>
    <w:p w14:paraId="1F6D89C5" w14:textId="0773B459" w:rsidR="000B2718" w:rsidRPr="00FC5E0A" w:rsidRDefault="00E96967" w:rsidP="00067BA4">
      <w:pPr>
        <w:pStyle w:val="ac"/>
        <w:numPr>
          <w:ilvl w:val="0"/>
          <w:numId w:val="18"/>
        </w:numPr>
        <w:rPr>
          <w:rFonts w:ascii="Times New Roman" w:hAnsi="Times New Roman" w:cs="Times New Roman"/>
          <w:sz w:val="20"/>
          <w:szCs w:val="20"/>
        </w:rPr>
      </w:pPr>
      <w:r w:rsidRPr="00FC5E0A">
        <w:rPr>
          <w:rFonts w:ascii="Times New Roman" w:hAnsi="Times New Roman" w:cs="Times New Roman"/>
          <w:sz w:val="20"/>
          <w:szCs w:val="20"/>
          <w:lang w:val="it-IT"/>
        </w:rPr>
        <w:t>Qu, J., Hu, B., Wu, Z., &amp; Meng, C. (2023). Market development and revenue-sharing contract design for mobile game supply chains. </w:t>
      </w:r>
      <w:r w:rsidRPr="00FC5E0A">
        <w:rPr>
          <w:rFonts w:ascii="Times New Roman" w:hAnsi="Times New Roman" w:cs="Times New Roman"/>
          <w:i/>
          <w:iCs/>
          <w:sz w:val="20"/>
          <w:szCs w:val="20"/>
          <w:lang w:val="it-IT"/>
        </w:rPr>
        <w:t>IEEE Transactions on Engineering Management</w:t>
      </w:r>
      <w:r w:rsidRPr="00FC5E0A">
        <w:rPr>
          <w:rFonts w:ascii="Times New Roman" w:hAnsi="Times New Roman" w:cs="Times New Roman"/>
          <w:sz w:val="20"/>
          <w:szCs w:val="20"/>
          <w:lang w:val="it-IT"/>
        </w:rPr>
        <w:t>.</w:t>
      </w:r>
    </w:p>
    <w:p w14:paraId="2ADD7579" w14:textId="591316B0" w:rsidR="00E96967" w:rsidRPr="00FC5E0A" w:rsidRDefault="00E96967" w:rsidP="00067BA4">
      <w:pPr>
        <w:pStyle w:val="ac"/>
        <w:numPr>
          <w:ilvl w:val="0"/>
          <w:numId w:val="18"/>
        </w:numPr>
        <w:rPr>
          <w:rFonts w:ascii="Times New Roman" w:hAnsi="Times New Roman" w:cs="Times New Roman"/>
          <w:sz w:val="20"/>
          <w:szCs w:val="20"/>
          <w:lang w:val="en-US"/>
        </w:rPr>
      </w:pPr>
      <w:r w:rsidRPr="00FC5E0A">
        <w:rPr>
          <w:rFonts w:ascii="Times New Roman" w:hAnsi="Times New Roman" w:cs="Times New Roman"/>
          <w:sz w:val="20"/>
          <w:szCs w:val="20"/>
          <w:lang w:val="it-IT"/>
        </w:rPr>
        <w:t>newzoo, 2024. Global Games Market Report (released August, 2024)</w:t>
      </w:r>
    </w:p>
    <w:p w14:paraId="3D4B5142" w14:textId="374A3C6E" w:rsidR="00E96967" w:rsidRPr="00FC5E0A" w:rsidRDefault="00E96967" w:rsidP="00E96967">
      <w:pPr>
        <w:pStyle w:val="ac"/>
        <w:rPr>
          <w:rFonts w:ascii="Times New Roman" w:hAnsi="Times New Roman" w:cs="Times New Roman"/>
          <w:sz w:val="20"/>
          <w:szCs w:val="20"/>
          <w:lang w:val="en-US"/>
        </w:rPr>
      </w:pPr>
      <w:r w:rsidRPr="00FC5E0A">
        <w:rPr>
          <w:rFonts w:ascii="Times New Roman" w:hAnsi="Times New Roman" w:cs="Times New Roman"/>
          <w:sz w:val="20"/>
          <w:szCs w:val="20"/>
          <w:lang w:val="en-US"/>
        </w:rPr>
        <w:t>https://resources.newzoo.com/</w:t>
      </w:r>
    </w:p>
    <w:p w14:paraId="13678621" w14:textId="2AF32AB6" w:rsidR="00A771FB" w:rsidRPr="00FC5E0A" w:rsidRDefault="00A771FB" w:rsidP="00A771FB">
      <w:pPr>
        <w:rPr>
          <w:rFonts w:ascii="Times New Roman" w:hAnsi="Times New Roman"/>
          <w:sz w:val="20"/>
          <w:szCs w:val="20"/>
          <w:lang w:val="en-US"/>
        </w:rPr>
      </w:pPr>
      <w:r w:rsidRPr="00FC5E0A">
        <w:rPr>
          <w:rFonts w:ascii="Times New Roman" w:hAnsi="Times New Roman"/>
          <w:sz w:val="20"/>
          <w:szCs w:val="20"/>
          <w:lang w:val="en-US"/>
        </w:rPr>
        <w:t>7 Baek, S., Park, J. Y., &amp; Han, J. (2016). Teacher assessment of simulation-based serious games for science education. </w:t>
      </w:r>
      <w:r w:rsidRPr="00FC5E0A">
        <w:rPr>
          <w:rFonts w:ascii="Times New Roman" w:hAnsi="Times New Roman"/>
          <w:i/>
          <w:iCs/>
          <w:sz w:val="20"/>
          <w:szCs w:val="20"/>
        </w:rPr>
        <w:t>International Journal of Serious Games</w:t>
      </w:r>
      <w:r w:rsidRPr="00FC5E0A">
        <w:rPr>
          <w:rFonts w:ascii="Times New Roman" w:hAnsi="Times New Roman"/>
          <w:sz w:val="20"/>
          <w:szCs w:val="20"/>
        </w:rPr>
        <w:t>, </w:t>
      </w:r>
      <w:r w:rsidRPr="00FC5E0A">
        <w:rPr>
          <w:rFonts w:ascii="Times New Roman" w:hAnsi="Times New Roman"/>
          <w:i/>
          <w:iCs/>
          <w:sz w:val="20"/>
          <w:szCs w:val="20"/>
        </w:rPr>
        <w:t>3</w:t>
      </w:r>
      <w:r w:rsidRPr="00FC5E0A">
        <w:rPr>
          <w:rFonts w:ascii="Times New Roman" w:hAnsi="Times New Roman"/>
          <w:sz w:val="20"/>
          <w:szCs w:val="20"/>
        </w:rPr>
        <w:t>(3).</w:t>
      </w:r>
    </w:p>
    <w:p w14:paraId="2D4E9D45" w14:textId="119C8B06" w:rsidR="00507361" w:rsidRPr="00FC5E0A" w:rsidRDefault="00507361" w:rsidP="00A771FB">
      <w:pPr>
        <w:rPr>
          <w:rFonts w:ascii="Times New Roman" w:hAnsi="Times New Roman"/>
          <w:sz w:val="20"/>
          <w:szCs w:val="20"/>
          <w:lang w:val="en-US"/>
        </w:rPr>
      </w:pPr>
      <w:r w:rsidRPr="00FC5E0A">
        <w:rPr>
          <w:rFonts w:ascii="Times New Roman" w:hAnsi="Times New Roman"/>
          <w:sz w:val="20"/>
          <w:szCs w:val="20"/>
          <w:lang w:val="en-US"/>
        </w:rPr>
        <w:t>8 Petridis, P., Hadjicosta, K., Guang Shi, V., Dunwell, I., Baines, T., Bigdeli, A., ... &amp; Uren, V. (2015). State of the art in business games. </w:t>
      </w:r>
      <w:r w:rsidRPr="00FC5E0A">
        <w:rPr>
          <w:rFonts w:ascii="Times New Roman" w:hAnsi="Times New Roman"/>
          <w:i/>
          <w:iCs/>
          <w:sz w:val="20"/>
          <w:szCs w:val="20"/>
          <w:lang w:val="en-US"/>
        </w:rPr>
        <w:t>International Journal of Serious Games</w:t>
      </w:r>
      <w:r w:rsidRPr="00FC5E0A">
        <w:rPr>
          <w:rFonts w:ascii="Times New Roman" w:hAnsi="Times New Roman"/>
          <w:sz w:val="20"/>
          <w:szCs w:val="20"/>
          <w:lang w:val="en-US"/>
        </w:rPr>
        <w:t>, </w:t>
      </w:r>
      <w:r w:rsidRPr="00FC5E0A">
        <w:rPr>
          <w:rFonts w:ascii="Times New Roman" w:hAnsi="Times New Roman"/>
          <w:i/>
          <w:iCs/>
          <w:sz w:val="20"/>
          <w:szCs w:val="20"/>
          <w:lang w:val="en-US"/>
        </w:rPr>
        <w:t>2</w:t>
      </w:r>
      <w:r w:rsidRPr="00FC5E0A">
        <w:rPr>
          <w:rFonts w:ascii="Times New Roman" w:hAnsi="Times New Roman"/>
          <w:sz w:val="20"/>
          <w:szCs w:val="20"/>
          <w:lang w:val="en-US"/>
        </w:rPr>
        <w:t>(1).</w:t>
      </w:r>
    </w:p>
    <w:p w14:paraId="4758552A" w14:textId="246AAB7E" w:rsidR="00C7386E" w:rsidRPr="00FC5E0A" w:rsidRDefault="007E71E9" w:rsidP="00B67A73">
      <w:pPr>
        <w:widowControl w:val="0"/>
        <w:autoSpaceDE w:val="0"/>
        <w:autoSpaceDN w:val="0"/>
        <w:adjustRightInd w:val="0"/>
        <w:spacing w:line="240" w:lineRule="auto"/>
        <w:ind w:left="640" w:hanging="640"/>
        <w:rPr>
          <w:rFonts w:ascii="Times New Roman" w:hAnsi="Times New Roman"/>
          <w:sz w:val="20"/>
          <w:szCs w:val="20"/>
          <w:lang w:val="en-US"/>
        </w:rPr>
      </w:pPr>
      <w:r w:rsidRPr="00FC5E0A">
        <w:rPr>
          <w:rFonts w:ascii="Times New Roman" w:hAnsi="Times New Roman"/>
          <w:sz w:val="20"/>
          <w:szCs w:val="20"/>
          <w:lang w:val="en-US"/>
        </w:rPr>
        <w:t xml:space="preserve">9 </w:t>
      </w:r>
      <w:r w:rsidR="00C7386E" w:rsidRPr="00FC5E0A">
        <w:rPr>
          <w:rFonts w:ascii="Times New Roman" w:hAnsi="Times New Roman"/>
          <w:sz w:val="20"/>
          <w:szCs w:val="20"/>
          <w:lang w:val="en-US"/>
        </w:rPr>
        <w:t>Barma, S., Daniel, S., Bacon, N., Gingras, M. A., &amp; Fortin, M. (2015). Observation and analysis of a classroom teaching and learning practice based on augmented reality and serious games on mobile platforms. </w:t>
      </w:r>
      <w:r w:rsidR="00C7386E" w:rsidRPr="00FC5E0A">
        <w:rPr>
          <w:rFonts w:ascii="Times New Roman" w:hAnsi="Times New Roman"/>
          <w:i/>
          <w:iCs/>
          <w:sz w:val="20"/>
          <w:szCs w:val="20"/>
          <w:lang w:val="en-US"/>
        </w:rPr>
        <w:t>International Journal of Serious Games</w:t>
      </w:r>
      <w:r w:rsidR="00C7386E" w:rsidRPr="00FC5E0A">
        <w:rPr>
          <w:rFonts w:ascii="Times New Roman" w:hAnsi="Times New Roman"/>
          <w:sz w:val="20"/>
          <w:szCs w:val="20"/>
          <w:lang w:val="en-US"/>
        </w:rPr>
        <w:t>, </w:t>
      </w:r>
      <w:r w:rsidR="00C7386E" w:rsidRPr="00FC5E0A">
        <w:rPr>
          <w:rFonts w:ascii="Times New Roman" w:hAnsi="Times New Roman"/>
          <w:i/>
          <w:iCs/>
          <w:sz w:val="20"/>
          <w:szCs w:val="20"/>
          <w:lang w:val="en-US"/>
        </w:rPr>
        <w:t>2</w:t>
      </w:r>
      <w:r w:rsidR="00C7386E" w:rsidRPr="00FC5E0A">
        <w:rPr>
          <w:rFonts w:ascii="Times New Roman" w:hAnsi="Times New Roman"/>
          <w:sz w:val="20"/>
          <w:szCs w:val="20"/>
          <w:lang w:val="en-US"/>
        </w:rPr>
        <w:t>(2).</w:t>
      </w:r>
    </w:p>
    <w:p w14:paraId="1EB41838" w14:textId="17E63C52" w:rsidR="007E71E9" w:rsidRPr="00FC5E0A" w:rsidRDefault="000C1A46" w:rsidP="007E71E9">
      <w:pPr>
        <w:rPr>
          <w:rFonts w:ascii="Times New Roman" w:hAnsi="Times New Roman"/>
          <w:sz w:val="20"/>
          <w:szCs w:val="20"/>
          <w:lang w:val="en-US"/>
        </w:rPr>
      </w:pPr>
      <w:r w:rsidRPr="00FC5E0A">
        <w:rPr>
          <w:rFonts w:ascii="Times New Roman" w:hAnsi="Times New Roman"/>
          <w:sz w:val="20"/>
          <w:szCs w:val="20"/>
        </w:rPr>
        <w:t>10</w:t>
      </w:r>
      <w:r w:rsidRPr="00FC5E0A">
        <w:rPr>
          <w:rFonts w:ascii="Times New Roman" w:hAnsi="Times New Roman"/>
          <w:sz w:val="20"/>
          <w:szCs w:val="20"/>
          <w:lang w:val="en-US"/>
        </w:rPr>
        <w:t xml:space="preserve"> </w:t>
      </w:r>
      <w:r w:rsidR="007E71E9" w:rsidRPr="00FC5E0A">
        <w:rPr>
          <w:rFonts w:ascii="Times New Roman" w:hAnsi="Times New Roman"/>
          <w:sz w:val="20"/>
          <w:szCs w:val="20"/>
          <w:lang w:val="en-US"/>
        </w:rPr>
        <w:t>Pope, H., &amp; Mangram, C. (2015). Wuzzit trouble: The influence of a digital math game on student number sense. </w:t>
      </w:r>
      <w:r w:rsidR="007E71E9" w:rsidRPr="00FC5E0A">
        <w:rPr>
          <w:rFonts w:ascii="Times New Roman" w:hAnsi="Times New Roman"/>
          <w:i/>
          <w:iCs/>
          <w:sz w:val="20"/>
          <w:szCs w:val="20"/>
          <w:lang w:val="en-US"/>
        </w:rPr>
        <w:t>International Journal of Serious Games</w:t>
      </w:r>
      <w:r w:rsidR="007E71E9" w:rsidRPr="00FC5E0A">
        <w:rPr>
          <w:rFonts w:ascii="Times New Roman" w:hAnsi="Times New Roman"/>
          <w:sz w:val="20"/>
          <w:szCs w:val="20"/>
          <w:lang w:val="en-US"/>
        </w:rPr>
        <w:t>, </w:t>
      </w:r>
      <w:r w:rsidR="007E71E9" w:rsidRPr="00FC5E0A">
        <w:rPr>
          <w:rFonts w:ascii="Times New Roman" w:hAnsi="Times New Roman"/>
          <w:i/>
          <w:iCs/>
          <w:sz w:val="20"/>
          <w:szCs w:val="20"/>
          <w:lang w:val="en-US"/>
        </w:rPr>
        <w:t>2</w:t>
      </w:r>
      <w:r w:rsidR="007E71E9" w:rsidRPr="00FC5E0A">
        <w:rPr>
          <w:rFonts w:ascii="Times New Roman" w:hAnsi="Times New Roman"/>
          <w:sz w:val="20"/>
          <w:szCs w:val="20"/>
          <w:lang w:val="en-US"/>
        </w:rPr>
        <w:t>(4).</w:t>
      </w:r>
    </w:p>
    <w:p w14:paraId="5A48EF92" w14:textId="69C9A2A4" w:rsidR="000C1A46" w:rsidRPr="00FC5E0A" w:rsidRDefault="000C1A46" w:rsidP="007E71E9">
      <w:pPr>
        <w:rPr>
          <w:rFonts w:ascii="Times New Roman" w:hAnsi="Times New Roman"/>
          <w:sz w:val="20"/>
          <w:szCs w:val="20"/>
          <w:lang w:val="en-US"/>
        </w:rPr>
      </w:pPr>
      <w:r w:rsidRPr="00FC5E0A">
        <w:rPr>
          <w:rFonts w:ascii="Times New Roman" w:hAnsi="Times New Roman"/>
          <w:sz w:val="20"/>
          <w:szCs w:val="20"/>
        </w:rPr>
        <w:t>11 Cowley, B. U., &amp; Bateman, C. (2017). Green my place: evaluation of a serious social online game designed to promote energy efficient behaviour change. </w:t>
      </w:r>
      <w:r w:rsidRPr="00FC5E0A">
        <w:rPr>
          <w:rFonts w:ascii="Times New Roman" w:hAnsi="Times New Roman"/>
          <w:i/>
          <w:iCs/>
          <w:sz w:val="20"/>
          <w:szCs w:val="20"/>
        </w:rPr>
        <w:t>International Journal of Serious Games</w:t>
      </w:r>
      <w:r w:rsidRPr="00FC5E0A">
        <w:rPr>
          <w:rFonts w:ascii="Times New Roman" w:hAnsi="Times New Roman"/>
          <w:sz w:val="20"/>
          <w:szCs w:val="20"/>
        </w:rPr>
        <w:t>, </w:t>
      </w:r>
      <w:r w:rsidRPr="00FC5E0A">
        <w:rPr>
          <w:rFonts w:ascii="Times New Roman" w:hAnsi="Times New Roman"/>
          <w:i/>
          <w:iCs/>
          <w:sz w:val="20"/>
          <w:szCs w:val="20"/>
        </w:rPr>
        <w:t>4</w:t>
      </w:r>
      <w:r w:rsidRPr="00FC5E0A">
        <w:rPr>
          <w:rFonts w:ascii="Times New Roman" w:hAnsi="Times New Roman"/>
          <w:sz w:val="20"/>
          <w:szCs w:val="20"/>
        </w:rPr>
        <w:t>(4).</w:t>
      </w:r>
    </w:p>
    <w:p w14:paraId="73D959CC" w14:textId="77777777" w:rsidR="00752435" w:rsidRPr="00FC5E0A" w:rsidRDefault="00752435" w:rsidP="007E71E9">
      <w:pPr>
        <w:rPr>
          <w:rFonts w:ascii="Times New Roman" w:hAnsi="Times New Roman"/>
          <w:sz w:val="20"/>
          <w:szCs w:val="20"/>
          <w:lang w:val="en-US"/>
        </w:rPr>
      </w:pPr>
    </w:p>
    <w:p w14:paraId="442B82DD" w14:textId="77777777" w:rsidR="00752435" w:rsidRPr="00FC5E0A" w:rsidRDefault="00752435" w:rsidP="007E71E9">
      <w:pPr>
        <w:rPr>
          <w:rFonts w:ascii="Times New Roman" w:hAnsi="Times New Roman"/>
          <w:sz w:val="20"/>
          <w:szCs w:val="20"/>
          <w:lang w:val="en-US"/>
        </w:rPr>
      </w:pPr>
    </w:p>
    <w:p w14:paraId="6EF19BBA" w14:textId="77777777" w:rsidR="00752435" w:rsidRPr="00FC5E0A" w:rsidRDefault="00752435" w:rsidP="007E71E9">
      <w:pPr>
        <w:rPr>
          <w:rFonts w:ascii="Times New Roman" w:hAnsi="Times New Roman"/>
          <w:sz w:val="20"/>
          <w:szCs w:val="20"/>
          <w:lang w:val="en-US"/>
        </w:rPr>
      </w:pPr>
    </w:p>
    <w:p w14:paraId="2A05B644" w14:textId="77777777" w:rsidR="00752435" w:rsidRPr="00FC5E0A" w:rsidRDefault="00752435" w:rsidP="007E71E9">
      <w:pPr>
        <w:rPr>
          <w:rFonts w:ascii="Times New Roman" w:hAnsi="Times New Roman"/>
          <w:sz w:val="20"/>
          <w:szCs w:val="20"/>
          <w:lang w:val="en-US"/>
        </w:rPr>
      </w:pPr>
    </w:p>
    <w:p w14:paraId="59EAFB4D" w14:textId="77777777" w:rsidR="00752435" w:rsidRPr="00FC5E0A" w:rsidRDefault="00752435" w:rsidP="007E71E9">
      <w:pPr>
        <w:rPr>
          <w:rFonts w:ascii="Times New Roman" w:hAnsi="Times New Roman"/>
          <w:sz w:val="20"/>
          <w:szCs w:val="20"/>
          <w:lang w:val="en-US"/>
        </w:rPr>
      </w:pPr>
    </w:p>
    <w:p w14:paraId="6E48478C" w14:textId="77777777" w:rsidR="00752435" w:rsidRPr="00FC5E0A" w:rsidRDefault="00752435" w:rsidP="007E71E9">
      <w:pPr>
        <w:rPr>
          <w:rFonts w:ascii="Times New Roman" w:hAnsi="Times New Roman"/>
          <w:sz w:val="20"/>
          <w:szCs w:val="20"/>
          <w:lang w:val="en-US"/>
        </w:rPr>
      </w:pPr>
    </w:p>
    <w:p w14:paraId="529409A7" w14:textId="029AA166" w:rsidR="00752435" w:rsidRPr="00FC5E0A" w:rsidRDefault="00752435" w:rsidP="00752435">
      <w:pPr>
        <w:jc w:val="both"/>
        <w:rPr>
          <w:rFonts w:ascii="Times New Roman" w:hAnsi="Times New Roman"/>
          <w:sz w:val="20"/>
          <w:szCs w:val="20"/>
          <w:lang w:val="en-US"/>
        </w:rPr>
      </w:pPr>
      <w:r w:rsidRPr="00FC5E0A">
        <w:rPr>
          <w:rFonts w:ascii="Times New Roman" w:hAnsi="Times New Roman"/>
          <w:sz w:val="20"/>
          <w:szCs w:val="20"/>
        </w:rPr>
        <w:t xml:space="preserve">Πρόσθετη βιβλιογραφία </w:t>
      </w:r>
    </w:p>
    <w:p w14:paraId="14432702" w14:textId="5A519DB6" w:rsidR="00752435" w:rsidRPr="00FC5E0A" w:rsidRDefault="00752435" w:rsidP="00752435">
      <w:pPr>
        <w:ind w:left="567" w:hanging="567"/>
        <w:jc w:val="both"/>
        <w:rPr>
          <w:rFonts w:ascii="Times New Roman" w:hAnsi="Times New Roman"/>
          <w:sz w:val="20"/>
          <w:szCs w:val="20"/>
          <w:shd w:val="clear" w:color="auto" w:fill="FFFFFF"/>
        </w:rPr>
      </w:pPr>
      <w:r w:rsidRPr="00FC5E0A">
        <w:rPr>
          <w:rFonts w:ascii="Times New Roman" w:hAnsi="Times New Roman"/>
          <w:sz w:val="20"/>
          <w:szCs w:val="20"/>
          <w:shd w:val="clear" w:color="auto" w:fill="FFFFFF"/>
          <w:lang w:val="en-US"/>
        </w:rPr>
        <w:t xml:space="preserve">Boyle, E. A., Hainey, T., Connolly, T. M., Gray, G., Earp, J., Ott, M., </w:t>
      </w:r>
      <w:r w:rsidRPr="00FC5E0A">
        <w:rPr>
          <w:rFonts w:ascii="Times New Roman" w:hAnsi="Times New Roman"/>
          <w:sz w:val="20"/>
          <w:szCs w:val="20"/>
          <w:shd w:val="clear" w:color="auto" w:fill="FFFFFF"/>
        </w:rPr>
        <w:t>Lim T</w:t>
      </w:r>
      <w:r w:rsidRPr="00FC5E0A">
        <w:rPr>
          <w:rFonts w:ascii="Times New Roman" w:hAnsi="Times New Roman"/>
          <w:sz w:val="20"/>
          <w:szCs w:val="20"/>
          <w:shd w:val="clear" w:color="auto" w:fill="FFFFFF"/>
          <w:lang w:val="en-US"/>
        </w:rPr>
        <w:t>.</w:t>
      </w:r>
      <w:r w:rsidRPr="00FC5E0A">
        <w:rPr>
          <w:rFonts w:ascii="Times New Roman" w:hAnsi="Times New Roman"/>
          <w:sz w:val="20"/>
          <w:szCs w:val="20"/>
          <w:shd w:val="clear" w:color="auto" w:fill="FFFFFF"/>
        </w:rPr>
        <w:t>, Ninaus M</w:t>
      </w:r>
      <w:r w:rsidRPr="00FC5E0A">
        <w:rPr>
          <w:rFonts w:ascii="Times New Roman" w:hAnsi="Times New Roman"/>
          <w:sz w:val="20"/>
          <w:szCs w:val="20"/>
          <w:shd w:val="clear" w:color="auto" w:fill="FFFFFF"/>
          <w:lang w:val="en-US"/>
        </w:rPr>
        <w:t>.</w:t>
      </w:r>
      <w:r w:rsidRPr="00FC5E0A">
        <w:rPr>
          <w:rFonts w:ascii="Times New Roman" w:hAnsi="Times New Roman"/>
          <w:sz w:val="20"/>
          <w:szCs w:val="20"/>
          <w:shd w:val="clear" w:color="auto" w:fill="FFFFFF"/>
        </w:rPr>
        <w:t>, Ribeiro C</w:t>
      </w:r>
      <w:r w:rsidRPr="00FC5E0A">
        <w:rPr>
          <w:rFonts w:ascii="Times New Roman" w:hAnsi="Times New Roman"/>
          <w:sz w:val="20"/>
          <w:szCs w:val="20"/>
          <w:shd w:val="clear" w:color="auto" w:fill="FFFFFF"/>
          <w:lang w:val="en-US"/>
        </w:rPr>
        <w:t>., &amp; Pereira, J. (2016). An update to the systematic literature review of empirical evidence of the impacts and outcomes of computer games and serious games. </w:t>
      </w:r>
      <w:r w:rsidRPr="00FC5E0A">
        <w:rPr>
          <w:rFonts w:ascii="Times New Roman" w:hAnsi="Times New Roman"/>
          <w:i/>
          <w:iCs/>
          <w:sz w:val="20"/>
          <w:szCs w:val="20"/>
          <w:shd w:val="clear" w:color="auto" w:fill="FFFFFF"/>
          <w:lang w:val="en-US"/>
        </w:rPr>
        <w:t>Computers &amp; Education</w:t>
      </w:r>
      <w:r w:rsidRPr="00FC5E0A">
        <w:rPr>
          <w:rFonts w:ascii="Times New Roman" w:hAnsi="Times New Roman"/>
          <w:sz w:val="20"/>
          <w:szCs w:val="20"/>
          <w:shd w:val="clear" w:color="auto" w:fill="FFFFFF"/>
          <w:lang w:val="en-US"/>
        </w:rPr>
        <w:t>, </w:t>
      </w:r>
      <w:r w:rsidRPr="00FC5E0A">
        <w:rPr>
          <w:rFonts w:ascii="Times New Roman" w:hAnsi="Times New Roman"/>
          <w:i/>
          <w:iCs/>
          <w:sz w:val="20"/>
          <w:szCs w:val="20"/>
          <w:shd w:val="clear" w:color="auto" w:fill="FFFFFF"/>
          <w:lang w:val="en-US"/>
        </w:rPr>
        <w:t>94</w:t>
      </w:r>
      <w:r w:rsidRPr="00FC5E0A">
        <w:rPr>
          <w:rFonts w:ascii="Times New Roman" w:hAnsi="Times New Roman"/>
          <w:sz w:val="20"/>
          <w:szCs w:val="20"/>
          <w:shd w:val="clear" w:color="auto" w:fill="FFFFFF"/>
          <w:lang w:val="en-US"/>
        </w:rPr>
        <w:t>, pp. 178-192.</w:t>
      </w:r>
    </w:p>
    <w:p w14:paraId="74BC3FC1" w14:textId="77777777" w:rsidR="00752435" w:rsidRPr="00FC5E0A" w:rsidRDefault="00752435" w:rsidP="00752435">
      <w:pPr>
        <w:ind w:left="567" w:hanging="567"/>
        <w:jc w:val="both"/>
        <w:rPr>
          <w:rFonts w:ascii="Times New Roman" w:hAnsi="Times New Roman"/>
          <w:sz w:val="20"/>
          <w:szCs w:val="20"/>
          <w:shd w:val="clear" w:color="auto" w:fill="FFFFFF"/>
          <w:lang w:val="en-US"/>
        </w:rPr>
      </w:pPr>
      <w:r w:rsidRPr="00FC5E0A">
        <w:rPr>
          <w:rFonts w:ascii="Times New Roman" w:hAnsi="Times New Roman"/>
          <w:sz w:val="20"/>
          <w:szCs w:val="20"/>
          <w:shd w:val="clear" w:color="auto" w:fill="FFFFFF"/>
          <w:lang w:val="en-US"/>
        </w:rPr>
        <w:t>Girard, C., Ecalle, J., &amp; Magnan, A. (2013). Serious games as new educational tools: how effective are they? A meta‐analysis of recent studies. </w:t>
      </w:r>
      <w:r w:rsidRPr="00FC5E0A">
        <w:rPr>
          <w:rFonts w:ascii="Times New Roman" w:hAnsi="Times New Roman"/>
          <w:i/>
          <w:iCs/>
          <w:sz w:val="20"/>
          <w:szCs w:val="20"/>
          <w:shd w:val="clear" w:color="auto" w:fill="FFFFFF"/>
          <w:lang w:val="en-US"/>
        </w:rPr>
        <w:t>Journal of computer assisted learning</w:t>
      </w:r>
      <w:r w:rsidRPr="00FC5E0A">
        <w:rPr>
          <w:rFonts w:ascii="Times New Roman" w:hAnsi="Times New Roman"/>
          <w:sz w:val="20"/>
          <w:szCs w:val="20"/>
          <w:shd w:val="clear" w:color="auto" w:fill="FFFFFF"/>
          <w:lang w:val="en-US"/>
        </w:rPr>
        <w:t>, </w:t>
      </w:r>
      <w:r w:rsidRPr="00FC5E0A">
        <w:rPr>
          <w:rFonts w:ascii="Times New Roman" w:hAnsi="Times New Roman"/>
          <w:i/>
          <w:iCs/>
          <w:sz w:val="20"/>
          <w:szCs w:val="20"/>
          <w:shd w:val="clear" w:color="auto" w:fill="FFFFFF"/>
          <w:lang w:val="en-US"/>
        </w:rPr>
        <w:t>29</w:t>
      </w:r>
      <w:r w:rsidRPr="00FC5E0A">
        <w:rPr>
          <w:rFonts w:ascii="Times New Roman" w:hAnsi="Times New Roman"/>
          <w:sz w:val="20"/>
          <w:szCs w:val="20"/>
          <w:shd w:val="clear" w:color="auto" w:fill="FFFFFF"/>
          <w:lang w:val="en-US"/>
        </w:rPr>
        <w:t>(3), 207-219.</w:t>
      </w:r>
    </w:p>
    <w:p w14:paraId="3FB97C9F" w14:textId="77777777" w:rsidR="00752435" w:rsidRPr="00FC5E0A" w:rsidRDefault="00752435" w:rsidP="00752435">
      <w:pPr>
        <w:ind w:left="567" w:hanging="567"/>
        <w:jc w:val="both"/>
        <w:rPr>
          <w:rFonts w:ascii="Times New Roman" w:hAnsi="Times New Roman"/>
          <w:sz w:val="20"/>
          <w:szCs w:val="20"/>
          <w:shd w:val="clear" w:color="auto" w:fill="FFFFFF"/>
          <w:lang w:val="en-US"/>
        </w:rPr>
      </w:pPr>
      <w:r w:rsidRPr="00FC5E0A">
        <w:rPr>
          <w:rFonts w:ascii="Times New Roman" w:hAnsi="Times New Roman"/>
          <w:sz w:val="20"/>
          <w:szCs w:val="20"/>
          <w:shd w:val="clear" w:color="auto" w:fill="FFFFFF"/>
          <w:lang w:val="en-US"/>
        </w:rPr>
        <w:t>Jaccard, D., Bonnier, K. E., &amp; Hellström, M. (2022). How might serious games trigger a transformation in project management education? Lessons learned from 10 Years of experimentations. </w:t>
      </w:r>
      <w:r w:rsidRPr="00FC5E0A">
        <w:rPr>
          <w:rFonts w:ascii="Times New Roman" w:hAnsi="Times New Roman"/>
          <w:i/>
          <w:iCs/>
          <w:sz w:val="20"/>
          <w:szCs w:val="20"/>
          <w:shd w:val="clear" w:color="auto" w:fill="FFFFFF"/>
          <w:lang w:val="en-US"/>
        </w:rPr>
        <w:t>Project Leadership and Society</w:t>
      </w:r>
      <w:r w:rsidRPr="00FC5E0A">
        <w:rPr>
          <w:rFonts w:ascii="Times New Roman" w:hAnsi="Times New Roman"/>
          <w:sz w:val="20"/>
          <w:szCs w:val="20"/>
          <w:shd w:val="clear" w:color="auto" w:fill="FFFFFF"/>
          <w:lang w:val="en-US"/>
        </w:rPr>
        <w:t>, </w:t>
      </w:r>
      <w:r w:rsidRPr="00FC5E0A">
        <w:rPr>
          <w:rFonts w:ascii="Times New Roman" w:hAnsi="Times New Roman"/>
          <w:i/>
          <w:iCs/>
          <w:sz w:val="20"/>
          <w:szCs w:val="20"/>
          <w:shd w:val="clear" w:color="auto" w:fill="FFFFFF"/>
          <w:lang w:val="en-US"/>
        </w:rPr>
        <w:t>3</w:t>
      </w:r>
      <w:r w:rsidRPr="00FC5E0A">
        <w:rPr>
          <w:rFonts w:ascii="Times New Roman" w:hAnsi="Times New Roman"/>
          <w:sz w:val="20"/>
          <w:szCs w:val="20"/>
          <w:shd w:val="clear" w:color="auto" w:fill="FFFFFF"/>
          <w:lang w:val="en-US"/>
        </w:rPr>
        <w:t xml:space="preserve">, 100047, pp.1-9 </w:t>
      </w:r>
    </w:p>
    <w:p w14:paraId="5FAD8370" w14:textId="346271EE" w:rsidR="00752435" w:rsidRPr="00FC5E0A" w:rsidRDefault="00752435" w:rsidP="00752435">
      <w:pPr>
        <w:ind w:left="567" w:hanging="567"/>
        <w:jc w:val="both"/>
        <w:rPr>
          <w:rFonts w:ascii="Times New Roman" w:hAnsi="Times New Roman"/>
          <w:sz w:val="20"/>
          <w:szCs w:val="20"/>
          <w:shd w:val="clear" w:color="auto" w:fill="FFFFFF"/>
          <w:lang w:val="en-US"/>
        </w:rPr>
      </w:pPr>
      <w:r w:rsidRPr="00FC5E0A">
        <w:rPr>
          <w:rFonts w:ascii="Times New Roman" w:hAnsi="Times New Roman"/>
          <w:sz w:val="20"/>
          <w:szCs w:val="20"/>
          <w:shd w:val="clear" w:color="auto" w:fill="FFFFFF"/>
          <w:lang w:val="pt-PT"/>
        </w:rPr>
        <w:t xml:space="preserve">López, F. R., Arias-Oliva, M., Pelegrín-Borondo, J., &amp; Marín-Vinuesa, L. M. (2021). </w:t>
      </w:r>
      <w:r w:rsidRPr="00FC5E0A">
        <w:rPr>
          <w:rFonts w:ascii="Times New Roman" w:hAnsi="Times New Roman"/>
          <w:sz w:val="20"/>
          <w:szCs w:val="20"/>
          <w:shd w:val="clear" w:color="auto" w:fill="FFFFFF"/>
          <w:lang w:val="en-US"/>
        </w:rPr>
        <w:t>Serious games in management education: An acceptance analysis. </w:t>
      </w:r>
      <w:r w:rsidRPr="00FC5E0A">
        <w:rPr>
          <w:rFonts w:ascii="Times New Roman" w:hAnsi="Times New Roman"/>
          <w:i/>
          <w:iCs/>
          <w:sz w:val="20"/>
          <w:szCs w:val="20"/>
          <w:shd w:val="clear" w:color="auto" w:fill="FFFFFF"/>
          <w:lang w:val="en-US"/>
        </w:rPr>
        <w:t>The International Journal of Management Education</w:t>
      </w:r>
      <w:r w:rsidRPr="00FC5E0A">
        <w:rPr>
          <w:rFonts w:ascii="Times New Roman" w:hAnsi="Times New Roman"/>
          <w:sz w:val="20"/>
          <w:szCs w:val="20"/>
          <w:shd w:val="clear" w:color="auto" w:fill="FFFFFF"/>
          <w:lang w:val="en-US"/>
        </w:rPr>
        <w:t>, </w:t>
      </w:r>
      <w:r w:rsidRPr="00FC5E0A">
        <w:rPr>
          <w:rFonts w:ascii="Times New Roman" w:hAnsi="Times New Roman"/>
          <w:i/>
          <w:iCs/>
          <w:sz w:val="20"/>
          <w:szCs w:val="20"/>
          <w:shd w:val="clear" w:color="auto" w:fill="FFFFFF"/>
          <w:lang w:val="en-US"/>
        </w:rPr>
        <w:t>19</w:t>
      </w:r>
      <w:r w:rsidRPr="00FC5E0A">
        <w:rPr>
          <w:rFonts w:ascii="Times New Roman" w:hAnsi="Times New Roman"/>
          <w:sz w:val="20"/>
          <w:szCs w:val="20"/>
          <w:shd w:val="clear" w:color="auto" w:fill="FFFFFF"/>
          <w:lang w:val="en-US"/>
        </w:rPr>
        <w:t>(3) pp. 1-13</w:t>
      </w:r>
    </w:p>
    <w:p w14:paraId="5510EF28" w14:textId="77777777" w:rsidR="00752435" w:rsidRPr="00FC5E0A" w:rsidRDefault="00752435" w:rsidP="00752435">
      <w:pPr>
        <w:ind w:left="567" w:hanging="567"/>
        <w:jc w:val="both"/>
        <w:rPr>
          <w:rFonts w:ascii="Times New Roman" w:hAnsi="Times New Roman"/>
          <w:sz w:val="20"/>
          <w:szCs w:val="20"/>
          <w:shd w:val="clear" w:color="auto" w:fill="FFFFFF"/>
          <w:lang w:val="en-US"/>
        </w:rPr>
      </w:pPr>
      <w:r w:rsidRPr="00FC5E0A">
        <w:rPr>
          <w:rFonts w:ascii="Times New Roman" w:hAnsi="Times New Roman"/>
          <w:sz w:val="20"/>
          <w:szCs w:val="20"/>
          <w:shd w:val="clear" w:color="auto" w:fill="FFFFFF"/>
          <w:lang w:val="en-US"/>
        </w:rPr>
        <w:lastRenderedPageBreak/>
        <w:t xml:space="preserve">Riedel, J. C., &amp; Hauge, J. B. (2011, June). State of the art of serious games for business and industry. </w:t>
      </w:r>
      <w:r w:rsidRPr="00FC5E0A">
        <w:rPr>
          <w:rFonts w:ascii="Times New Roman" w:hAnsi="Times New Roman"/>
          <w:sz w:val="20"/>
          <w:szCs w:val="20"/>
          <w:shd w:val="clear" w:color="auto" w:fill="FFFFFF"/>
        </w:rPr>
        <w:t>In </w:t>
      </w:r>
      <w:r w:rsidRPr="00FC5E0A">
        <w:rPr>
          <w:rFonts w:ascii="Times New Roman" w:hAnsi="Times New Roman"/>
          <w:i/>
          <w:iCs/>
          <w:sz w:val="20"/>
          <w:szCs w:val="20"/>
          <w:shd w:val="clear" w:color="auto" w:fill="FFFFFF"/>
        </w:rPr>
        <w:t>2011 17th International conference on concurrent enterprising</w:t>
      </w:r>
      <w:r w:rsidRPr="00FC5E0A">
        <w:rPr>
          <w:rFonts w:ascii="Times New Roman" w:hAnsi="Times New Roman"/>
          <w:sz w:val="20"/>
          <w:szCs w:val="20"/>
          <w:shd w:val="clear" w:color="auto" w:fill="FFFFFF"/>
        </w:rPr>
        <w:t> (pp. 1-8). IEEE.</w:t>
      </w:r>
    </w:p>
    <w:p w14:paraId="05B3AA53" w14:textId="77777777" w:rsidR="00752435" w:rsidRPr="00FC5E0A" w:rsidRDefault="00752435" w:rsidP="00752435">
      <w:pPr>
        <w:ind w:left="567" w:hanging="567"/>
        <w:jc w:val="both"/>
        <w:rPr>
          <w:rFonts w:ascii="Times New Roman" w:hAnsi="Times New Roman"/>
          <w:sz w:val="20"/>
          <w:szCs w:val="20"/>
          <w:lang w:val="en-US"/>
        </w:rPr>
      </w:pPr>
      <w:r w:rsidRPr="00FC5E0A">
        <w:rPr>
          <w:rFonts w:ascii="Times New Roman" w:hAnsi="Times New Roman"/>
          <w:sz w:val="20"/>
          <w:szCs w:val="20"/>
          <w:lang w:val="en-US"/>
        </w:rPr>
        <w:t>Wouters, P., Van Nimwegen, C., Van Oostendorp, H., &amp; Van Der Spek, E. D. (2013). A meta-analysis of the cognitive and motivational effects of serious games. </w:t>
      </w:r>
      <w:r w:rsidRPr="00FC5E0A">
        <w:rPr>
          <w:rFonts w:ascii="Times New Roman" w:hAnsi="Times New Roman"/>
          <w:i/>
          <w:iCs/>
          <w:sz w:val="20"/>
          <w:szCs w:val="20"/>
        </w:rPr>
        <w:t>Journal of educational psychology</w:t>
      </w:r>
      <w:r w:rsidRPr="00FC5E0A">
        <w:rPr>
          <w:rFonts w:ascii="Times New Roman" w:hAnsi="Times New Roman"/>
          <w:sz w:val="20"/>
          <w:szCs w:val="20"/>
        </w:rPr>
        <w:t>, </w:t>
      </w:r>
      <w:r w:rsidRPr="00FC5E0A">
        <w:rPr>
          <w:rFonts w:ascii="Times New Roman" w:hAnsi="Times New Roman"/>
          <w:i/>
          <w:iCs/>
          <w:sz w:val="20"/>
          <w:szCs w:val="20"/>
        </w:rPr>
        <w:t>105</w:t>
      </w:r>
      <w:r w:rsidRPr="00FC5E0A">
        <w:rPr>
          <w:rFonts w:ascii="Times New Roman" w:hAnsi="Times New Roman"/>
          <w:sz w:val="20"/>
          <w:szCs w:val="20"/>
        </w:rPr>
        <w:t xml:space="preserve">(2), </w:t>
      </w:r>
      <w:r w:rsidRPr="00FC5E0A">
        <w:rPr>
          <w:rFonts w:ascii="Times New Roman" w:hAnsi="Times New Roman"/>
          <w:sz w:val="20"/>
          <w:szCs w:val="20"/>
          <w:lang w:val="en-US"/>
        </w:rPr>
        <w:t xml:space="preserve">pp. </w:t>
      </w:r>
      <w:r w:rsidRPr="00FC5E0A">
        <w:rPr>
          <w:rFonts w:ascii="Times New Roman" w:hAnsi="Times New Roman"/>
          <w:sz w:val="20"/>
          <w:szCs w:val="20"/>
        </w:rPr>
        <w:t>249</w:t>
      </w:r>
      <w:r w:rsidRPr="00FC5E0A">
        <w:rPr>
          <w:rFonts w:ascii="Times New Roman" w:hAnsi="Times New Roman"/>
          <w:sz w:val="20"/>
          <w:szCs w:val="20"/>
          <w:lang w:val="en-US"/>
        </w:rPr>
        <w:t>-265</w:t>
      </w:r>
    </w:p>
    <w:p w14:paraId="6BEE5B7D" w14:textId="77777777" w:rsidR="00752435" w:rsidRPr="00FC5E0A" w:rsidRDefault="00752435" w:rsidP="007E71E9">
      <w:pPr>
        <w:rPr>
          <w:rFonts w:ascii="Times New Roman" w:hAnsi="Times New Roman"/>
          <w:sz w:val="20"/>
          <w:szCs w:val="20"/>
          <w:lang w:val="el-GR"/>
        </w:rPr>
      </w:pPr>
    </w:p>
    <w:p w14:paraId="6E1E6275" w14:textId="77777777" w:rsidR="007E71E9" w:rsidRPr="00FC5E0A" w:rsidRDefault="007E71E9" w:rsidP="00B67A73">
      <w:pPr>
        <w:widowControl w:val="0"/>
        <w:autoSpaceDE w:val="0"/>
        <w:autoSpaceDN w:val="0"/>
        <w:adjustRightInd w:val="0"/>
        <w:spacing w:line="240" w:lineRule="auto"/>
        <w:ind w:left="640" w:hanging="640"/>
        <w:rPr>
          <w:rFonts w:ascii="Times New Roman" w:hAnsi="Times New Roman"/>
          <w:sz w:val="20"/>
          <w:szCs w:val="20"/>
          <w:lang w:val="el-GR"/>
        </w:rPr>
      </w:pPr>
    </w:p>
    <w:p w14:paraId="226BECEA" w14:textId="040CA2DB" w:rsidR="001D3145" w:rsidRPr="00FC5E0A" w:rsidRDefault="00DB34D3" w:rsidP="001B430D">
      <w:pPr>
        <w:pStyle w:val="References"/>
        <w:ind w:left="709" w:hanging="709"/>
        <w:rPr>
          <w:sz w:val="22"/>
          <w:szCs w:val="22"/>
        </w:rPr>
      </w:pPr>
      <w:r w:rsidRPr="00FC5E0A">
        <w:rPr>
          <w:sz w:val="22"/>
          <w:szCs w:val="22"/>
        </w:rPr>
        <w:fldChar w:fldCharType="end"/>
      </w:r>
    </w:p>
    <w:sectPr w:rsidR="001D3145" w:rsidRPr="00FC5E0A" w:rsidSect="003617B3">
      <w:footerReference w:type="default" r:id="rId20"/>
      <w:type w:val="continuous"/>
      <w:pgSz w:w="11906" w:h="16838"/>
      <w:pgMar w:top="1151" w:right="1671" w:bottom="1390" w:left="1587" w:header="709" w:footer="5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9ADB0" w14:textId="77777777" w:rsidR="00155188" w:rsidRDefault="00155188" w:rsidP="00BA6E38">
      <w:r>
        <w:separator/>
      </w:r>
    </w:p>
    <w:p w14:paraId="61E90F8E" w14:textId="77777777" w:rsidR="00155188" w:rsidRDefault="00155188" w:rsidP="00BA6E38"/>
    <w:p w14:paraId="45069387" w14:textId="77777777" w:rsidR="00155188" w:rsidRDefault="00155188" w:rsidP="00BA6E38"/>
    <w:p w14:paraId="28566CD3" w14:textId="77777777" w:rsidR="00155188" w:rsidRDefault="00155188" w:rsidP="00BA6E38"/>
    <w:p w14:paraId="169998C5" w14:textId="77777777" w:rsidR="00155188" w:rsidRDefault="00155188" w:rsidP="00BA6E38"/>
    <w:p w14:paraId="1D86874C" w14:textId="77777777" w:rsidR="00155188" w:rsidRDefault="00155188" w:rsidP="00BA6E38"/>
    <w:p w14:paraId="4D013E42" w14:textId="77777777" w:rsidR="00155188" w:rsidRDefault="00155188"/>
  </w:endnote>
  <w:endnote w:type="continuationSeparator" w:id="0">
    <w:p w14:paraId="75B81509" w14:textId="77777777" w:rsidR="00155188" w:rsidRDefault="00155188" w:rsidP="00BA6E38">
      <w:r>
        <w:continuationSeparator/>
      </w:r>
    </w:p>
    <w:p w14:paraId="320BE245" w14:textId="77777777" w:rsidR="00155188" w:rsidRDefault="00155188" w:rsidP="00BA6E38"/>
    <w:p w14:paraId="0CF44F68" w14:textId="77777777" w:rsidR="00155188" w:rsidRDefault="00155188" w:rsidP="00BA6E38"/>
    <w:p w14:paraId="1396F032" w14:textId="77777777" w:rsidR="00155188" w:rsidRDefault="00155188" w:rsidP="00BA6E38"/>
    <w:p w14:paraId="20897679" w14:textId="77777777" w:rsidR="00155188" w:rsidRDefault="00155188" w:rsidP="00BA6E38"/>
    <w:p w14:paraId="5492BE4C" w14:textId="77777777" w:rsidR="00155188" w:rsidRDefault="00155188" w:rsidP="00BA6E38"/>
    <w:p w14:paraId="1C9B483F" w14:textId="77777777" w:rsidR="00155188" w:rsidRDefault="001551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Nova">
    <w:panose1 w:val="020B0504020202020204"/>
    <w:charset w:val="A1"/>
    <w:family w:val="swiss"/>
    <w:pitch w:val="variable"/>
    <w:sig w:usb0="2000028F" w:usb1="00000002"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Nova Cond">
    <w:panose1 w:val="020B0506020202020204"/>
    <w:charset w:val="A1"/>
    <w:family w:val="swiss"/>
    <w:pitch w:val="variable"/>
    <w:sig w:usb0="2000028F" w:usb1="00000002"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F5C9B" w14:textId="6EB88FA9" w:rsidR="008D421F" w:rsidRPr="00C321B5" w:rsidRDefault="008D421F" w:rsidP="00C321B5">
    <w:pPr>
      <w:pStyle w:val="a4"/>
    </w:pPr>
  </w:p>
  <w:p w14:paraId="5B6067CC" w14:textId="6F14AAFA" w:rsidR="008D421F" w:rsidRPr="00FE5DE4" w:rsidRDefault="0069117D" w:rsidP="00C321B5">
    <w:pPr>
      <w:pStyle w:val="a4"/>
      <w:tabs>
        <w:tab w:val="clear" w:pos="4819"/>
        <w:tab w:val="clear" w:pos="9638"/>
        <w:tab w:val="center" w:pos="8647"/>
      </w:tabs>
      <w:rPr>
        <w:rFonts w:ascii="Times New Roman" w:hAnsi="Times New Roman"/>
        <w:lang w:val="en-US"/>
      </w:rPr>
    </w:pPr>
    <w:r w:rsidRPr="00C321B5">
      <w:fldChar w:fldCharType="begin"/>
    </w:r>
    <w:r w:rsidRPr="00FE5DE4">
      <w:rPr>
        <w:lang w:val="en-US"/>
      </w:rPr>
      <w:instrText>PAGE   \* MERGEFORMAT</w:instrText>
    </w:r>
    <w:r w:rsidRPr="00C321B5">
      <w:fldChar w:fldCharType="separate"/>
    </w:r>
    <w:r w:rsidRPr="00FE5DE4">
      <w:rPr>
        <w:lang w:val="en-US"/>
      </w:rPr>
      <w:t>2</w:t>
    </w:r>
    <w:r w:rsidRPr="00C321B5">
      <w:fldChar w:fldCharType="end"/>
    </w:r>
    <w:r w:rsidR="004C78F6" w:rsidRPr="00FE5DE4">
      <w:rPr>
        <w:lang w:val="en-US"/>
      </w:rPr>
      <w:tab/>
    </w:r>
    <w:r w:rsidR="00AB77CE" w:rsidRPr="00FE5DE4">
      <w:rPr>
        <w:lang w:val="en-US"/>
      </w:rPr>
      <w:t xml:space="preserve">International Journal of Serious Games   I   Volume </w:t>
    </w:r>
    <w:r w:rsidR="00AB77CE">
      <w:rPr>
        <w:lang w:val="en-US"/>
      </w:rPr>
      <w:t>XXXX</w:t>
    </w:r>
    <w:r w:rsidR="00AB77CE" w:rsidRPr="00FE5DE4">
      <w:rPr>
        <w:lang w:val="en-US"/>
      </w:rPr>
      <w:t xml:space="preserve">, Issue </w:t>
    </w:r>
    <w:r w:rsidR="00AB77CE">
      <w:rPr>
        <w:lang w:val="en-US"/>
      </w:rPr>
      <w:t>XXXX</w:t>
    </w:r>
    <w:r w:rsidR="00AB77CE" w:rsidRPr="00FE5DE4">
      <w:rPr>
        <w:lang w:val="en-US"/>
      </w:rPr>
      <w:t xml:space="preserve">, </w:t>
    </w:r>
    <w:r w:rsidR="00AB77CE">
      <w:rPr>
        <w:lang w:val="en-US"/>
      </w:rPr>
      <w:t>XXXX</w:t>
    </w:r>
    <w:r w:rsidR="00AB77CE" w:rsidRPr="00FE5DE4">
      <w:rPr>
        <w:lang w:val="en-US"/>
      </w:rPr>
      <w:t xml:space="preserve"> 20</w:t>
    </w:r>
    <w:r w:rsidR="00AB77CE">
      <w:rPr>
        <w:lang w:val="en-US"/>
      </w:rPr>
      <w:t>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1F977" w14:textId="396C3D4E" w:rsidR="009A6D1F" w:rsidRDefault="009A6D1F" w:rsidP="00C321B5">
    <w:pPr>
      <w:pStyle w:val="a4"/>
    </w:pPr>
  </w:p>
  <w:p w14:paraId="3A80D4D0" w14:textId="6D9CBD12" w:rsidR="00343C3D" w:rsidRPr="00FE5DE4" w:rsidRDefault="00280B39" w:rsidP="00C321B5">
    <w:pPr>
      <w:pStyle w:val="a4"/>
      <w:rPr>
        <w:lang w:val="en-US"/>
      </w:rPr>
    </w:pPr>
    <w:r w:rsidRPr="00FE5DE4">
      <w:rPr>
        <w:lang w:val="en-US"/>
      </w:rPr>
      <w:t>International Journal of Serious Games   I   Volume 9, Issue 4, December 2022</w:t>
    </w:r>
    <w:r w:rsidR="00637ED0" w:rsidRPr="00FE5DE4">
      <w:rPr>
        <w:lang w:val="en-US"/>
      </w:rPr>
      <w:tab/>
    </w:r>
    <w:r w:rsidRPr="0064705A">
      <w:fldChar w:fldCharType="begin"/>
    </w:r>
    <w:r w:rsidRPr="00FE5DE4">
      <w:rPr>
        <w:lang w:val="en-US"/>
      </w:rPr>
      <w:instrText>PAGE   \* MERGEFORMAT</w:instrText>
    </w:r>
    <w:r w:rsidRPr="0064705A">
      <w:fldChar w:fldCharType="separate"/>
    </w:r>
    <w:r w:rsidRPr="00FE5DE4">
      <w:rPr>
        <w:lang w:val="en-US"/>
      </w:rPr>
      <w:t>1</w:t>
    </w:r>
    <w:r w:rsidRPr="0064705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4B18A" w14:textId="249A3B19" w:rsidR="008D421F" w:rsidRPr="00C321B5" w:rsidRDefault="008D421F" w:rsidP="00C321B5">
    <w:pPr>
      <w:pStyle w:val="a4"/>
    </w:pPr>
  </w:p>
  <w:p w14:paraId="1A7BB7E7" w14:textId="4D771974" w:rsidR="008D421F" w:rsidRPr="00FE5DE4" w:rsidRDefault="00451C99" w:rsidP="00C321B5">
    <w:pPr>
      <w:pStyle w:val="a4"/>
      <w:rPr>
        <w:lang w:val="en-US"/>
      </w:rPr>
    </w:pPr>
    <w:r w:rsidRPr="00FE5DE4">
      <w:rPr>
        <w:lang w:val="en-US"/>
      </w:rPr>
      <w:t>International Journal of Serious Games</w:t>
    </w:r>
    <w:r w:rsidR="00E65BF7" w:rsidRPr="00FE5DE4">
      <w:rPr>
        <w:lang w:val="en-US"/>
      </w:rPr>
      <w:t xml:space="preserve">   I   </w:t>
    </w:r>
    <w:r w:rsidRPr="00FE5DE4">
      <w:rPr>
        <w:lang w:val="en-US"/>
      </w:rPr>
      <w:t xml:space="preserve">Volume </w:t>
    </w:r>
    <w:r w:rsidR="00DE4C45">
      <w:rPr>
        <w:lang w:val="en-US"/>
      </w:rPr>
      <w:t>XXXX</w:t>
    </w:r>
    <w:r w:rsidRPr="00FE5DE4">
      <w:rPr>
        <w:lang w:val="en-US"/>
      </w:rPr>
      <w:t xml:space="preserve">, Issue </w:t>
    </w:r>
    <w:r w:rsidR="00DE4C45">
      <w:rPr>
        <w:lang w:val="en-US"/>
      </w:rPr>
      <w:t>XXXX</w:t>
    </w:r>
    <w:r w:rsidRPr="00FE5DE4">
      <w:rPr>
        <w:lang w:val="en-US"/>
      </w:rPr>
      <w:t xml:space="preserve">, </w:t>
    </w:r>
    <w:r w:rsidR="00DE4C45">
      <w:rPr>
        <w:lang w:val="en-US"/>
      </w:rPr>
      <w:t>XXXX</w:t>
    </w:r>
    <w:r w:rsidRPr="00FE5DE4">
      <w:rPr>
        <w:lang w:val="en-US"/>
      </w:rPr>
      <w:t xml:space="preserve"> </w:t>
    </w:r>
    <w:r w:rsidR="001D1DE1" w:rsidRPr="00FE5DE4">
      <w:rPr>
        <w:lang w:val="en-US"/>
      </w:rPr>
      <w:t>20</w:t>
    </w:r>
    <w:r w:rsidR="00AB77CE">
      <w:rPr>
        <w:lang w:val="en-US"/>
      </w:rPr>
      <w:t>23</w:t>
    </w:r>
    <w:r w:rsidR="008215DF" w:rsidRPr="00FE5DE4">
      <w:rPr>
        <w:lang w:val="en-US"/>
      </w:rPr>
      <w:tab/>
    </w:r>
    <w:r w:rsidR="00675709" w:rsidRPr="00C321B5">
      <w:fldChar w:fldCharType="begin"/>
    </w:r>
    <w:r w:rsidR="00675709" w:rsidRPr="00FE5DE4">
      <w:rPr>
        <w:lang w:val="en-US"/>
      </w:rPr>
      <w:instrText>PAGE   \* MERGEFORMAT</w:instrText>
    </w:r>
    <w:r w:rsidR="00675709" w:rsidRPr="00C321B5">
      <w:fldChar w:fldCharType="separate"/>
    </w:r>
    <w:r w:rsidR="00675709" w:rsidRPr="00FE5DE4">
      <w:rPr>
        <w:lang w:val="en-US"/>
      </w:rPr>
      <w:t>2</w:t>
    </w:r>
    <w:r w:rsidR="00675709" w:rsidRPr="00C321B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9CCA" w14:textId="77777777" w:rsidR="00D3421B" w:rsidRPr="00C321B5" w:rsidRDefault="00D3421B" w:rsidP="00D3421B">
    <w:pPr>
      <w:pStyle w:val="a4"/>
    </w:pPr>
  </w:p>
  <w:p w14:paraId="73354E09" w14:textId="328FE240" w:rsidR="00975D10" w:rsidRPr="00D3421B" w:rsidRDefault="00D3421B" w:rsidP="00D3421B">
    <w:pPr>
      <w:pStyle w:val="a4"/>
      <w:rPr>
        <w:lang w:val="en-US"/>
      </w:rPr>
    </w:pPr>
    <w:r w:rsidRPr="00FE5DE4">
      <w:rPr>
        <w:lang w:val="en-US"/>
      </w:rPr>
      <w:t xml:space="preserve">International Journal of Serious Games   I   Volume </w:t>
    </w:r>
    <w:r>
      <w:rPr>
        <w:lang w:val="en-US"/>
      </w:rPr>
      <w:t>XXXX</w:t>
    </w:r>
    <w:r w:rsidRPr="00FE5DE4">
      <w:rPr>
        <w:lang w:val="en-US"/>
      </w:rPr>
      <w:t xml:space="preserve">, Issue </w:t>
    </w:r>
    <w:r>
      <w:rPr>
        <w:lang w:val="en-US"/>
      </w:rPr>
      <w:t>XXXX</w:t>
    </w:r>
    <w:r w:rsidRPr="00FE5DE4">
      <w:rPr>
        <w:lang w:val="en-US"/>
      </w:rPr>
      <w:t xml:space="preserve">, </w:t>
    </w:r>
    <w:r>
      <w:rPr>
        <w:lang w:val="en-US"/>
      </w:rPr>
      <w:t>XXXX</w:t>
    </w:r>
    <w:r w:rsidRPr="00FE5DE4">
      <w:rPr>
        <w:lang w:val="en-US"/>
      </w:rPr>
      <w:t xml:space="preserve"> 20</w:t>
    </w:r>
    <w:r>
      <w:rPr>
        <w:lang w:val="en-US"/>
      </w:rPr>
      <w:t>23</w:t>
    </w:r>
    <w:r w:rsidRPr="00FE5DE4">
      <w:rPr>
        <w:lang w:val="en-US"/>
      </w:rPr>
      <w:tab/>
    </w:r>
    <w:r w:rsidRPr="00C321B5">
      <w:fldChar w:fldCharType="begin"/>
    </w:r>
    <w:r w:rsidRPr="00FE5DE4">
      <w:rPr>
        <w:lang w:val="en-US"/>
      </w:rPr>
      <w:instrText>PAGE   \* MERGEFORMAT</w:instrText>
    </w:r>
    <w:r w:rsidRPr="00C321B5">
      <w:fldChar w:fldCharType="separate"/>
    </w:r>
    <w:r w:rsidRPr="00D3421B">
      <w:rPr>
        <w:lang w:val="en-US"/>
      </w:rPr>
      <w:t>1</w:t>
    </w:r>
    <w:r w:rsidRPr="00C321B5">
      <w:fldChar w:fldCharType="end"/>
    </w:r>
  </w:p>
  <w:p w14:paraId="3597FB6D" w14:textId="77777777" w:rsidR="00870BD9" w:rsidRPr="00012F26" w:rsidRDefault="00870BD9">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D6375" w14:textId="77777777" w:rsidR="00155188" w:rsidRDefault="00155188" w:rsidP="00BA6E38">
      <w:r>
        <w:separator/>
      </w:r>
    </w:p>
    <w:p w14:paraId="3EDD5599" w14:textId="77777777" w:rsidR="00155188" w:rsidRDefault="00155188" w:rsidP="00BA6E38"/>
    <w:p w14:paraId="4C299D1B" w14:textId="77777777" w:rsidR="00155188" w:rsidRDefault="00155188" w:rsidP="00BA6E38"/>
    <w:p w14:paraId="737CFC6E" w14:textId="77777777" w:rsidR="00155188" w:rsidRDefault="00155188" w:rsidP="00BA6E38"/>
    <w:p w14:paraId="1CED102F" w14:textId="77777777" w:rsidR="00155188" w:rsidRDefault="00155188" w:rsidP="00BA6E38"/>
    <w:p w14:paraId="4D92973E" w14:textId="77777777" w:rsidR="00155188" w:rsidRDefault="00155188" w:rsidP="00BA6E38"/>
    <w:p w14:paraId="0BC0F9E5" w14:textId="77777777" w:rsidR="00155188" w:rsidRDefault="00155188"/>
  </w:footnote>
  <w:footnote w:type="continuationSeparator" w:id="0">
    <w:p w14:paraId="723383DF" w14:textId="77777777" w:rsidR="00155188" w:rsidRDefault="00155188" w:rsidP="00BA6E38">
      <w:r>
        <w:continuationSeparator/>
      </w:r>
    </w:p>
    <w:p w14:paraId="3D57019D" w14:textId="77777777" w:rsidR="00155188" w:rsidRDefault="00155188" w:rsidP="00BA6E38"/>
    <w:p w14:paraId="4DE5CAC3" w14:textId="77777777" w:rsidR="00155188" w:rsidRDefault="00155188" w:rsidP="00BA6E38"/>
    <w:p w14:paraId="03A075CF" w14:textId="77777777" w:rsidR="00155188" w:rsidRDefault="00155188" w:rsidP="00BA6E38"/>
    <w:p w14:paraId="3DD426F1" w14:textId="77777777" w:rsidR="00155188" w:rsidRDefault="00155188" w:rsidP="00BA6E38"/>
    <w:p w14:paraId="0EE6D3DB" w14:textId="77777777" w:rsidR="00155188" w:rsidRDefault="00155188" w:rsidP="00BA6E38"/>
    <w:p w14:paraId="485A260A" w14:textId="77777777" w:rsidR="00155188" w:rsidRDefault="0015518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336DE"/>
    <w:multiLevelType w:val="hybridMultilevel"/>
    <w:tmpl w:val="FA7C1B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E0C222E"/>
    <w:multiLevelType w:val="multilevel"/>
    <w:tmpl w:val="14D2115E"/>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ECB2ED7"/>
    <w:multiLevelType w:val="hybridMultilevel"/>
    <w:tmpl w:val="C8608384"/>
    <w:lvl w:ilvl="0" w:tplc="D18ED04E">
      <w:start w:val="1"/>
      <w:numFmt w:val="decimal"/>
      <w:pStyle w:val="Footnotes"/>
      <w:lvlText w:val="[%1]"/>
      <w:lvlJc w:val="left"/>
      <w:pPr>
        <w:tabs>
          <w:tab w:val="num" w:pos="644"/>
        </w:tabs>
        <w:ind w:left="644" w:hanging="360"/>
      </w:pPr>
      <w:rPr>
        <w:rFonts w:hint="default"/>
        <w:color w:val="auto"/>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 w15:restartNumberingAfterBreak="0">
    <w:nsid w:val="112570A8"/>
    <w:multiLevelType w:val="hybridMultilevel"/>
    <w:tmpl w:val="647E8C16"/>
    <w:lvl w:ilvl="0" w:tplc="77D22310">
      <w:start w:val="1"/>
      <w:numFmt w:val="bullet"/>
      <w:pStyle w:val="Bullet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A636EA"/>
    <w:multiLevelType w:val="hybridMultilevel"/>
    <w:tmpl w:val="9648B164"/>
    <w:lvl w:ilvl="0" w:tplc="D2D6DC6C">
      <w:start w:val="1"/>
      <w:numFmt w:val="decimal"/>
      <w:pStyle w:val="Figurecaption"/>
      <w:lvlText w:val="Figure %1."/>
      <w:lvlJc w:val="left"/>
      <w:pPr>
        <w:ind w:left="360" w:hanging="360"/>
      </w:pPr>
      <w:rPr>
        <w:b/>
        <w:bCs/>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5" w15:restartNumberingAfterBreak="0">
    <w:nsid w:val="189F3C50"/>
    <w:multiLevelType w:val="hybridMultilevel"/>
    <w:tmpl w:val="EF9CF79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1FE418BF"/>
    <w:multiLevelType w:val="hybridMultilevel"/>
    <w:tmpl w:val="E0DC0144"/>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9CA533F"/>
    <w:multiLevelType w:val="multilevel"/>
    <w:tmpl w:val="44E439EA"/>
    <w:lvl w:ilvl="0">
      <w:start w:val="1"/>
      <w:numFmt w:val="decimal"/>
      <w:lvlText w:val="%1."/>
      <w:lvlJc w:val="left"/>
      <w:pPr>
        <w:ind w:left="644" w:hanging="360"/>
      </w:pPr>
      <w:rPr>
        <w:rFonts w:hint="default"/>
      </w:rPr>
    </w:lvl>
    <w:lvl w:ilvl="1">
      <w:start w:val="3"/>
      <w:numFmt w:val="decimal"/>
      <w:isLgl/>
      <w:lvlText w:val="%1.%2"/>
      <w:lvlJc w:val="left"/>
      <w:pPr>
        <w:ind w:left="100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8" w15:restartNumberingAfterBreak="0">
    <w:nsid w:val="2A1766F8"/>
    <w:multiLevelType w:val="hybridMultilevel"/>
    <w:tmpl w:val="C066A28A"/>
    <w:lvl w:ilvl="0" w:tplc="71F07F58">
      <w:start w:val="1"/>
      <w:numFmt w:val="lowerLetter"/>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9" w15:restartNumberingAfterBreak="0">
    <w:nsid w:val="35FE1E0F"/>
    <w:multiLevelType w:val="hybridMultilevel"/>
    <w:tmpl w:val="C01EB868"/>
    <w:lvl w:ilvl="0" w:tplc="0409000F">
      <w:start w:val="1"/>
      <w:numFmt w:val="decimal"/>
      <w:lvlText w:val="%1."/>
      <w:lvlJc w:val="left"/>
      <w:pPr>
        <w:ind w:left="644"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46237D52"/>
    <w:multiLevelType w:val="multilevel"/>
    <w:tmpl w:val="44C2404C"/>
    <w:styleLink w:val="Listeactuelle3"/>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4F467F01"/>
    <w:multiLevelType w:val="hybridMultilevel"/>
    <w:tmpl w:val="4650E7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5ECE56FF"/>
    <w:multiLevelType w:val="multilevel"/>
    <w:tmpl w:val="FBEE66B2"/>
    <w:lvl w:ilvl="0">
      <w:start w:val="1"/>
      <w:numFmt w:val="decimal"/>
      <w:pStyle w:val="1"/>
      <w:lvlText w:val="%1."/>
      <w:lvlJc w:val="left"/>
      <w:pPr>
        <w:ind w:left="360" w:hanging="360"/>
      </w:pPr>
    </w:lvl>
    <w:lvl w:ilvl="1">
      <w:start w:val="1"/>
      <w:numFmt w:val="decimal"/>
      <w:pStyle w:val="2"/>
      <w:lvlText w:val="%1.%2"/>
      <w:lvlJc w:val="left"/>
      <w:pPr>
        <w:ind w:left="213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15:restartNumberingAfterBreak="0">
    <w:nsid w:val="60027AC5"/>
    <w:multiLevelType w:val="hybridMultilevel"/>
    <w:tmpl w:val="00565BF8"/>
    <w:lvl w:ilvl="0" w:tplc="9E8CE468">
      <w:start w:val="1"/>
      <w:numFmt w:val="decimal"/>
      <w:pStyle w:val="Tablecaption"/>
      <w:lvlText w:val="Table %1."/>
      <w:lvlJc w:val="left"/>
      <w:pPr>
        <w:ind w:left="360" w:hanging="360"/>
      </w:pPr>
      <w:rPr>
        <w:rFonts w:hint="default"/>
        <w:b/>
        <w:i w:val="0"/>
      </w:r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14" w15:restartNumberingAfterBreak="0">
    <w:nsid w:val="67771C4C"/>
    <w:multiLevelType w:val="hybridMultilevel"/>
    <w:tmpl w:val="818A23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6AE23F51"/>
    <w:multiLevelType w:val="hybridMultilevel"/>
    <w:tmpl w:val="C01EB868"/>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C8C10BA"/>
    <w:multiLevelType w:val="multilevel"/>
    <w:tmpl w:val="040C001D"/>
    <w:styleLink w:val="Listeactuel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39D262B"/>
    <w:multiLevelType w:val="hybridMultilevel"/>
    <w:tmpl w:val="FBE41726"/>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8" w15:restartNumberingAfterBreak="0">
    <w:nsid w:val="76F0306A"/>
    <w:multiLevelType w:val="multilevel"/>
    <w:tmpl w:val="C006444C"/>
    <w:styleLink w:val="Listeactuelle2"/>
    <w:lvl w:ilvl="0">
      <w:start w:val="1"/>
      <w:numFmt w:val="decimal"/>
      <w:lvlText w:val="Table %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num w:numId="1" w16cid:durableId="120391606">
    <w:abstractNumId w:val="2"/>
  </w:num>
  <w:num w:numId="2" w16cid:durableId="1267156964">
    <w:abstractNumId w:val="1"/>
  </w:num>
  <w:num w:numId="3" w16cid:durableId="414206574">
    <w:abstractNumId w:val="4"/>
  </w:num>
  <w:num w:numId="4" w16cid:durableId="336227493">
    <w:abstractNumId w:val="13"/>
  </w:num>
  <w:num w:numId="5" w16cid:durableId="1593511656">
    <w:abstractNumId w:val="3"/>
  </w:num>
  <w:num w:numId="6" w16cid:durableId="2147119959">
    <w:abstractNumId w:val="12"/>
  </w:num>
  <w:num w:numId="7" w16cid:durableId="2013410766">
    <w:abstractNumId w:val="16"/>
  </w:num>
  <w:num w:numId="8" w16cid:durableId="268853742">
    <w:abstractNumId w:val="18"/>
  </w:num>
  <w:num w:numId="9" w16cid:durableId="217865267">
    <w:abstractNumId w:val="10"/>
  </w:num>
  <w:num w:numId="10" w16cid:durableId="406731514">
    <w:abstractNumId w:val="11"/>
  </w:num>
  <w:num w:numId="11" w16cid:durableId="850492284">
    <w:abstractNumId w:val="5"/>
  </w:num>
  <w:num w:numId="12" w16cid:durableId="1132092714">
    <w:abstractNumId w:val="17"/>
  </w:num>
  <w:num w:numId="13" w16cid:durableId="1928995718">
    <w:abstractNumId w:val="14"/>
  </w:num>
  <w:num w:numId="14" w16cid:durableId="536818890">
    <w:abstractNumId w:val="9"/>
  </w:num>
  <w:num w:numId="15" w16cid:durableId="1450322125">
    <w:abstractNumId w:val="7"/>
  </w:num>
  <w:num w:numId="16" w16cid:durableId="1510756612">
    <w:abstractNumId w:val="15"/>
  </w:num>
  <w:num w:numId="17" w16cid:durableId="1030834682">
    <w:abstractNumId w:val="8"/>
  </w:num>
  <w:num w:numId="18" w16cid:durableId="1905093642">
    <w:abstractNumId w:val="0"/>
  </w:num>
  <w:num w:numId="19" w16cid:durableId="162210771">
    <w:abstractNumId w:val="12"/>
  </w:num>
  <w:num w:numId="20" w16cid:durableId="126749221">
    <w:abstractNumId w:val="6"/>
  </w:num>
  <w:num w:numId="21" w16cid:durableId="777067351">
    <w:abstractNumId w:val="12"/>
    <w:lvlOverride w:ilvl="0">
      <w:startOverride w:val="3"/>
    </w:lvlOverride>
    <w:lvlOverride w:ilvl="1">
      <w:startOverride w:val="5"/>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US" w:vendorID="64" w:dllVersion="0" w:nlCheck="1" w:checkStyle="0"/>
  <w:activeWritingStyle w:appName="MSWord" w:lang="it-IT" w:vendorID="64" w:dllVersion="0" w:nlCheck="1" w:checkStyle="0"/>
  <w:activeWritingStyle w:appName="MSWord" w:lang="fr-CH" w:vendorID="64" w:dllVersion="0" w:nlCheck="1" w:checkStyle="0"/>
  <w:activeWritingStyle w:appName="MSWord" w:lang="fr-FR" w:vendorID="64" w:dllVersion="0" w:nlCheck="1" w:checkStyle="0"/>
  <w:activeWritingStyle w:appName="MSWord" w:lang="de-CH" w:vendorID="64" w:dllVersion="0" w:nlCheck="1" w:checkStyle="0"/>
  <w:activeWritingStyle w:appName="MSWord" w:lang="fr-FR" w:vendorID="64" w:dllVersion="6" w:nlCheck="1" w:checkStyle="1"/>
  <w:activeWritingStyle w:appName="MSWord" w:lang="fr-CH" w:vendorID="64" w:dllVersion="6" w:nlCheck="1" w:checkStyle="1"/>
  <w:activeWritingStyle w:appName="MSWord" w:lang="es-MX" w:vendorID="64" w:dllVersion="6" w:nlCheck="1" w:checkStyle="1"/>
  <w:activeWritingStyle w:appName="MSWord" w:lang="en-GB"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EwMDA2NLIwsTSzNDBX0lEKTi0uzszPAykwrAUAIuLjdywAAAA="/>
  </w:docVars>
  <w:rsids>
    <w:rsidRoot w:val="0038064E"/>
    <w:rsid w:val="000004CE"/>
    <w:rsid w:val="0000061C"/>
    <w:rsid w:val="00000718"/>
    <w:rsid w:val="00000F94"/>
    <w:rsid w:val="00001EB8"/>
    <w:rsid w:val="0000212F"/>
    <w:rsid w:val="000026AD"/>
    <w:rsid w:val="00002A54"/>
    <w:rsid w:val="0000343C"/>
    <w:rsid w:val="0000477A"/>
    <w:rsid w:val="0000547B"/>
    <w:rsid w:val="0000671C"/>
    <w:rsid w:val="00006C9B"/>
    <w:rsid w:val="0001132E"/>
    <w:rsid w:val="00011FA3"/>
    <w:rsid w:val="000122D5"/>
    <w:rsid w:val="00012F26"/>
    <w:rsid w:val="000140A5"/>
    <w:rsid w:val="000172A5"/>
    <w:rsid w:val="0001773D"/>
    <w:rsid w:val="00017D8D"/>
    <w:rsid w:val="000203EF"/>
    <w:rsid w:val="00021C0D"/>
    <w:rsid w:val="00021E85"/>
    <w:rsid w:val="00022680"/>
    <w:rsid w:val="000228F5"/>
    <w:rsid w:val="00023123"/>
    <w:rsid w:val="00023131"/>
    <w:rsid w:val="0002433C"/>
    <w:rsid w:val="0002567C"/>
    <w:rsid w:val="00025A5A"/>
    <w:rsid w:val="00026DA8"/>
    <w:rsid w:val="00027F79"/>
    <w:rsid w:val="00030A68"/>
    <w:rsid w:val="00030D50"/>
    <w:rsid w:val="000315C9"/>
    <w:rsid w:val="000323B4"/>
    <w:rsid w:val="0003360B"/>
    <w:rsid w:val="00033827"/>
    <w:rsid w:val="00034379"/>
    <w:rsid w:val="000358FF"/>
    <w:rsid w:val="00036057"/>
    <w:rsid w:val="000368D3"/>
    <w:rsid w:val="00037136"/>
    <w:rsid w:val="00037ED0"/>
    <w:rsid w:val="00040257"/>
    <w:rsid w:val="000402C0"/>
    <w:rsid w:val="0004250D"/>
    <w:rsid w:val="00042A9C"/>
    <w:rsid w:val="00042CC6"/>
    <w:rsid w:val="0004540F"/>
    <w:rsid w:val="0004599E"/>
    <w:rsid w:val="00050C3B"/>
    <w:rsid w:val="00050E4D"/>
    <w:rsid w:val="000513AD"/>
    <w:rsid w:val="0005151B"/>
    <w:rsid w:val="00052688"/>
    <w:rsid w:val="00052C96"/>
    <w:rsid w:val="00053650"/>
    <w:rsid w:val="00053701"/>
    <w:rsid w:val="00054114"/>
    <w:rsid w:val="000545D8"/>
    <w:rsid w:val="00055EE7"/>
    <w:rsid w:val="0005723D"/>
    <w:rsid w:val="00060340"/>
    <w:rsid w:val="000604F5"/>
    <w:rsid w:val="00060EB3"/>
    <w:rsid w:val="00060F56"/>
    <w:rsid w:val="000614C7"/>
    <w:rsid w:val="00062709"/>
    <w:rsid w:val="00062B64"/>
    <w:rsid w:val="0006343F"/>
    <w:rsid w:val="00063684"/>
    <w:rsid w:val="00064823"/>
    <w:rsid w:val="00064E00"/>
    <w:rsid w:val="00066610"/>
    <w:rsid w:val="000678BA"/>
    <w:rsid w:val="00067BA4"/>
    <w:rsid w:val="00070022"/>
    <w:rsid w:val="000708D9"/>
    <w:rsid w:val="0007110E"/>
    <w:rsid w:val="00071E9B"/>
    <w:rsid w:val="000724DF"/>
    <w:rsid w:val="00073F33"/>
    <w:rsid w:val="00074172"/>
    <w:rsid w:val="000745C0"/>
    <w:rsid w:val="000750A4"/>
    <w:rsid w:val="000753CD"/>
    <w:rsid w:val="0007764E"/>
    <w:rsid w:val="00077D7F"/>
    <w:rsid w:val="00077E87"/>
    <w:rsid w:val="000810CC"/>
    <w:rsid w:val="0008129A"/>
    <w:rsid w:val="0008134D"/>
    <w:rsid w:val="00081D8B"/>
    <w:rsid w:val="000827BF"/>
    <w:rsid w:val="00082C97"/>
    <w:rsid w:val="00083830"/>
    <w:rsid w:val="00084467"/>
    <w:rsid w:val="00084640"/>
    <w:rsid w:val="000851F9"/>
    <w:rsid w:val="00086568"/>
    <w:rsid w:val="0008734E"/>
    <w:rsid w:val="000900C0"/>
    <w:rsid w:val="00090BCF"/>
    <w:rsid w:val="00091FAB"/>
    <w:rsid w:val="0009459D"/>
    <w:rsid w:val="00094D65"/>
    <w:rsid w:val="00094DB9"/>
    <w:rsid w:val="000952C8"/>
    <w:rsid w:val="00097792"/>
    <w:rsid w:val="00097B59"/>
    <w:rsid w:val="000A2EE3"/>
    <w:rsid w:val="000A3870"/>
    <w:rsid w:val="000A6763"/>
    <w:rsid w:val="000A6D02"/>
    <w:rsid w:val="000A6DBD"/>
    <w:rsid w:val="000B05B6"/>
    <w:rsid w:val="000B0DA0"/>
    <w:rsid w:val="000B20ED"/>
    <w:rsid w:val="000B2718"/>
    <w:rsid w:val="000B3DF1"/>
    <w:rsid w:val="000B4237"/>
    <w:rsid w:val="000B5069"/>
    <w:rsid w:val="000B50C1"/>
    <w:rsid w:val="000B5A7F"/>
    <w:rsid w:val="000B705B"/>
    <w:rsid w:val="000B72CB"/>
    <w:rsid w:val="000B7710"/>
    <w:rsid w:val="000C0917"/>
    <w:rsid w:val="000C1A46"/>
    <w:rsid w:val="000C3E11"/>
    <w:rsid w:val="000C44D6"/>
    <w:rsid w:val="000C6F5F"/>
    <w:rsid w:val="000C76B5"/>
    <w:rsid w:val="000D1C81"/>
    <w:rsid w:val="000D2044"/>
    <w:rsid w:val="000D278F"/>
    <w:rsid w:val="000D3273"/>
    <w:rsid w:val="000D4F62"/>
    <w:rsid w:val="000D5734"/>
    <w:rsid w:val="000D61B6"/>
    <w:rsid w:val="000D63E9"/>
    <w:rsid w:val="000D6768"/>
    <w:rsid w:val="000D7337"/>
    <w:rsid w:val="000E0E3E"/>
    <w:rsid w:val="000E0FBE"/>
    <w:rsid w:val="000E2084"/>
    <w:rsid w:val="000E2908"/>
    <w:rsid w:val="000E570E"/>
    <w:rsid w:val="000E7A0D"/>
    <w:rsid w:val="000F206D"/>
    <w:rsid w:val="000F2BA6"/>
    <w:rsid w:val="000F2CE6"/>
    <w:rsid w:val="000F31C8"/>
    <w:rsid w:val="000F3621"/>
    <w:rsid w:val="000F3DBF"/>
    <w:rsid w:val="000F41F5"/>
    <w:rsid w:val="000F46F3"/>
    <w:rsid w:val="000F6B42"/>
    <w:rsid w:val="000F6E7E"/>
    <w:rsid w:val="000F75A1"/>
    <w:rsid w:val="000F7757"/>
    <w:rsid w:val="00101DAA"/>
    <w:rsid w:val="001033D4"/>
    <w:rsid w:val="00103EE2"/>
    <w:rsid w:val="00104E38"/>
    <w:rsid w:val="001060CE"/>
    <w:rsid w:val="001062D2"/>
    <w:rsid w:val="001066A4"/>
    <w:rsid w:val="00107D25"/>
    <w:rsid w:val="0011060C"/>
    <w:rsid w:val="00110C3B"/>
    <w:rsid w:val="001115EE"/>
    <w:rsid w:val="00111B3A"/>
    <w:rsid w:val="0011370B"/>
    <w:rsid w:val="00115983"/>
    <w:rsid w:val="00117F29"/>
    <w:rsid w:val="00120B81"/>
    <w:rsid w:val="00123119"/>
    <w:rsid w:val="001232C1"/>
    <w:rsid w:val="00124181"/>
    <w:rsid w:val="00125D7E"/>
    <w:rsid w:val="00126660"/>
    <w:rsid w:val="00127F70"/>
    <w:rsid w:val="00130B07"/>
    <w:rsid w:val="00131086"/>
    <w:rsid w:val="00132916"/>
    <w:rsid w:val="00133D23"/>
    <w:rsid w:val="00133FD8"/>
    <w:rsid w:val="00141218"/>
    <w:rsid w:val="00141250"/>
    <w:rsid w:val="00141B8C"/>
    <w:rsid w:val="0014535B"/>
    <w:rsid w:val="001457DF"/>
    <w:rsid w:val="00145A84"/>
    <w:rsid w:val="00146146"/>
    <w:rsid w:val="00146285"/>
    <w:rsid w:val="00150C82"/>
    <w:rsid w:val="001512A1"/>
    <w:rsid w:val="00152972"/>
    <w:rsid w:val="00154AA9"/>
    <w:rsid w:val="00155188"/>
    <w:rsid w:val="00156257"/>
    <w:rsid w:val="0015628F"/>
    <w:rsid w:val="00156D41"/>
    <w:rsid w:val="001601EF"/>
    <w:rsid w:val="00160989"/>
    <w:rsid w:val="0016177D"/>
    <w:rsid w:val="00162C36"/>
    <w:rsid w:val="00162CBF"/>
    <w:rsid w:val="00163932"/>
    <w:rsid w:val="00163B5E"/>
    <w:rsid w:val="001643FA"/>
    <w:rsid w:val="0016539E"/>
    <w:rsid w:val="00165B94"/>
    <w:rsid w:val="00165F55"/>
    <w:rsid w:val="00166581"/>
    <w:rsid w:val="00166A5E"/>
    <w:rsid w:val="0016721D"/>
    <w:rsid w:val="00170017"/>
    <w:rsid w:val="00170804"/>
    <w:rsid w:val="00170948"/>
    <w:rsid w:val="0017095A"/>
    <w:rsid w:val="00170D53"/>
    <w:rsid w:val="00174037"/>
    <w:rsid w:val="00174D3F"/>
    <w:rsid w:val="00174E50"/>
    <w:rsid w:val="00177FA3"/>
    <w:rsid w:val="00180CB1"/>
    <w:rsid w:val="001819F5"/>
    <w:rsid w:val="00182952"/>
    <w:rsid w:val="0018399A"/>
    <w:rsid w:val="00184122"/>
    <w:rsid w:val="00184986"/>
    <w:rsid w:val="001856F2"/>
    <w:rsid w:val="00185B8C"/>
    <w:rsid w:val="00186550"/>
    <w:rsid w:val="0018673F"/>
    <w:rsid w:val="00190E53"/>
    <w:rsid w:val="0019297D"/>
    <w:rsid w:val="00192997"/>
    <w:rsid w:val="00193792"/>
    <w:rsid w:val="001937E8"/>
    <w:rsid w:val="00193DCC"/>
    <w:rsid w:val="0019475E"/>
    <w:rsid w:val="001963D6"/>
    <w:rsid w:val="001969AC"/>
    <w:rsid w:val="0019708A"/>
    <w:rsid w:val="00197861"/>
    <w:rsid w:val="00197D36"/>
    <w:rsid w:val="001A0808"/>
    <w:rsid w:val="001A1CE7"/>
    <w:rsid w:val="001A2305"/>
    <w:rsid w:val="001A260C"/>
    <w:rsid w:val="001A2787"/>
    <w:rsid w:val="001A2CE4"/>
    <w:rsid w:val="001A4B7C"/>
    <w:rsid w:val="001A4E70"/>
    <w:rsid w:val="001A539A"/>
    <w:rsid w:val="001A5901"/>
    <w:rsid w:val="001A616C"/>
    <w:rsid w:val="001A6290"/>
    <w:rsid w:val="001A740F"/>
    <w:rsid w:val="001A764E"/>
    <w:rsid w:val="001B1306"/>
    <w:rsid w:val="001B1C7B"/>
    <w:rsid w:val="001B1D74"/>
    <w:rsid w:val="001B2D05"/>
    <w:rsid w:val="001B3203"/>
    <w:rsid w:val="001B3231"/>
    <w:rsid w:val="001B3DFB"/>
    <w:rsid w:val="001B430D"/>
    <w:rsid w:val="001B4DCB"/>
    <w:rsid w:val="001B62F0"/>
    <w:rsid w:val="001B694A"/>
    <w:rsid w:val="001B6B68"/>
    <w:rsid w:val="001B7596"/>
    <w:rsid w:val="001C06FC"/>
    <w:rsid w:val="001C0946"/>
    <w:rsid w:val="001C19EB"/>
    <w:rsid w:val="001C22D0"/>
    <w:rsid w:val="001C2D7C"/>
    <w:rsid w:val="001C5334"/>
    <w:rsid w:val="001C7997"/>
    <w:rsid w:val="001D0E3E"/>
    <w:rsid w:val="001D1DCC"/>
    <w:rsid w:val="001D1DE1"/>
    <w:rsid w:val="001D1EA4"/>
    <w:rsid w:val="001D272B"/>
    <w:rsid w:val="001D3145"/>
    <w:rsid w:val="001D3AC5"/>
    <w:rsid w:val="001D72E0"/>
    <w:rsid w:val="001E070C"/>
    <w:rsid w:val="001E2339"/>
    <w:rsid w:val="001E3589"/>
    <w:rsid w:val="001E393C"/>
    <w:rsid w:val="001E3A31"/>
    <w:rsid w:val="001E4F81"/>
    <w:rsid w:val="001E5692"/>
    <w:rsid w:val="001E616A"/>
    <w:rsid w:val="001E7FAA"/>
    <w:rsid w:val="001F1488"/>
    <w:rsid w:val="001F2C1B"/>
    <w:rsid w:val="001F4785"/>
    <w:rsid w:val="001F5874"/>
    <w:rsid w:val="001F673C"/>
    <w:rsid w:val="001F6BE7"/>
    <w:rsid w:val="001F7D65"/>
    <w:rsid w:val="002007C8"/>
    <w:rsid w:val="00200E47"/>
    <w:rsid w:val="00201002"/>
    <w:rsid w:val="00201192"/>
    <w:rsid w:val="00201604"/>
    <w:rsid w:val="00203A66"/>
    <w:rsid w:val="00205868"/>
    <w:rsid w:val="0020633A"/>
    <w:rsid w:val="00207247"/>
    <w:rsid w:val="0020731E"/>
    <w:rsid w:val="00207AC6"/>
    <w:rsid w:val="002103AC"/>
    <w:rsid w:val="002112E9"/>
    <w:rsid w:val="002117DA"/>
    <w:rsid w:val="00214AF5"/>
    <w:rsid w:val="00215132"/>
    <w:rsid w:val="0021647B"/>
    <w:rsid w:val="00216A7F"/>
    <w:rsid w:val="002174FD"/>
    <w:rsid w:val="00221376"/>
    <w:rsid w:val="002217DC"/>
    <w:rsid w:val="002217FC"/>
    <w:rsid w:val="00223044"/>
    <w:rsid w:val="00223720"/>
    <w:rsid w:val="00225242"/>
    <w:rsid w:val="00225E12"/>
    <w:rsid w:val="00226295"/>
    <w:rsid w:val="002263BC"/>
    <w:rsid w:val="0022724B"/>
    <w:rsid w:val="00227A38"/>
    <w:rsid w:val="00227D61"/>
    <w:rsid w:val="00230C67"/>
    <w:rsid w:val="00231C66"/>
    <w:rsid w:val="002324EA"/>
    <w:rsid w:val="002329FC"/>
    <w:rsid w:val="00232D3D"/>
    <w:rsid w:val="00232EF4"/>
    <w:rsid w:val="002330A6"/>
    <w:rsid w:val="00234AB0"/>
    <w:rsid w:val="00234FB7"/>
    <w:rsid w:val="0023565B"/>
    <w:rsid w:val="002356A0"/>
    <w:rsid w:val="00236585"/>
    <w:rsid w:val="0023706C"/>
    <w:rsid w:val="0023778B"/>
    <w:rsid w:val="002410FE"/>
    <w:rsid w:val="002415F9"/>
    <w:rsid w:val="00241909"/>
    <w:rsid w:val="0024207C"/>
    <w:rsid w:val="00242E30"/>
    <w:rsid w:val="00242F60"/>
    <w:rsid w:val="00243596"/>
    <w:rsid w:val="00243C1F"/>
    <w:rsid w:val="0024460A"/>
    <w:rsid w:val="00246490"/>
    <w:rsid w:val="002465B5"/>
    <w:rsid w:val="002520DC"/>
    <w:rsid w:val="00252977"/>
    <w:rsid w:val="00253901"/>
    <w:rsid w:val="00253D84"/>
    <w:rsid w:val="00254420"/>
    <w:rsid w:val="00254AB4"/>
    <w:rsid w:val="002566F7"/>
    <w:rsid w:val="002575DA"/>
    <w:rsid w:val="00257AD4"/>
    <w:rsid w:val="002600EC"/>
    <w:rsid w:val="0026021D"/>
    <w:rsid w:val="00260274"/>
    <w:rsid w:val="00261397"/>
    <w:rsid w:val="00261720"/>
    <w:rsid w:val="002624ED"/>
    <w:rsid w:val="002625B3"/>
    <w:rsid w:val="00263B7D"/>
    <w:rsid w:val="00264F75"/>
    <w:rsid w:val="00265073"/>
    <w:rsid w:val="002673BE"/>
    <w:rsid w:val="00270E25"/>
    <w:rsid w:val="00271342"/>
    <w:rsid w:val="00271D53"/>
    <w:rsid w:val="00272096"/>
    <w:rsid w:val="00272564"/>
    <w:rsid w:val="0027262E"/>
    <w:rsid w:val="002736F4"/>
    <w:rsid w:val="002743DD"/>
    <w:rsid w:val="0027450D"/>
    <w:rsid w:val="00274547"/>
    <w:rsid w:val="002751F6"/>
    <w:rsid w:val="002762FF"/>
    <w:rsid w:val="00280B39"/>
    <w:rsid w:val="00281689"/>
    <w:rsid w:val="002816CE"/>
    <w:rsid w:val="00283BF2"/>
    <w:rsid w:val="00285B44"/>
    <w:rsid w:val="002867A2"/>
    <w:rsid w:val="00292454"/>
    <w:rsid w:val="00293693"/>
    <w:rsid w:val="002936FC"/>
    <w:rsid w:val="00293E56"/>
    <w:rsid w:val="0029759B"/>
    <w:rsid w:val="00297E12"/>
    <w:rsid w:val="002A0F2C"/>
    <w:rsid w:val="002A14DA"/>
    <w:rsid w:val="002A181C"/>
    <w:rsid w:val="002A1A84"/>
    <w:rsid w:val="002A2D26"/>
    <w:rsid w:val="002A31DF"/>
    <w:rsid w:val="002A4DAA"/>
    <w:rsid w:val="002A53DE"/>
    <w:rsid w:val="002A6BE4"/>
    <w:rsid w:val="002A6FFE"/>
    <w:rsid w:val="002A70B3"/>
    <w:rsid w:val="002A7450"/>
    <w:rsid w:val="002A7B6B"/>
    <w:rsid w:val="002B04D6"/>
    <w:rsid w:val="002B2C77"/>
    <w:rsid w:val="002B3BE2"/>
    <w:rsid w:val="002B3C2B"/>
    <w:rsid w:val="002B4468"/>
    <w:rsid w:val="002B450D"/>
    <w:rsid w:val="002B4A05"/>
    <w:rsid w:val="002B4E75"/>
    <w:rsid w:val="002B51BC"/>
    <w:rsid w:val="002B5FF9"/>
    <w:rsid w:val="002B7818"/>
    <w:rsid w:val="002B7EBB"/>
    <w:rsid w:val="002C01F0"/>
    <w:rsid w:val="002C02F1"/>
    <w:rsid w:val="002C20FE"/>
    <w:rsid w:val="002C4625"/>
    <w:rsid w:val="002C5424"/>
    <w:rsid w:val="002C6DE0"/>
    <w:rsid w:val="002C707C"/>
    <w:rsid w:val="002C719B"/>
    <w:rsid w:val="002C7F6C"/>
    <w:rsid w:val="002D07B2"/>
    <w:rsid w:val="002D3D55"/>
    <w:rsid w:val="002D419E"/>
    <w:rsid w:val="002D498A"/>
    <w:rsid w:val="002D610E"/>
    <w:rsid w:val="002D7E1D"/>
    <w:rsid w:val="002E1118"/>
    <w:rsid w:val="002E1860"/>
    <w:rsid w:val="002E2309"/>
    <w:rsid w:val="002E27ED"/>
    <w:rsid w:val="002E3A54"/>
    <w:rsid w:val="002E507D"/>
    <w:rsid w:val="002E5644"/>
    <w:rsid w:val="002E5AB0"/>
    <w:rsid w:val="002E5C49"/>
    <w:rsid w:val="002E6D3C"/>
    <w:rsid w:val="002E7162"/>
    <w:rsid w:val="002F07D8"/>
    <w:rsid w:val="002F1C7A"/>
    <w:rsid w:val="002F25E3"/>
    <w:rsid w:val="002F3C4B"/>
    <w:rsid w:val="002F4BA9"/>
    <w:rsid w:val="002F5676"/>
    <w:rsid w:val="002F57A9"/>
    <w:rsid w:val="002F6289"/>
    <w:rsid w:val="002F684D"/>
    <w:rsid w:val="002F7227"/>
    <w:rsid w:val="002F78F1"/>
    <w:rsid w:val="00300920"/>
    <w:rsid w:val="00300D3F"/>
    <w:rsid w:val="0030244C"/>
    <w:rsid w:val="00302B08"/>
    <w:rsid w:val="00302B85"/>
    <w:rsid w:val="0030369C"/>
    <w:rsid w:val="0030469D"/>
    <w:rsid w:val="0030620D"/>
    <w:rsid w:val="00306498"/>
    <w:rsid w:val="0030771A"/>
    <w:rsid w:val="0031127C"/>
    <w:rsid w:val="003129A4"/>
    <w:rsid w:val="00312AC1"/>
    <w:rsid w:val="00312C52"/>
    <w:rsid w:val="003138BD"/>
    <w:rsid w:val="00313C7E"/>
    <w:rsid w:val="00313F8F"/>
    <w:rsid w:val="00314014"/>
    <w:rsid w:val="003152E4"/>
    <w:rsid w:val="003166B7"/>
    <w:rsid w:val="00320944"/>
    <w:rsid w:val="00320B7C"/>
    <w:rsid w:val="003220D5"/>
    <w:rsid w:val="00322167"/>
    <w:rsid w:val="00322E61"/>
    <w:rsid w:val="0032305C"/>
    <w:rsid w:val="00324240"/>
    <w:rsid w:val="00324CDA"/>
    <w:rsid w:val="00325789"/>
    <w:rsid w:val="00327519"/>
    <w:rsid w:val="0032752B"/>
    <w:rsid w:val="0033006B"/>
    <w:rsid w:val="0033172C"/>
    <w:rsid w:val="00333DF0"/>
    <w:rsid w:val="003346F7"/>
    <w:rsid w:val="0033599C"/>
    <w:rsid w:val="003371CA"/>
    <w:rsid w:val="00337456"/>
    <w:rsid w:val="00341124"/>
    <w:rsid w:val="003415B3"/>
    <w:rsid w:val="003423C8"/>
    <w:rsid w:val="0034271F"/>
    <w:rsid w:val="00342D71"/>
    <w:rsid w:val="00343BA5"/>
    <w:rsid w:val="00343C3D"/>
    <w:rsid w:val="00344131"/>
    <w:rsid w:val="00344960"/>
    <w:rsid w:val="00344A68"/>
    <w:rsid w:val="00345948"/>
    <w:rsid w:val="00345E69"/>
    <w:rsid w:val="003475D6"/>
    <w:rsid w:val="00351BE8"/>
    <w:rsid w:val="00351D55"/>
    <w:rsid w:val="003526A4"/>
    <w:rsid w:val="00352B19"/>
    <w:rsid w:val="00354F62"/>
    <w:rsid w:val="00355E93"/>
    <w:rsid w:val="0036133C"/>
    <w:rsid w:val="00361513"/>
    <w:rsid w:val="003616F7"/>
    <w:rsid w:val="003617B3"/>
    <w:rsid w:val="0036204E"/>
    <w:rsid w:val="003635EE"/>
    <w:rsid w:val="003648E4"/>
    <w:rsid w:val="0036544F"/>
    <w:rsid w:val="00365838"/>
    <w:rsid w:val="00365F7F"/>
    <w:rsid w:val="00366581"/>
    <w:rsid w:val="00366F1A"/>
    <w:rsid w:val="00367C57"/>
    <w:rsid w:val="00371E67"/>
    <w:rsid w:val="003721D6"/>
    <w:rsid w:val="003728A8"/>
    <w:rsid w:val="00372E38"/>
    <w:rsid w:val="003736D2"/>
    <w:rsid w:val="00373F2E"/>
    <w:rsid w:val="0037466D"/>
    <w:rsid w:val="00375B88"/>
    <w:rsid w:val="00376957"/>
    <w:rsid w:val="00376C27"/>
    <w:rsid w:val="00380356"/>
    <w:rsid w:val="0038064E"/>
    <w:rsid w:val="00380BD1"/>
    <w:rsid w:val="00380C2C"/>
    <w:rsid w:val="00380D4E"/>
    <w:rsid w:val="00381A8C"/>
    <w:rsid w:val="00381F86"/>
    <w:rsid w:val="003823D8"/>
    <w:rsid w:val="00384E81"/>
    <w:rsid w:val="00385409"/>
    <w:rsid w:val="0038670C"/>
    <w:rsid w:val="00386C4F"/>
    <w:rsid w:val="00387082"/>
    <w:rsid w:val="00387B54"/>
    <w:rsid w:val="00387D02"/>
    <w:rsid w:val="00387D49"/>
    <w:rsid w:val="003920BF"/>
    <w:rsid w:val="0039288F"/>
    <w:rsid w:val="00392F35"/>
    <w:rsid w:val="003933C0"/>
    <w:rsid w:val="00393554"/>
    <w:rsid w:val="003941E0"/>
    <w:rsid w:val="00395B7F"/>
    <w:rsid w:val="00395BC3"/>
    <w:rsid w:val="00395FBF"/>
    <w:rsid w:val="00396F89"/>
    <w:rsid w:val="00397B86"/>
    <w:rsid w:val="003A0029"/>
    <w:rsid w:val="003A18CC"/>
    <w:rsid w:val="003A1C6A"/>
    <w:rsid w:val="003A2BB3"/>
    <w:rsid w:val="003A2CD4"/>
    <w:rsid w:val="003A3361"/>
    <w:rsid w:val="003A33F1"/>
    <w:rsid w:val="003A4C44"/>
    <w:rsid w:val="003A56E5"/>
    <w:rsid w:val="003A672F"/>
    <w:rsid w:val="003A74C7"/>
    <w:rsid w:val="003B02AD"/>
    <w:rsid w:val="003B05AA"/>
    <w:rsid w:val="003B2943"/>
    <w:rsid w:val="003B3F0F"/>
    <w:rsid w:val="003B53D4"/>
    <w:rsid w:val="003B5D6B"/>
    <w:rsid w:val="003B5E15"/>
    <w:rsid w:val="003B79DE"/>
    <w:rsid w:val="003C038D"/>
    <w:rsid w:val="003C26E1"/>
    <w:rsid w:val="003C37B4"/>
    <w:rsid w:val="003C43F1"/>
    <w:rsid w:val="003C6E54"/>
    <w:rsid w:val="003C6EDB"/>
    <w:rsid w:val="003C6F64"/>
    <w:rsid w:val="003C6FB8"/>
    <w:rsid w:val="003C716B"/>
    <w:rsid w:val="003C754B"/>
    <w:rsid w:val="003D0BD7"/>
    <w:rsid w:val="003D0D47"/>
    <w:rsid w:val="003D12B4"/>
    <w:rsid w:val="003D44CE"/>
    <w:rsid w:val="003D61F4"/>
    <w:rsid w:val="003D63B0"/>
    <w:rsid w:val="003D6B53"/>
    <w:rsid w:val="003D6CB3"/>
    <w:rsid w:val="003D6ED0"/>
    <w:rsid w:val="003D7EE0"/>
    <w:rsid w:val="003E0B14"/>
    <w:rsid w:val="003E22FC"/>
    <w:rsid w:val="003E291C"/>
    <w:rsid w:val="003E2BBF"/>
    <w:rsid w:val="003E3018"/>
    <w:rsid w:val="003E38A2"/>
    <w:rsid w:val="003E4997"/>
    <w:rsid w:val="003E55EF"/>
    <w:rsid w:val="003E7161"/>
    <w:rsid w:val="003F0EEC"/>
    <w:rsid w:val="003F1538"/>
    <w:rsid w:val="003F163B"/>
    <w:rsid w:val="003F34C2"/>
    <w:rsid w:val="003F3A62"/>
    <w:rsid w:val="003F404C"/>
    <w:rsid w:val="003F4181"/>
    <w:rsid w:val="003F559A"/>
    <w:rsid w:val="003F74E2"/>
    <w:rsid w:val="003F7DB2"/>
    <w:rsid w:val="00401941"/>
    <w:rsid w:val="00401D85"/>
    <w:rsid w:val="00403410"/>
    <w:rsid w:val="004043FE"/>
    <w:rsid w:val="0040526B"/>
    <w:rsid w:val="00405ACB"/>
    <w:rsid w:val="00405C8F"/>
    <w:rsid w:val="00405FCB"/>
    <w:rsid w:val="00407CFD"/>
    <w:rsid w:val="00407F8B"/>
    <w:rsid w:val="004101BF"/>
    <w:rsid w:val="00411240"/>
    <w:rsid w:val="004115A1"/>
    <w:rsid w:val="004129C2"/>
    <w:rsid w:val="00412BDC"/>
    <w:rsid w:val="00413E72"/>
    <w:rsid w:val="00415B5C"/>
    <w:rsid w:val="00417A13"/>
    <w:rsid w:val="00420D78"/>
    <w:rsid w:val="004212B2"/>
    <w:rsid w:val="00421832"/>
    <w:rsid w:val="00423882"/>
    <w:rsid w:val="00423B2A"/>
    <w:rsid w:val="004242F3"/>
    <w:rsid w:val="00424625"/>
    <w:rsid w:val="00424DD0"/>
    <w:rsid w:val="004253B2"/>
    <w:rsid w:val="00425558"/>
    <w:rsid w:val="00425D91"/>
    <w:rsid w:val="00426697"/>
    <w:rsid w:val="0042741B"/>
    <w:rsid w:val="0043101F"/>
    <w:rsid w:val="004311D6"/>
    <w:rsid w:val="004320C8"/>
    <w:rsid w:val="00433145"/>
    <w:rsid w:val="00433397"/>
    <w:rsid w:val="00434287"/>
    <w:rsid w:val="004346F5"/>
    <w:rsid w:val="00436345"/>
    <w:rsid w:val="00436848"/>
    <w:rsid w:val="004372D8"/>
    <w:rsid w:val="004424E1"/>
    <w:rsid w:val="00443E68"/>
    <w:rsid w:val="00444F29"/>
    <w:rsid w:val="00445F87"/>
    <w:rsid w:val="0044715F"/>
    <w:rsid w:val="00447DD2"/>
    <w:rsid w:val="0045048F"/>
    <w:rsid w:val="00450B23"/>
    <w:rsid w:val="00450C47"/>
    <w:rsid w:val="00450F4D"/>
    <w:rsid w:val="00451C99"/>
    <w:rsid w:val="004547DF"/>
    <w:rsid w:val="004555AD"/>
    <w:rsid w:val="00455985"/>
    <w:rsid w:val="004576CA"/>
    <w:rsid w:val="00457B62"/>
    <w:rsid w:val="00457FBB"/>
    <w:rsid w:val="00460087"/>
    <w:rsid w:val="0046072F"/>
    <w:rsid w:val="00461365"/>
    <w:rsid w:val="00462734"/>
    <w:rsid w:val="00462D86"/>
    <w:rsid w:val="00463C80"/>
    <w:rsid w:val="00463DFB"/>
    <w:rsid w:val="00464025"/>
    <w:rsid w:val="0046446A"/>
    <w:rsid w:val="004645A0"/>
    <w:rsid w:val="004656A3"/>
    <w:rsid w:val="0046687F"/>
    <w:rsid w:val="004669E2"/>
    <w:rsid w:val="00466D03"/>
    <w:rsid w:val="00466DDF"/>
    <w:rsid w:val="0046753F"/>
    <w:rsid w:val="00470A56"/>
    <w:rsid w:val="00470EB0"/>
    <w:rsid w:val="00471CE0"/>
    <w:rsid w:val="00471E91"/>
    <w:rsid w:val="0047230A"/>
    <w:rsid w:val="0047266A"/>
    <w:rsid w:val="004726B0"/>
    <w:rsid w:val="00473292"/>
    <w:rsid w:val="0047408B"/>
    <w:rsid w:val="004758E8"/>
    <w:rsid w:val="00475CEC"/>
    <w:rsid w:val="00476BF1"/>
    <w:rsid w:val="00477795"/>
    <w:rsid w:val="00477C04"/>
    <w:rsid w:val="00477E62"/>
    <w:rsid w:val="004808B3"/>
    <w:rsid w:val="00482031"/>
    <w:rsid w:val="004830A4"/>
    <w:rsid w:val="00484A89"/>
    <w:rsid w:val="00485598"/>
    <w:rsid w:val="00485F62"/>
    <w:rsid w:val="004867A9"/>
    <w:rsid w:val="00487C4D"/>
    <w:rsid w:val="00490C08"/>
    <w:rsid w:val="00490E43"/>
    <w:rsid w:val="0049139F"/>
    <w:rsid w:val="00491D62"/>
    <w:rsid w:val="004924AB"/>
    <w:rsid w:val="0049312C"/>
    <w:rsid w:val="004938DA"/>
    <w:rsid w:val="0049409E"/>
    <w:rsid w:val="00494A40"/>
    <w:rsid w:val="00494B40"/>
    <w:rsid w:val="00495587"/>
    <w:rsid w:val="00497FB5"/>
    <w:rsid w:val="004A2239"/>
    <w:rsid w:val="004A40D7"/>
    <w:rsid w:val="004A4185"/>
    <w:rsid w:val="004A4404"/>
    <w:rsid w:val="004A4A43"/>
    <w:rsid w:val="004B21DD"/>
    <w:rsid w:val="004B2759"/>
    <w:rsid w:val="004B382B"/>
    <w:rsid w:val="004B39B9"/>
    <w:rsid w:val="004B4F1E"/>
    <w:rsid w:val="004B57E1"/>
    <w:rsid w:val="004B6324"/>
    <w:rsid w:val="004B6B0A"/>
    <w:rsid w:val="004B7B65"/>
    <w:rsid w:val="004B7C8E"/>
    <w:rsid w:val="004B7DE9"/>
    <w:rsid w:val="004C2A75"/>
    <w:rsid w:val="004C45BE"/>
    <w:rsid w:val="004C5D80"/>
    <w:rsid w:val="004C606A"/>
    <w:rsid w:val="004C653B"/>
    <w:rsid w:val="004C6A4B"/>
    <w:rsid w:val="004C6B87"/>
    <w:rsid w:val="004C73FA"/>
    <w:rsid w:val="004C78F6"/>
    <w:rsid w:val="004D0E92"/>
    <w:rsid w:val="004D19A6"/>
    <w:rsid w:val="004D3532"/>
    <w:rsid w:val="004D5166"/>
    <w:rsid w:val="004D5459"/>
    <w:rsid w:val="004D66CA"/>
    <w:rsid w:val="004D7268"/>
    <w:rsid w:val="004D73A3"/>
    <w:rsid w:val="004E0671"/>
    <w:rsid w:val="004E11B1"/>
    <w:rsid w:val="004E1D3E"/>
    <w:rsid w:val="004E2904"/>
    <w:rsid w:val="004E2F76"/>
    <w:rsid w:val="004E39F3"/>
    <w:rsid w:val="004E4308"/>
    <w:rsid w:val="004E4843"/>
    <w:rsid w:val="004E543C"/>
    <w:rsid w:val="004E6AC3"/>
    <w:rsid w:val="004E6D09"/>
    <w:rsid w:val="004F2825"/>
    <w:rsid w:val="004F56A2"/>
    <w:rsid w:val="004F5D35"/>
    <w:rsid w:val="004F7E94"/>
    <w:rsid w:val="00500A2F"/>
    <w:rsid w:val="00503D9E"/>
    <w:rsid w:val="00504DC1"/>
    <w:rsid w:val="005051CF"/>
    <w:rsid w:val="005055EE"/>
    <w:rsid w:val="005059E1"/>
    <w:rsid w:val="00506129"/>
    <w:rsid w:val="00507361"/>
    <w:rsid w:val="00507BB4"/>
    <w:rsid w:val="00507E86"/>
    <w:rsid w:val="00507F74"/>
    <w:rsid w:val="00507FA0"/>
    <w:rsid w:val="00511563"/>
    <w:rsid w:val="00511A1A"/>
    <w:rsid w:val="00512406"/>
    <w:rsid w:val="00512E51"/>
    <w:rsid w:val="005146A3"/>
    <w:rsid w:val="005153EE"/>
    <w:rsid w:val="00515BB1"/>
    <w:rsid w:val="00515F54"/>
    <w:rsid w:val="005167AF"/>
    <w:rsid w:val="005168A0"/>
    <w:rsid w:val="005178CF"/>
    <w:rsid w:val="005213EF"/>
    <w:rsid w:val="005229B8"/>
    <w:rsid w:val="00522DA5"/>
    <w:rsid w:val="005232F2"/>
    <w:rsid w:val="005233D7"/>
    <w:rsid w:val="005245E6"/>
    <w:rsid w:val="005246F5"/>
    <w:rsid w:val="00525358"/>
    <w:rsid w:val="00530603"/>
    <w:rsid w:val="00530DFA"/>
    <w:rsid w:val="0053206B"/>
    <w:rsid w:val="00532089"/>
    <w:rsid w:val="005335F6"/>
    <w:rsid w:val="00533E7C"/>
    <w:rsid w:val="00534194"/>
    <w:rsid w:val="00534BD2"/>
    <w:rsid w:val="0053568D"/>
    <w:rsid w:val="00535A47"/>
    <w:rsid w:val="00536C0A"/>
    <w:rsid w:val="00536E68"/>
    <w:rsid w:val="00537F12"/>
    <w:rsid w:val="0054067A"/>
    <w:rsid w:val="00541646"/>
    <w:rsid w:val="005424A4"/>
    <w:rsid w:val="00543373"/>
    <w:rsid w:val="0054565F"/>
    <w:rsid w:val="00545C04"/>
    <w:rsid w:val="005477CB"/>
    <w:rsid w:val="00550860"/>
    <w:rsid w:val="005524F0"/>
    <w:rsid w:val="00555705"/>
    <w:rsid w:val="00561AD7"/>
    <w:rsid w:val="00562FCE"/>
    <w:rsid w:val="00563116"/>
    <w:rsid w:val="005645CC"/>
    <w:rsid w:val="00567E08"/>
    <w:rsid w:val="00570825"/>
    <w:rsid w:val="00570D4C"/>
    <w:rsid w:val="0057146C"/>
    <w:rsid w:val="00571AF9"/>
    <w:rsid w:val="005728B8"/>
    <w:rsid w:val="00572BE2"/>
    <w:rsid w:val="00573667"/>
    <w:rsid w:val="005737F3"/>
    <w:rsid w:val="005740E3"/>
    <w:rsid w:val="00574B4D"/>
    <w:rsid w:val="00575993"/>
    <w:rsid w:val="0057764E"/>
    <w:rsid w:val="00577A30"/>
    <w:rsid w:val="00580391"/>
    <w:rsid w:val="0058107A"/>
    <w:rsid w:val="00581447"/>
    <w:rsid w:val="005814C8"/>
    <w:rsid w:val="00582110"/>
    <w:rsid w:val="005822C6"/>
    <w:rsid w:val="005826A0"/>
    <w:rsid w:val="00582DC1"/>
    <w:rsid w:val="00584271"/>
    <w:rsid w:val="0058486D"/>
    <w:rsid w:val="00584FCD"/>
    <w:rsid w:val="00585077"/>
    <w:rsid w:val="00585459"/>
    <w:rsid w:val="005854E1"/>
    <w:rsid w:val="00585B57"/>
    <w:rsid w:val="00585FC0"/>
    <w:rsid w:val="00586FD9"/>
    <w:rsid w:val="005905BF"/>
    <w:rsid w:val="00592A6A"/>
    <w:rsid w:val="00592C54"/>
    <w:rsid w:val="00592E80"/>
    <w:rsid w:val="0059414A"/>
    <w:rsid w:val="00594628"/>
    <w:rsid w:val="005959CC"/>
    <w:rsid w:val="00595D75"/>
    <w:rsid w:val="00597B71"/>
    <w:rsid w:val="005A0740"/>
    <w:rsid w:val="005A0B72"/>
    <w:rsid w:val="005A22ED"/>
    <w:rsid w:val="005A2E7A"/>
    <w:rsid w:val="005A3673"/>
    <w:rsid w:val="005A4036"/>
    <w:rsid w:val="005A4583"/>
    <w:rsid w:val="005A5598"/>
    <w:rsid w:val="005A5C73"/>
    <w:rsid w:val="005A5DA1"/>
    <w:rsid w:val="005A61DE"/>
    <w:rsid w:val="005A71D8"/>
    <w:rsid w:val="005A758C"/>
    <w:rsid w:val="005A798F"/>
    <w:rsid w:val="005A7DF7"/>
    <w:rsid w:val="005B1F8D"/>
    <w:rsid w:val="005B3100"/>
    <w:rsid w:val="005B3963"/>
    <w:rsid w:val="005B3D5C"/>
    <w:rsid w:val="005B524D"/>
    <w:rsid w:val="005B7586"/>
    <w:rsid w:val="005B789E"/>
    <w:rsid w:val="005C0D6D"/>
    <w:rsid w:val="005C12D8"/>
    <w:rsid w:val="005C14F6"/>
    <w:rsid w:val="005C3B58"/>
    <w:rsid w:val="005C530C"/>
    <w:rsid w:val="005C54C6"/>
    <w:rsid w:val="005C580D"/>
    <w:rsid w:val="005C6649"/>
    <w:rsid w:val="005C69AA"/>
    <w:rsid w:val="005C7AB2"/>
    <w:rsid w:val="005C7C28"/>
    <w:rsid w:val="005D37F7"/>
    <w:rsid w:val="005D3F82"/>
    <w:rsid w:val="005D4267"/>
    <w:rsid w:val="005D67EA"/>
    <w:rsid w:val="005D78D6"/>
    <w:rsid w:val="005E0292"/>
    <w:rsid w:val="005E10AB"/>
    <w:rsid w:val="005E143D"/>
    <w:rsid w:val="005E1AA0"/>
    <w:rsid w:val="005E25C4"/>
    <w:rsid w:val="005E41AB"/>
    <w:rsid w:val="005E442C"/>
    <w:rsid w:val="005E527D"/>
    <w:rsid w:val="005E616E"/>
    <w:rsid w:val="005F0ECD"/>
    <w:rsid w:val="005F184A"/>
    <w:rsid w:val="005F22F7"/>
    <w:rsid w:val="005F2D8A"/>
    <w:rsid w:val="005F4986"/>
    <w:rsid w:val="005F524B"/>
    <w:rsid w:val="006005E1"/>
    <w:rsid w:val="0060138C"/>
    <w:rsid w:val="006015F2"/>
    <w:rsid w:val="00601DF8"/>
    <w:rsid w:val="006035EA"/>
    <w:rsid w:val="00604968"/>
    <w:rsid w:val="00604B4D"/>
    <w:rsid w:val="006053D0"/>
    <w:rsid w:val="006059FC"/>
    <w:rsid w:val="0060686F"/>
    <w:rsid w:val="00610A0D"/>
    <w:rsid w:val="00613B0B"/>
    <w:rsid w:val="00613F1F"/>
    <w:rsid w:val="00615618"/>
    <w:rsid w:val="00615829"/>
    <w:rsid w:val="0061606A"/>
    <w:rsid w:val="00616AE0"/>
    <w:rsid w:val="00617A46"/>
    <w:rsid w:val="00620463"/>
    <w:rsid w:val="00620BBC"/>
    <w:rsid w:val="0062167B"/>
    <w:rsid w:val="00622319"/>
    <w:rsid w:val="00626110"/>
    <w:rsid w:val="00631AF9"/>
    <w:rsid w:val="00631F3E"/>
    <w:rsid w:val="006324F5"/>
    <w:rsid w:val="00632B58"/>
    <w:rsid w:val="00632F14"/>
    <w:rsid w:val="00633736"/>
    <w:rsid w:val="00634291"/>
    <w:rsid w:val="00635858"/>
    <w:rsid w:val="00635B7E"/>
    <w:rsid w:val="00636614"/>
    <w:rsid w:val="00636697"/>
    <w:rsid w:val="006367E1"/>
    <w:rsid w:val="00637BC8"/>
    <w:rsid w:val="00637ED0"/>
    <w:rsid w:val="0064193B"/>
    <w:rsid w:val="00641F46"/>
    <w:rsid w:val="00644B83"/>
    <w:rsid w:val="00644DDD"/>
    <w:rsid w:val="00644E36"/>
    <w:rsid w:val="006460AA"/>
    <w:rsid w:val="00646F70"/>
    <w:rsid w:val="0064705A"/>
    <w:rsid w:val="006516E0"/>
    <w:rsid w:val="006533FA"/>
    <w:rsid w:val="00653832"/>
    <w:rsid w:val="00653FD1"/>
    <w:rsid w:val="00654CD2"/>
    <w:rsid w:val="00655EF4"/>
    <w:rsid w:val="006570E4"/>
    <w:rsid w:val="006572DD"/>
    <w:rsid w:val="00660C4B"/>
    <w:rsid w:val="00661F22"/>
    <w:rsid w:val="00662162"/>
    <w:rsid w:val="00662E84"/>
    <w:rsid w:val="00662F46"/>
    <w:rsid w:val="00664572"/>
    <w:rsid w:val="00665535"/>
    <w:rsid w:val="00665C97"/>
    <w:rsid w:val="00670D9F"/>
    <w:rsid w:val="006719CA"/>
    <w:rsid w:val="00673DAC"/>
    <w:rsid w:val="006744A3"/>
    <w:rsid w:val="006749CA"/>
    <w:rsid w:val="0067521E"/>
    <w:rsid w:val="00675709"/>
    <w:rsid w:val="00675EFF"/>
    <w:rsid w:val="00676351"/>
    <w:rsid w:val="006763ED"/>
    <w:rsid w:val="00682B4F"/>
    <w:rsid w:val="00684572"/>
    <w:rsid w:val="00685FB1"/>
    <w:rsid w:val="00686E22"/>
    <w:rsid w:val="00686FC8"/>
    <w:rsid w:val="00687C8E"/>
    <w:rsid w:val="00690ADC"/>
    <w:rsid w:val="00691041"/>
    <w:rsid w:val="0069117D"/>
    <w:rsid w:val="00691485"/>
    <w:rsid w:val="006927D5"/>
    <w:rsid w:val="00692DC1"/>
    <w:rsid w:val="00692DEF"/>
    <w:rsid w:val="006933E5"/>
    <w:rsid w:val="006940E0"/>
    <w:rsid w:val="006947B7"/>
    <w:rsid w:val="00695385"/>
    <w:rsid w:val="00695F69"/>
    <w:rsid w:val="0069601D"/>
    <w:rsid w:val="00696075"/>
    <w:rsid w:val="00696408"/>
    <w:rsid w:val="00697C9E"/>
    <w:rsid w:val="006A0BC7"/>
    <w:rsid w:val="006A0C52"/>
    <w:rsid w:val="006A19DE"/>
    <w:rsid w:val="006A3017"/>
    <w:rsid w:val="006A40FF"/>
    <w:rsid w:val="006A4325"/>
    <w:rsid w:val="006A4E25"/>
    <w:rsid w:val="006A5969"/>
    <w:rsid w:val="006A7925"/>
    <w:rsid w:val="006A7CB0"/>
    <w:rsid w:val="006B0BEB"/>
    <w:rsid w:val="006B3120"/>
    <w:rsid w:val="006B4050"/>
    <w:rsid w:val="006B4E17"/>
    <w:rsid w:val="006B72C6"/>
    <w:rsid w:val="006C1ECE"/>
    <w:rsid w:val="006C23AB"/>
    <w:rsid w:val="006C324B"/>
    <w:rsid w:val="006C77C7"/>
    <w:rsid w:val="006D164D"/>
    <w:rsid w:val="006D1ACF"/>
    <w:rsid w:val="006D2C02"/>
    <w:rsid w:val="006D30F4"/>
    <w:rsid w:val="006D4A0F"/>
    <w:rsid w:val="006D57F2"/>
    <w:rsid w:val="006D5ABD"/>
    <w:rsid w:val="006D5ED4"/>
    <w:rsid w:val="006D5F2C"/>
    <w:rsid w:val="006D7F3B"/>
    <w:rsid w:val="006D7F44"/>
    <w:rsid w:val="006E23BE"/>
    <w:rsid w:val="006E2C33"/>
    <w:rsid w:val="006E33FC"/>
    <w:rsid w:val="006E43E7"/>
    <w:rsid w:val="006E6A9C"/>
    <w:rsid w:val="006F2549"/>
    <w:rsid w:val="006F25A4"/>
    <w:rsid w:val="006F25D9"/>
    <w:rsid w:val="006F298C"/>
    <w:rsid w:val="006F2B80"/>
    <w:rsid w:val="006F35E2"/>
    <w:rsid w:val="006F3783"/>
    <w:rsid w:val="006F4DB9"/>
    <w:rsid w:val="006F5977"/>
    <w:rsid w:val="006F5CD9"/>
    <w:rsid w:val="006F62B7"/>
    <w:rsid w:val="006F66B2"/>
    <w:rsid w:val="006F6817"/>
    <w:rsid w:val="006F759F"/>
    <w:rsid w:val="00701DBE"/>
    <w:rsid w:val="007039B0"/>
    <w:rsid w:val="00703CAC"/>
    <w:rsid w:val="007044E7"/>
    <w:rsid w:val="0070451C"/>
    <w:rsid w:val="007067B2"/>
    <w:rsid w:val="007067F4"/>
    <w:rsid w:val="0071006E"/>
    <w:rsid w:val="007100AE"/>
    <w:rsid w:val="0071190A"/>
    <w:rsid w:val="00711D1C"/>
    <w:rsid w:val="007128A8"/>
    <w:rsid w:val="00712F3E"/>
    <w:rsid w:val="0071591D"/>
    <w:rsid w:val="007166F2"/>
    <w:rsid w:val="007204D4"/>
    <w:rsid w:val="007213F1"/>
    <w:rsid w:val="00721597"/>
    <w:rsid w:val="007236F2"/>
    <w:rsid w:val="00723BCB"/>
    <w:rsid w:val="00724BD8"/>
    <w:rsid w:val="00725DBB"/>
    <w:rsid w:val="00726555"/>
    <w:rsid w:val="00726CE5"/>
    <w:rsid w:val="00726FCE"/>
    <w:rsid w:val="007278D8"/>
    <w:rsid w:val="007330AA"/>
    <w:rsid w:val="007335A6"/>
    <w:rsid w:val="007343D7"/>
    <w:rsid w:val="00734AC3"/>
    <w:rsid w:val="00736196"/>
    <w:rsid w:val="00736A4A"/>
    <w:rsid w:val="007377BB"/>
    <w:rsid w:val="00737DB0"/>
    <w:rsid w:val="00741889"/>
    <w:rsid w:val="00742B89"/>
    <w:rsid w:val="00746158"/>
    <w:rsid w:val="007473EE"/>
    <w:rsid w:val="00747D1D"/>
    <w:rsid w:val="00750424"/>
    <w:rsid w:val="00752435"/>
    <w:rsid w:val="0075309C"/>
    <w:rsid w:val="00755C21"/>
    <w:rsid w:val="00756074"/>
    <w:rsid w:val="007563E6"/>
    <w:rsid w:val="00756D88"/>
    <w:rsid w:val="007577B3"/>
    <w:rsid w:val="00761447"/>
    <w:rsid w:val="00761481"/>
    <w:rsid w:val="00762216"/>
    <w:rsid w:val="00763BC3"/>
    <w:rsid w:val="00763D0B"/>
    <w:rsid w:val="00764161"/>
    <w:rsid w:val="00764911"/>
    <w:rsid w:val="00764921"/>
    <w:rsid w:val="00764EA6"/>
    <w:rsid w:val="00765E5F"/>
    <w:rsid w:val="00766B4C"/>
    <w:rsid w:val="007679EC"/>
    <w:rsid w:val="00767A64"/>
    <w:rsid w:val="00770427"/>
    <w:rsid w:val="00772110"/>
    <w:rsid w:val="007728B1"/>
    <w:rsid w:val="007744A7"/>
    <w:rsid w:val="007772CA"/>
    <w:rsid w:val="0078092E"/>
    <w:rsid w:val="00780E01"/>
    <w:rsid w:val="00780E75"/>
    <w:rsid w:val="00781A61"/>
    <w:rsid w:val="00781F10"/>
    <w:rsid w:val="00784F31"/>
    <w:rsid w:val="00785971"/>
    <w:rsid w:val="00790043"/>
    <w:rsid w:val="007906EE"/>
    <w:rsid w:val="00790736"/>
    <w:rsid w:val="00792130"/>
    <w:rsid w:val="00793A58"/>
    <w:rsid w:val="00794F08"/>
    <w:rsid w:val="00795C39"/>
    <w:rsid w:val="00796523"/>
    <w:rsid w:val="00796BA1"/>
    <w:rsid w:val="007970CF"/>
    <w:rsid w:val="00797203"/>
    <w:rsid w:val="00797472"/>
    <w:rsid w:val="007A025E"/>
    <w:rsid w:val="007A0389"/>
    <w:rsid w:val="007A0876"/>
    <w:rsid w:val="007A1A92"/>
    <w:rsid w:val="007A29BD"/>
    <w:rsid w:val="007A4BCE"/>
    <w:rsid w:val="007A4C34"/>
    <w:rsid w:val="007A4CBC"/>
    <w:rsid w:val="007A5A24"/>
    <w:rsid w:val="007A6CA8"/>
    <w:rsid w:val="007A6E9E"/>
    <w:rsid w:val="007A755F"/>
    <w:rsid w:val="007B18B2"/>
    <w:rsid w:val="007B3ECB"/>
    <w:rsid w:val="007B4FAC"/>
    <w:rsid w:val="007B6433"/>
    <w:rsid w:val="007B6C75"/>
    <w:rsid w:val="007B6E53"/>
    <w:rsid w:val="007B70F7"/>
    <w:rsid w:val="007B7DBB"/>
    <w:rsid w:val="007C0C47"/>
    <w:rsid w:val="007C0CE7"/>
    <w:rsid w:val="007C140D"/>
    <w:rsid w:val="007C5387"/>
    <w:rsid w:val="007C5FCD"/>
    <w:rsid w:val="007D0E96"/>
    <w:rsid w:val="007D2024"/>
    <w:rsid w:val="007D24D3"/>
    <w:rsid w:val="007D3DC3"/>
    <w:rsid w:val="007D3E67"/>
    <w:rsid w:val="007D46F3"/>
    <w:rsid w:val="007D52C8"/>
    <w:rsid w:val="007D6295"/>
    <w:rsid w:val="007D64F4"/>
    <w:rsid w:val="007D6F59"/>
    <w:rsid w:val="007D7714"/>
    <w:rsid w:val="007D7E87"/>
    <w:rsid w:val="007E10E2"/>
    <w:rsid w:val="007E1172"/>
    <w:rsid w:val="007E1503"/>
    <w:rsid w:val="007E1732"/>
    <w:rsid w:val="007E1A73"/>
    <w:rsid w:val="007E225B"/>
    <w:rsid w:val="007E3578"/>
    <w:rsid w:val="007E39AE"/>
    <w:rsid w:val="007E5148"/>
    <w:rsid w:val="007E5DAE"/>
    <w:rsid w:val="007E6C49"/>
    <w:rsid w:val="007E71E9"/>
    <w:rsid w:val="007E730D"/>
    <w:rsid w:val="007E771F"/>
    <w:rsid w:val="007E7E91"/>
    <w:rsid w:val="007F0BC3"/>
    <w:rsid w:val="007F1495"/>
    <w:rsid w:val="007F3856"/>
    <w:rsid w:val="007F51DC"/>
    <w:rsid w:val="007F554B"/>
    <w:rsid w:val="007F5DE7"/>
    <w:rsid w:val="007F6039"/>
    <w:rsid w:val="007F679A"/>
    <w:rsid w:val="00801912"/>
    <w:rsid w:val="008036C7"/>
    <w:rsid w:val="0080430D"/>
    <w:rsid w:val="00804E40"/>
    <w:rsid w:val="00804E7F"/>
    <w:rsid w:val="008052EA"/>
    <w:rsid w:val="00805D26"/>
    <w:rsid w:val="008100BC"/>
    <w:rsid w:val="00810123"/>
    <w:rsid w:val="00810A23"/>
    <w:rsid w:val="00810C43"/>
    <w:rsid w:val="0081143E"/>
    <w:rsid w:val="00811804"/>
    <w:rsid w:val="008138F6"/>
    <w:rsid w:val="00813BEE"/>
    <w:rsid w:val="00814437"/>
    <w:rsid w:val="00815779"/>
    <w:rsid w:val="008159C2"/>
    <w:rsid w:val="00815D29"/>
    <w:rsid w:val="00815F5D"/>
    <w:rsid w:val="00817EA7"/>
    <w:rsid w:val="00821322"/>
    <w:rsid w:val="008215DF"/>
    <w:rsid w:val="008226BE"/>
    <w:rsid w:val="00822C83"/>
    <w:rsid w:val="00825BEC"/>
    <w:rsid w:val="00827A3A"/>
    <w:rsid w:val="00831EB7"/>
    <w:rsid w:val="0083200B"/>
    <w:rsid w:val="00832E9E"/>
    <w:rsid w:val="0083335E"/>
    <w:rsid w:val="00833509"/>
    <w:rsid w:val="0083389B"/>
    <w:rsid w:val="00834007"/>
    <w:rsid w:val="0083488E"/>
    <w:rsid w:val="0083785E"/>
    <w:rsid w:val="00842143"/>
    <w:rsid w:val="0084226D"/>
    <w:rsid w:val="00843FCF"/>
    <w:rsid w:val="0084404A"/>
    <w:rsid w:val="0084423A"/>
    <w:rsid w:val="0084670B"/>
    <w:rsid w:val="008468F6"/>
    <w:rsid w:val="008474BA"/>
    <w:rsid w:val="008509E5"/>
    <w:rsid w:val="00851205"/>
    <w:rsid w:val="00851CF5"/>
    <w:rsid w:val="00851E2D"/>
    <w:rsid w:val="00852B8A"/>
    <w:rsid w:val="00852C44"/>
    <w:rsid w:val="0085344E"/>
    <w:rsid w:val="0085381E"/>
    <w:rsid w:val="00855AB8"/>
    <w:rsid w:val="008565DD"/>
    <w:rsid w:val="00860064"/>
    <w:rsid w:val="008609F5"/>
    <w:rsid w:val="008628A1"/>
    <w:rsid w:val="00862D92"/>
    <w:rsid w:val="00864D78"/>
    <w:rsid w:val="00865408"/>
    <w:rsid w:val="00865567"/>
    <w:rsid w:val="00865723"/>
    <w:rsid w:val="00865BA5"/>
    <w:rsid w:val="00867BE8"/>
    <w:rsid w:val="00870BD9"/>
    <w:rsid w:val="00871418"/>
    <w:rsid w:val="00871EA8"/>
    <w:rsid w:val="0087239D"/>
    <w:rsid w:val="00873EC5"/>
    <w:rsid w:val="00873FE7"/>
    <w:rsid w:val="00874BF1"/>
    <w:rsid w:val="00876E28"/>
    <w:rsid w:val="00877373"/>
    <w:rsid w:val="00877671"/>
    <w:rsid w:val="008776D2"/>
    <w:rsid w:val="00877A6B"/>
    <w:rsid w:val="008806DA"/>
    <w:rsid w:val="00880D34"/>
    <w:rsid w:val="00881D74"/>
    <w:rsid w:val="00882995"/>
    <w:rsid w:val="00882FC9"/>
    <w:rsid w:val="008837A7"/>
    <w:rsid w:val="008844C6"/>
    <w:rsid w:val="00884BEC"/>
    <w:rsid w:val="008851AA"/>
    <w:rsid w:val="008856C0"/>
    <w:rsid w:val="00885E02"/>
    <w:rsid w:val="00886A02"/>
    <w:rsid w:val="00886A6D"/>
    <w:rsid w:val="00890562"/>
    <w:rsid w:val="008906E1"/>
    <w:rsid w:val="00893B77"/>
    <w:rsid w:val="00894028"/>
    <w:rsid w:val="00894440"/>
    <w:rsid w:val="0089456C"/>
    <w:rsid w:val="0089457F"/>
    <w:rsid w:val="008950EB"/>
    <w:rsid w:val="00896739"/>
    <w:rsid w:val="00896846"/>
    <w:rsid w:val="008A0556"/>
    <w:rsid w:val="008A15FF"/>
    <w:rsid w:val="008A18FB"/>
    <w:rsid w:val="008A226E"/>
    <w:rsid w:val="008A2DD7"/>
    <w:rsid w:val="008A3BDD"/>
    <w:rsid w:val="008A4841"/>
    <w:rsid w:val="008A4E34"/>
    <w:rsid w:val="008A5317"/>
    <w:rsid w:val="008A5C14"/>
    <w:rsid w:val="008A5CFA"/>
    <w:rsid w:val="008A7504"/>
    <w:rsid w:val="008B104F"/>
    <w:rsid w:val="008B3934"/>
    <w:rsid w:val="008B3DD3"/>
    <w:rsid w:val="008B49B8"/>
    <w:rsid w:val="008B58D3"/>
    <w:rsid w:val="008B6D95"/>
    <w:rsid w:val="008B6EC3"/>
    <w:rsid w:val="008B746C"/>
    <w:rsid w:val="008C1116"/>
    <w:rsid w:val="008C1953"/>
    <w:rsid w:val="008C1F65"/>
    <w:rsid w:val="008C26C5"/>
    <w:rsid w:val="008C39B8"/>
    <w:rsid w:val="008C3FA8"/>
    <w:rsid w:val="008C404D"/>
    <w:rsid w:val="008C4A3A"/>
    <w:rsid w:val="008C5D23"/>
    <w:rsid w:val="008C5F71"/>
    <w:rsid w:val="008C618A"/>
    <w:rsid w:val="008C6C10"/>
    <w:rsid w:val="008C6CF1"/>
    <w:rsid w:val="008D1D21"/>
    <w:rsid w:val="008D264F"/>
    <w:rsid w:val="008D3BDE"/>
    <w:rsid w:val="008D421F"/>
    <w:rsid w:val="008D4789"/>
    <w:rsid w:val="008D4C85"/>
    <w:rsid w:val="008D52D0"/>
    <w:rsid w:val="008D5600"/>
    <w:rsid w:val="008D6228"/>
    <w:rsid w:val="008D66ED"/>
    <w:rsid w:val="008D695D"/>
    <w:rsid w:val="008E03D4"/>
    <w:rsid w:val="008E0D90"/>
    <w:rsid w:val="008E252D"/>
    <w:rsid w:val="008E274F"/>
    <w:rsid w:val="008E3190"/>
    <w:rsid w:val="008E34D9"/>
    <w:rsid w:val="008E40B0"/>
    <w:rsid w:val="008E41DD"/>
    <w:rsid w:val="008E7BEC"/>
    <w:rsid w:val="008F009E"/>
    <w:rsid w:val="008F052B"/>
    <w:rsid w:val="008F1C9B"/>
    <w:rsid w:val="008F2787"/>
    <w:rsid w:val="008F4C18"/>
    <w:rsid w:val="008F5118"/>
    <w:rsid w:val="008F5922"/>
    <w:rsid w:val="008F75CA"/>
    <w:rsid w:val="008F789D"/>
    <w:rsid w:val="00901CC4"/>
    <w:rsid w:val="00902560"/>
    <w:rsid w:val="00902DE0"/>
    <w:rsid w:val="00905CCF"/>
    <w:rsid w:val="009063B9"/>
    <w:rsid w:val="009064B2"/>
    <w:rsid w:val="0091013A"/>
    <w:rsid w:val="009109F7"/>
    <w:rsid w:val="00911EBA"/>
    <w:rsid w:val="009124BF"/>
    <w:rsid w:val="00912C19"/>
    <w:rsid w:val="00912D48"/>
    <w:rsid w:val="00914551"/>
    <w:rsid w:val="0091629B"/>
    <w:rsid w:val="0091739A"/>
    <w:rsid w:val="00917855"/>
    <w:rsid w:val="009209B1"/>
    <w:rsid w:val="00920C37"/>
    <w:rsid w:val="00921177"/>
    <w:rsid w:val="0092128F"/>
    <w:rsid w:val="009223BE"/>
    <w:rsid w:val="00923A77"/>
    <w:rsid w:val="00923B5D"/>
    <w:rsid w:val="00924129"/>
    <w:rsid w:val="00924759"/>
    <w:rsid w:val="00926A1B"/>
    <w:rsid w:val="009279D6"/>
    <w:rsid w:val="00932809"/>
    <w:rsid w:val="009347C0"/>
    <w:rsid w:val="00935762"/>
    <w:rsid w:val="00935967"/>
    <w:rsid w:val="00936947"/>
    <w:rsid w:val="00937752"/>
    <w:rsid w:val="00937E2C"/>
    <w:rsid w:val="009405C7"/>
    <w:rsid w:val="00943119"/>
    <w:rsid w:val="00943AC6"/>
    <w:rsid w:val="00944E60"/>
    <w:rsid w:val="00945CE5"/>
    <w:rsid w:val="00946271"/>
    <w:rsid w:val="00946427"/>
    <w:rsid w:val="00946770"/>
    <w:rsid w:val="009471CC"/>
    <w:rsid w:val="009471D7"/>
    <w:rsid w:val="00947957"/>
    <w:rsid w:val="00947A0E"/>
    <w:rsid w:val="00950A5A"/>
    <w:rsid w:val="00953628"/>
    <w:rsid w:val="009540AD"/>
    <w:rsid w:val="00955450"/>
    <w:rsid w:val="009561DA"/>
    <w:rsid w:val="009572B1"/>
    <w:rsid w:val="00957EC0"/>
    <w:rsid w:val="00960ECF"/>
    <w:rsid w:val="00961600"/>
    <w:rsid w:val="00962D37"/>
    <w:rsid w:val="00963511"/>
    <w:rsid w:val="0096473A"/>
    <w:rsid w:val="009662A1"/>
    <w:rsid w:val="009672A6"/>
    <w:rsid w:val="0097026E"/>
    <w:rsid w:val="00970E46"/>
    <w:rsid w:val="00970F3F"/>
    <w:rsid w:val="009728E8"/>
    <w:rsid w:val="009739E5"/>
    <w:rsid w:val="00973B5E"/>
    <w:rsid w:val="00975D10"/>
    <w:rsid w:val="00975DB6"/>
    <w:rsid w:val="00976023"/>
    <w:rsid w:val="00983504"/>
    <w:rsid w:val="009846C5"/>
    <w:rsid w:val="00986DD0"/>
    <w:rsid w:val="00986FAD"/>
    <w:rsid w:val="00987732"/>
    <w:rsid w:val="0098775C"/>
    <w:rsid w:val="009900F2"/>
    <w:rsid w:val="009903F3"/>
    <w:rsid w:val="009904E0"/>
    <w:rsid w:val="0099078B"/>
    <w:rsid w:val="00990C17"/>
    <w:rsid w:val="009923ED"/>
    <w:rsid w:val="00992B3C"/>
    <w:rsid w:val="00994567"/>
    <w:rsid w:val="00995545"/>
    <w:rsid w:val="00996EC5"/>
    <w:rsid w:val="00996EF4"/>
    <w:rsid w:val="00997C98"/>
    <w:rsid w:val="009A1211"/>
    <w:rsid w:val="009A2452"/>
    <w:rsid w:val="009A28E8"/>
    <w:rsid w:val="009A4102"/>
    <w:rsid w:val="009A4421"/>
    <w:rsid w:val="009A4789"/>
    <w:rsid w:val="009A511F"/>
    <w:rsid w:val="009A6D1F"/>
    <w:rsid w:val="009A6E66"/>
    <w:rsid w:val="009A7D62"/>
    <w:rsid w:val="009B162A"/>
    <w:rsid w:val="009B2840"/>
    <w:rsid w:val="009B34B7"/>
    <w:rsid w:val="009B48D0"/>
    <w:rsid w:val="009B5781"/>
    <w:rsid w:val="009B5E53"/>
    <w:rsid w:val="009B5E56"/>
    <w:rsid w:val="009B716C"/>
    <w:rsid w:val="009B72B9"/>
    <w:rsid w:val="009B72F2"/>
    <w:rsid w:val="009B79E3"/>
    <w:rsid w:val="009B7C25"/>
    <w:rsid w:val="009C049B"/>
    <w:rsid w:val="009C14AF"/>
    <w:rsid w:val="009C1D0A"/>
    <w:rsid w:val="009C36E2"/>
    <w:rsid w:val="009C48B8"/>
    <w:rsid w:val="009C4C54"/>
    <w:rsid w:val="009C5365"/>
    <w:rsid w:val="009C62E4"/>
    <w:rsid w:val="009C639D"/>
    <w:rsid w:val="009C6AC4"/>
    <w:rsid w:val="009C7552"/>
    <w:rsid w:val="009C7556"/>
    <w:rsid w:val="009D17E6"/>
    <w:rsid w:val="009D4D0E"/>
    <w:rsid w:val="009D54A9"/>
    <w:rsid w:val="009D7234"/>
    <w:rsid w:val="009D7754"/>
    <w:rsid w:val="009E0F23"/>
    <w:rsid w:val="009E0F26"/>
    <w:rsid w:val="009E1D9E"/>
    <w:rsid w:val="009E1DEA"/>
    <w:rsid w:val="009E24DF"/>
    <w:rsid w:val="009E29A5"/>
    <w:rsid w:val="009E3784"/>
    <w:rsid w:val="009E39A7"/>
    <w:rsid w:val="009E4067"/>
    <w:rsid w:val="009E47D8"/>
    <w:rsid w:val="009E55BC"/>
    <w:rsid w:val="009E6041"/>
    <w:rsid w:val="009E6C74"/>
    <w:rsid w:val="009E7588"/>
    <w:rsid w:val="009F0D3E"/>
    <w:rsid w:val="009F0E16"/>
    <w:rsid w:val="009F5AED"/>
    <w:rsid w:val="009F5BAE"/>
    <w:rsid w:val="009F6389"/>
    <w:rsid w:val="009F7F83"/>
    <w:rsid w:val="00A01C8F"/>
    <w:rsid w:val="00A022A4"/>
    <w:rsid w:val="00A02924"/>
    <w:rsid w:val="00A02BAE"/>
    <w:rsid w:val="00A0382A"/>
    <w:rsid w:val="00A05FC5"/>
    <w:rsid w:val="00A06672"/>
    <w:rsid w:val="00A068F9"/>
    <w:rsid w:val="00A06DB7"/>
    <w:rsid w:val="00A07621"/>
    <w:rsid w:val="00A12D88"/>
    <w:rsid w:val="00A1440E"/>
    <w:rsid w:val="00A1483F"/>
    <w:rsid w:val="00A14B5E"/>
    <w:rsid w:val="00A16B00"/>
    <w:rsid w:val="00A17002"/>
    <w:rsid w:val="00A17B0F"/>
    <w:rsid w:val="00A21132"/>
    <w:rsid w:val="00A22D1A"/>
    <w:rsid w:val="00A22FB0"/>
    <w:rsid w:val="00A2307D"/>
    <w:rsid w:val="00A23B00"/>
    <w:rsid w:val="00A23CB3"/>
    <w:rsid w:val="00A2521C"/>
    <w:rsid w:val="00A25747"/>
    <w:rsid w:val="00A25785"/>
    <w:rsid w:val="00A276CD"/>
    <w:rsid w:val="00A34E24"/>
    <w:rsid w:val="00A3523B"/>
    <w:rsid w:val="00A36CE6"/>
    <w:rsid w:val="00A3716D"/>
    <w:rsid w:val="00A377B7"/>
    <w:rsid w:val="00A37DE6"/>
    <w:rsid w:val="00A37E7B"/>
    <w:rsid w:val="00A4006A"/>
    <w:rsid w:val="00A405A6"/>
    <w:rsid w:val="00A42042"/>
    <w:rsid w:val="00A42A41"/>
    <w:rsid w:val="00A42E2C"/>
    <w:rsid w:val="00A436E6"/>
    <w:rsid w:val="00A43A86"/>
    <w:rsid w:val="00A447CD"/>
    <w:rsid w:val="00A4632A"/>
    <w:rsid w:val="00A464BB"/>
    <w:rsid w:val="00A46F7E"/>
    <w:rsid w:val="00A515A9"/>
    <w:rsid w:val="00A51E78"/>
    <w:rsid w:val="00A529A2"/>
    <w:rsid w:val="00A52CAF"/>
    <w:rsid w:val="00A52CB6"/>
    <w:rsid w:val="00A54FFC"/>
    <w:rsid w:val="00A56452"/>
    <w:rsid w:val="00A56F35"/>
    <w:rsid w:val="00A60779"/>
    <w:rsid w:val="00A60B00"/>
    <w:rsid w:val="00A65463"/>
    <w:rsid w:val="00A65A00"/>
    <w:rsid w:val="00A67E5D"/>
    <w:rsid w:val="00A704F2"/>
    <w:rsid w:val="00A709F1"/>
    <w:rsid w:val="00A7145F"/>
    <w:rsid w:val="00A733E5"/>
    <w:rsid w:val="00A74882"/>
    <w:rsid w:val="00A75C82"/>
    <w:rsid w:val="00A76580"/>
    <w:rsid w:val="00A76D56"/>
    <w:rsid w:val="00A771FB"/>
    <w:rsid w:val="00A80C5C"/>
    <w:rsid w:val="00A80F36"/>
    <w:rsid w:val="00A813D8"/>
    <w:rsid w:val="00A8337E"/>
    <w:rsid w:val="00A835B0"/>
    <w:rsid w:val="00A83B6C"/>
    <w:rsid w:val="00A83D11"/>
    <w:rsid w:val="00A852A7"/>
    <w:rsid w:val="00A85631"/>
    <w:rsid w:val="00A85FEB"/>
    <w:rsid w:val="00A865EC"/>
    <w:rsid w:val="00A86A9C"/>
    <w:rsid w:val="00A8780E"/>
    <w:rsid w:val="00A900F1"/>
    <w:rsid w:val="00A90139"/>
    <w:rsid w:val="00A918C5"/>
    <w:rsid w:val="00A919AD"/>
    <w:rsid w:val="00A922EF"/>
    <w:rsid w:val="00A930B7"/>
    <w:rsid w:val="00A953FB"/>
    <w:rsid w:val="00A959E9"/>
    <w:rsid w:val="00A97022"/>
    <w:rsid w:val="00A97768"/>
    <w:rsid w:val="00AA00E3"/>
    <w:rsid w:val="00AA093E"/>
    <w:rsid w:val="00AA2E07"/>
    <w:rsid w:val="00AA3CEB"/>
    <w:rsid w:val="00AA53CB"/>
    <w:rsid w:val="00AA6872"/>
    <w:rsid w:val="00AB21C0"/>
    <w:rsid w:val="00AB2B94"/>
    <w:rsid w:val="00AB57C5"/>
    <w:rsid w:val="00AB62CD"/>
    <w:rsid w:val="00AB657F"/>
    <w:rsid w:val="00AB77CE"/>
    <w:rsid w:val="00AC03BB"/>
    <w:rsid w:val="00AC2449"/>
    <w:rsid w:val="00AC36FF"/>
    <w:rsid w:val="00AC3A15"/>
    <w:rsid w:val="00AC4808"/>
    <w:rsid w:val="00AC49EA"/>
    <w:rsid w:val="00AC4BD9"/>
    <w:rsid w:val="00AC706F"/>
    <w:rsid w:val="00AD0725"/>
    <w:rsid w:val="00AD11E5"/>
    <w:rsid w:val="00AD15F3"/>
    <w:rsid w:val="00AD18BB"/>
    <w:rsid w:val="00AD3AA9"/>
    <w:rsid w:val="00AD5475"/>
    <w:rsid w:val="00AD548D"/>
    <w:rsid w:val="00AD7426"/>
    <w:rsid w:val="00AD74F8"/>
    <w:rsid w:val="00AD762B"/>
    <w:rsid w:val="00AD7D39"/>
    <w:rsid w:val="00AE1D0E"/>
    <w:rsid w:val="00AE238B"/>
    <w:rsid w:val="00AE243A"/>
    <w:rsid w:val="00AE4DBB"/>
    <w:rsid w:val="00AE5AD3"/>
    <w:rsid w:val="00AE67F5"/>
    <w:rsid w:val="00AF178B"/>
    <w:rsid w:val="00AF3136"/>
    <w:rsid w:val="00AF3B27"/>
    <w:rsid w:val="00AF3D06"/>
    <w:rsid w:val="00AF43D4"/>
    <w:rsid w:val="00AF44A5"/>
    <w:rsid w:val="00AF530D"/>
    <w:rsid w:val="00AF713F"/>
    <w:rsid w:val="00B00628"/>
    <w:rsid w:val="00B009B6"/>
    <w:rsid w:val="00B026A7"/>
    <w:rsid w:val="00B037DF"/>
    <w:rsid w:val="00B04AD0"/>
    <w:rsid w:val="00B04F3F"/>
    <w:rsid w:val="00B05564"/>
    <w:rsid w:val="00B0587F"/>
    <w:rsid w:val="00B0591D"/>
    <w:rsid w:val="00B10A93"/>
    <w:rsid w:val="00B11B80"/>
    <w:rsid w:val="00B1225B"/>
    <w:rsid w:val="00B13E07"/>
    <w:rsid w:val="00B14B87"/>
    <w:rsid w:val="00B15069"/>
    <w:rsid w:val="00B17FFC"/>
    <w:rsid w:val="00B2055F"/>
    <w:rsid w:val="00B20B09"/>
    <w:rsid w:val="00B218E8"/>
    <w:rsid w:val="00B2348A"/>
    <w:rsid w:val="00B23BD2"/>
    <w:rsid w:val="00B25541"/>
    <w:rsid w:val="00B25575"/>
    <w:rsid w:val="00B26B6C"/>
    <w:rsid w:val="00B2727E"/>
    <w:rsid w:val="00B27983"/>
    <w:rsid w:val="00B30A96"/>
    <w:rsid w:val="00B30CA8"/>
    <w:rsid w:val="00B31A55"/>
    <w:rsid w:val="00B32A92"/>
    <w:rsid w:val="00B33092"/>
    <w:rsid w:val="00B34D02"/>
    <w:rsid w:val="00B34F8F"/>
    <w:rsid w:val="00B363F7"/>
    <w:rsid w:val="00B40135"/>
    <w:rsid w:val="00B40176"/>
    <w:rsid w:val="00B42801"/>
    <w:rsid w:val="00B4286D"/>
    <w:rsid w:val="00B428E7"/>
    <w:rsid w:val="00B42CA0"/>
    <w:rsid w:val="00B43353"/>
    <w:rsid w:val="00B43436"/>
    <w:rsid w:val="00B44B02"/>
    <w:rsid w:val="00B44F2C"/>
    <w:rsid w:val="00B45760"/>
    <w:rsid w:val="00B47351"/>
    <w:rsid w:val="00B504AD"/>
    <w:rsid w:val="00B51527"/>
    <w:rsid w:val="00B51AAA"/>
    <w:rsid w:val="00B52ACD"/>
    <w:rsid w:val="00B534D5"/>
    <w:rsid w:val="00B542BA"/>
    <w:rsid w:val="00B54A94"/>
    <w:rsid w:val="00B55C7D"/>
    <w:rsid w:val="00B55D4C"/>
    <w:rsid w:val="00B570A5"/>
    <w:rsid w:val="00B60104"/>
    <w:rsid w:val="00B606B1"/>
    <w:rsid w:val="00B6226A"/>
    <w:rsid w:val="00B62D52"/>
    <w:rsid w:val="00B63106"/>
    <w:rsid w:val="00B6468A"/>
    <w:rsid w:val="00B64F3F"/>
    <w:rsid w:val="00B6510E"/>
    <w:rsid w:val="00B65D09"/>
    <w:rsid w:val="00B6627A"/>
    <w:rsid w:val="00B67463"/>
    <w:rsid w:val="00B67A73"/>
    <w:rsid w:val="00B70BC0"/>
    <w:rsid w:val="00B716B6"/>
    <w:rsid w:val="00B757C3"/>
    <w:rsid w:val="00B75B83"/>
    <w:rsid w:val="00B81BA4"/>
    <w:rsid w:val="00B829E6"/>
    <w:rsid w:val="00B83DA2"/>
    <w:rsid w:val="00B83E1D"/>
    <w:rsid w:val="00B85741"/>
    <w:rsid w:val="00B85B28"/>
    <w:rsid w:val="00B87700"/>
    <w:rsid w:val="00B9092B"/>
    <w:rsid w:val="00B92715"/>
    <w:rsid w:val="00B92D18"/>
    <w:rsid w:val="00B93892"/>
    <w:rsid w:val="00B942F9"/>
    <w:rsid w:val="00B96FD3"/>
    <w:rsid w:val="00B97955"/>
    <w:rsid w:val="00B97968"/>
    <w:rsid w:val="00BA0F46"/>
    <w:rsid w:val="00BA1B5F"/>
    <w:rsid w:val="00BA2152"/>
    <w:rsid w:val="00BA23CD"/>
    <w:rsid w:val="00BA2678"/>
    <w:rsid w:val="00BA3A8F"/>
    <w:rsid w:val="00BA3B5A"/>
    <w:rsid w:val="00BA3D34"/>
    <w:rsid w:val="00BA4E29"/>
    <w:rsid w:val="00BA5800"/>
    <w:rsid w:val="00BA5DAE"/>
    <w:rsid w:val="00BA6357"/>
    <w:rsid w:val="00BA6E38"/>
    <w:rsid w:val="00BA7FD2"/>
    <w:rsid w:val="00BB0A3F"/>
    <w:rsid w:val="00BB18BA"/>
    <w:rsid w:val="00BB31BA"/>
    <w:rsid w:val="00BB5941"/>
    <w:rsid w:val="00BB6242"/>
    <w:rsid w:val="00BB6769"/>
    <w:rsid w:val="00BB6AED"/>
    <w:rsid w:val="00BB6EC1"/>
    <w:rsid w:val="00BB77D6"/>
    <w:rsid w:val="00BC1D8C"/>
    <w:rsid w:val="00BC1E60"/>
    <w:rsid w:val="00BC4306"/>
    <w:rsid w:val="00BC4AB8"/>
    <w:rsid w:val="00BC4E1A"/>
    <w:rsid w:val="00BC6C3A"/>
    <w:rsid w:val="00BC727F"/>
    <w:rsid w:val="00BC7325"/>
    <w:rsid w:val="00BD0664"/>
    <w:rsid w:val="00BD07D6"/>
    <w:rsid w:val="00BD1B7F"/>
    <w:rsid w:val="00BD2360"/>
    <w:rsid w:val="00BD30B5"/>
    <w:rsid w:val="00BD31E0"/>
    <w:rsid w:val="00BD3636"/>
    <w:rsid w:val="00BD4BE3"/>
    <w:rsid w:val="00BD7794"/>
    <w:rsid w:val="00BE0646"/>
    <w:rsid w:val="00BE0E0B"/>
    <w:rsid w:val="00BE0E52"/>
    <w:rsid w:val="00BE11D4"/>
    <w:rsid w:val="00BE2375"/>
    <w:rsid w:val="00BE260F"/>
    <w:rsid w:val="00BE294B"/>
    <w:rsid w:val="00BE327A"/>
    <w:rsid w:val="00BE33CD"/>
    <w:rsid w:val="00BE33F5"/>
    <w:rsid w:val="00BE48C4"/>
    <w:rsid w:val="00BE6C1C"/>
    <w:rsid w:val="00BF0160"/>
    <w:rsid w:val="00BF06DC"/>
    <w:rsid w:val="00BF0AD5"/>
    <w:rsid w:val="00BF147E"/>
    <w:rsid w:val="00BF2F84"/>
    <w:rsid w:val="00BF66EF"/>
    <w:rsid w:val="00C028B7"/>
    <w:rsid w:val="00C02D97"/>
    <w:rsid w:val="00C03DB1"/>
    <w:rsid w:val="00C040DB"/>
    <w:rsid w:val="00C04142"/>
    <w:rsid w:val="00C05E9B"/>
    <w:rsid w:val="00C073CC"/>
    <w:rsid w:val="00C127A8"/>
    <w:rsid w:val="00C130D3"/>
    <w:rsid w:val="00C14DF2"/>
    <w:rsid w:val="00C14E9A"/>
    <w:rsid w:val="00C14EE5"/>
    <w:rsid w:val="00C15F6A"/>
    <w:rsid w:val="00C16080"/>
    <w:rsid w:val="00C17298"/>
    <w:rsid w:val="00C17BB7"/>
    <w:rsid w:val="00C20119"/>
    <w:rsid w:val="00C2067A"/>
    <w:rsid w:val="00C2082B"/>
    <w:rsid w:val="00C20C38"/>
    <w:rsid w:val="00C2233E"/>
    <w:rsid w:val="00C23D36"/>
    <w:rsid w:val="00C25AFF"/>
    <w:rsid w:val="00C25B7D"/>
    <w:rsid w:val="00C25B94"/>
    <w:rsid w:val="00C260A2"/>
    <w:rsid w:val="00C30473"/>
    <w:rsid w:val="00C305D8"/>
    <w:rsid w:val="00C30BF6"/>
    <w:rsid w:val="00C31302"/>
    <w:rsid w:val="00C31ABF"/>
    <w:rsid w:val="00C321B5"/>
    <w:rsid w:val="00C35023"/>
    <w:rsid w:val="00C3512D"/>
    <w:rsid w:val="00C35A57"/>
    <w:rsid w:val="00C36453"/>
    <w:rsid w:val="00C365CC"/>
    <w:rsid w:val="00C369DD"/>
    <w:rsid w:val="00C36A4D"/>
    <w:rsid w:val="00C36C2E"/>
    <w:rsid w:val="00C37255"/>
    <w:rsid w:val="00C3736E"/>
    <w:rsid w:val="00C4196D"/>
    <w:rsid w:val="00C427C8"/>
    <w:rsid w:val="00C441DE"/>
    <w:rsid w:val="00C452D6"/>
    <w:rsid w:val="00C4559B"/>
    <w:rsid w:val="00C45B41"/>
    <w:rsid w:val="00C5011D"/>
    <w:rsid w:val="00C510E5"/>
    <w:rsid w:val="00C51D11"/>
    <w:rsid w:val="00C52DD4"/>
    <w:rsid w:val="00C54904"/>
    <w:rsid w:val="00C54E65"/>
    <w:rsid w:val="00C56763"/>
    <w:rsid w:val="00C600FB"/>
    <w:rsid w:val="00C606B4"/>
    <w:rsid w:val="00C61004"/>
    <w:rsid w:val="00C61604"/>
    <w:rsid w:val="00C61A98"/>
    <w:rsid w:val="00C61CF7"/>
    <w:rsid w:val="00C6355B"/>
    <w:rsid w:val="00C64E53"/>
    <w:rsid w:val="00C65447"/>
    <w:rsid w:val="00C660D9"/>
    <w:rsid w:val="00C67998"/>
    <w:rsid w:val="00C71C86"/>
    <w:rsid w:val="00C72FAD"/>
    <w:rsid w:val="00C7386E"/>
    <w:rsid w:val="00C743EB"/>
    <w:rsid w:val="00C74BD6"/>
    <w:rsid w:val="00C76B20"/>
    <w:rsid w:val="00C81E8C"/>
    <w:rsid w:val="00C832B4"/>
    <w:rsid w:val="00C84763"/>
    <w:rsid w:val="00C8492F"/>
    <w:rsid w:val="00C84F8B"/>
    <w:rsid w:val="00C85C81"/>
    <w:rsid w:val="00C85F52"/>
    <w:rsid w:val="00C9214C"/>
    <w:rsid w:val="00C921B5"/>
    <w:rsid w:val="00C93261"/>
    <w:rsid w:val="00C9331E"/>
    <w:rsid w:val="00C9346D"/>
    <w:rsid w:val="00C94A9D"/>
    <w:rsid w:val="00C94CBF"/>
    <w:rsid w:val="00C94D89"/>
    <w:rsid w:val="00C97176"/>
    <w:rsid w:val="00C9746A"/>
    <w:rsid w:val="00C97FDD"/>
    <w:rsid w:val="00CA19B9"/>
    <w:rsid w:val="00CA1B8F"/>
    <w:rsid w:val="00CA3567"/>
    <w:rsid w:val="00CA390B"/>
    <w:rsid w:val="00CA4030"/>
    <w:rsid w:val="00CA41B4"/>
    <w:rsid w:val="00CA4B83"/>
    <w:rsid w:val="00CA6FD3"/>
    <w:rsid w:val="00CA769B"/>
    <w:rsid w:val="00CB0587"/>
    <w:rsid w:val="00CB15E9"/>
    <w:rsid w:val="00CB1F1E"/>
    <w:rsid w:val="00CB3278"/>
    <w:rsid w:val="00CB4439"/>
    <w:rsid w:val="00CB4E74"/>
    <w:rsid w:val="00CB5F1F"/>
    <w:rsid w:val="00CB7021"/>
    <w:rsid w:val="00CC0841"/>
    <w:rsid w:val="00CC2565"/>
    <w:rsid w:val="00CC2F57"/>
    <w:rsid w:val="00CC4629"/>
    <w:rsid w:val="00CC544C"/>
    <w:rsid w:val="00CC6CF1"/>
    <w:rsid w:val="00CC7D74"/>
    <w:rsid w:val="00CD03D3"/>
    <w:rsid w:val="00CD0C7B"/>
    <w:rsid w:val="00CD12A4"/>
    <w:rsid w:val="00CD1BE4"/>
    <w:rsid w:val="00CD1EA5"/>
    <w:rsid w:val="00CD2CC7"/>
    <w:rsid w:val="00CD3322"/>
    <w:rsid w:val="00CD47AB"/>
    <w:rsid w:val="00CD4B1F"/>
    <w:rsid w:val="00CD53C1"/>
    <w:rsid w:val="00CD58B0"/>
    <w:rsid w:val="00CD654F"/>
    <w:rsid w:val="00CE0295"/>
    <w:rsid w:val="00CE2774"/>
    <w:rsid w:val="00CE3396"/>
    <w:rsid w:val="00CE675C"/>
    <w:rsid w:val="00CF10ED"/>
    <w:rsid w:val="00CF18EA"/>
    <w:rsid w:val="00CF29B1"/>
    <w:rsid w:val="00CF38D5"/>
    <w:rsid w:val="00CF3D68"/>
    <w:rsid w:val="00CF3EC0"/>
    <w:rsid w:val="00CF3EE9"/>
    <w:rsid w:val="00CF43D7"/>
    <w:rsid w:val="00CF6223"/>
    <w:rsid w:val="00CF68A0"/>
    <w:rsid w:val="00D005F0"/>
    <w:rsid w:val="00D00C36"/>
    <w:rsid w:val="00D00C95"/>
    <w:rsid w:val="00D00E96"/>
    <w:rsid w:val="00D024DA"/>
    <w:rsid w:val="00D038C5"/>
    <w:rsid w:val="00D03C15"/>
    <w:rsid w:val="00D04EAB"/>
    <w:rsid w:val="00D05DA4"/>
    <w:rsid w:val="00D06C6F"/>
    <w:rsid w:val="00D075E8"/>
    <w:rsid w:val="00D07A58"/>
    <w:rsid w:val="00D07D89"/>
    <w:rsid w:val="00D1046A"/>
    <w:rsid w:val="00D10CDA"/>
    <w:rsid w:val="00D11B1B"/>
    <w:rsid w:val="00D12541"/>
    <w:rsid w:val="00D14AE9"/>
    <w:rsid w:val="00D14F71"/>
    <w:rsid w:val="00D15180"/>
    <w:rsid w:val="00D15728"/>
    <w:rsid w:val="00D15DBC"/>
    <w:rsid w:val="00D16D17"/>
    <w:rsid w:val="00D171D8"/>
    <w:rsid w:val="00D215EF"/>
    <w:rsid w:val="00D2357D"/>
    <w:rsid w:val="00D23A83"/>
    <w:rsid w:val="00D24352"/>
    <w:rsid w:val="00D252E4"/>
    <w:rsid w:val="00D27128"/>
    <w:rsid w:val="00D27464"/>
    <w:rsid w:val="00D27ABB"/>
    <w:rsid w:val="00D31204"/>
    <w:rsid w:val="00D3269B"/>
    <w:rsid w:val="00D32C05"/>
    <w:rsid w:val="00D3322F"/>
    <w:rsid w:val="00D3372E"/>
    <w:rsid w:val="00D337F2"/>
    <w:rsid w:val="00D33B3F"/>
    <w:rsid w:val="00D3421B"/>
    <w:rsid w:val="00D34492"/>
    <w:rsid w:val="00D34DED"/>
    <w:rsid w:val="00D34F1A"/>
    <w:rsid w:val="00D35870"/>
    <w:rsid w:val="00D37BB4"/>
    <w:rsid w:val="00D40955"/>
    <w:rsid w:val="00D41D30"/>
    <w:rsid w:val="00D42440"/>
    <w:rsid w:val="00D42F53"/>
    <w:rsid w:val="00D45794"/>
    <w:rsid w:val="00D45982"/>
    <w:rsid w:val="00D4667F"/>
    <w:rsid w:val="00D4679C"/>
    <w:rsid w:val="00D46B58"/>
    <w:rsid w:val="00D46D7F"/>
    <w:rsid w:val="00D46FFD"/>
    <w:rsid w:val="00D47423"/>
    <w:rsid w:val="00D47AD4"/>
    <w:rsid w:val="00D47E51"/>
    <w:rsid w:val="00D50276"/>
    <w:rsid w:val="00D50569"/>
    <w:rsid w:val="00D50679"/>
    <w:rsid w:val="00D50DAA"/>
    <w:rsid w:val="00D51CE1"/>
    <w:rsid w:val="00D52722"/>
    <w:rsid w:val="00D549DD"/>
    <w:rsid w:val="00D56A1C"/>
    <w:rsid w:val="00D57244"/>
    <w:rsid w:val="00D57727"/>
    <w:rsid w:val="00D57E77"/>
    <w:rsid w:val="00D622E7"/>
    <w:rsid w:val="00D625A2"/>
    <w:rsid w:val="00D628AF"/>
    <w:rsid w:val="00D63063"/>
    <w:rsid w:val="00D64C3D"/>
    <w:rsid w:val="00D65739"/>
    <w:rsid w:val="00D6691B"/>
    <w:rsid w:val="00D67A9B"/>
    <w:rsid w:val="00D7210B"/>
    <w:rsid w:val="00D72128"/>
    <w:rsid w:val="00D735CD"/>
    <w:rsid w:val="00D74CC6"/>
    <w:rsid w:val="00D75B75"/>
    <w:rsid w:val="00D7619F"/>
    <w:rsid w:val="00D77150"/>
    <w:rsid w:val="00D80AB6"/>
    <w:rsid w:val="00D823BE"/>
    <w:rsid w:val="00D82941"/>
    <w:rsid w:val="00D839A8"/>
    <w:rsid w:val="00D851A4"/>
    <w:rsid w:val="00D85526"/>
    <w:rsid w:val="00D8646C"/>
    <w:rsid w:val="00D908D2"/>
    <w:rsid w:val="00D9095A"/>
    <w:rsid w:val="00D90F8D"/>
    <w:rsid w:val="00D92CA1"/>
    <w:rsid w:val="00D938BF"/>
    <w:rsid w:val="00D94528"/>
    <w:rsid w:val="00D9576D"/>
    <w:rsid w:val="00D96103"/>
    <w:rsid w:val="00DA2928"/>
    <w:rsid w:val="00DA483C"/>
    <w:rsid w:val="00DA4A3C"/>
    <w:rsid w:val="00DA61E2"/>
    <w:rsid w:val="00DA734C"/>
    <w:rsid w:val="00DA77AE"/>
    <w:rsid w:val="00DB03B5"/>
    <w:rsid w:val="00DB03E3"/>
    <w:rsid w:val="00DB0ACF"/>
    <w:rsid w:val="00DB0D99"/>
    <w:rsid w:val="00DB10B5"/>
    <w:rsid w:val="00DB1386"/>
    <w:rsid w:val="00DB17D9"/>
    <w:rsid w:val="00DB1843"/>
    <w:rsid w:val="00DB2DBF"/>
    <w:rsid w:val="00DB2FE0"/>
    <w:rsid w:val="00DB3080"/>
    <w:rsid w:val="00DB34D3"/>
    <w:rsid w:val="00DB643A"/>
    <w:rsid w:val="00DB7EDD"/>
    <w:rsid w:val="00DC140D"/>
    <w:rsid w:val="00DC5054"/>
    <w:rsid w:val="00DC5E95"/>
    <w:rsid w:val="00DC5ED1"/>
    <w:rsid w:val="00DC6034"/>
    <w:rsid w:val="00DC62A9"/>
    <w:rsid w:val="00DC67E9"/>
    <w:rsid w:val="00DC7794"/>
    <w:rsid w:val="00DC7D49"/>
    <w:rsid w:val="00DD1655"/>
    <w:rsid w:val="00DD18A1"/>
    <w:rsid w:val="00DD18EB"/>
    <w:rsid w:val="00DD1C24"/>
    <w:rsid w:val="00DD328A"/>
    <w:rsid w:val="00DD3B38"/>
    <w:rsid w:val="00DD3C83"/>
    <w:rsid w:val="00DD4AF5"/>
    <w:rsid w:val="00DD5955"/>
    <w:rsid w:val="00DD5C44"/>
    <w:rsid w:val="00DD6833"/>
    <w:rsid w:val="00DD6E46"/>
    <w:rsid w:val="00DD7338"/>
    <w:rsid w:val="00DD7A8D"/>
    <w:rsid w:val="00DE0BDE"/>
    <w:rsid w:val="00DE1915"/>
    <w:rsid w:val="00DE2099"/>
    <w:rsid w:val="00DE2398"/>
    <w:rsid w:val="00DE23D4"/>
    <w:rsid w:val="00DE3283"/>
    <w:rsid w:val="00DE3587"/>
    <w:rsid w:val="00DE4459"/>
    <w:rsid w:val="00DE45EA"/>
    <w:rsid w:val="00DE4807"/>
    <w:rsid w:val="00DE4C45"/>
    <w:rsid w:val="00DE4EB3"/>
    <w:rsid w:val="00DE5700"/>
    <w:rsid w:val="00DE6321"/>
    <w:rsid w:val="00DE64A3"/>
    <w:rsid w:val="00DF1D07"/>
    <w:rsid w:val="00DF59C9"/>
    <w:rsid w:val="00DF62BD"/>
    <w:rsid w:val="00DF66D2"/>
    <w:rsid w:val="00DF6792"/>
    <w:rsid w:val="00DF681F"/>
    <w:rsid w:val="00DF6B06"/>
    <w:rsid w:val="00DF7EC6"/>
    <w:rsid w:val="00E00521"/>
    <w:rsid w:val="00E00C9B"/>
    <w:rsid w:val="00E02D01"/>
    <w:rsid w:val="00E03C43"/>
    <w:rsid w:val="00E03C91"/>
    <w:rsid w:val="00E0418F"/>
    <w:rsid w:val="00E04844"/>
    <w:rsid w:val="00E05585"/>
    <w:rsid w:val="00E05F03"/>
    <w:rsid w:val="00E0612D"/>
    <w:rsid w:val="00E0714A"/>
    <w:rsid w:val="00E079BD"/>
    <w:rsid w:val="00E10103"/>
    <w:rsid w:val="00E10199"/>
    <w:rsid w:val="00E10EEE"/>
    <w:rsid w:val="00E11BE0"/>
    <w:rsid w:val="00E1209F"/>
    <w:rsid w:val="00E14CAE"/>
    <w:rsid w:val="00E162CC"/>
    <w:rsid w:val="00E169E4"/>
    <w:rsid w:val="00E16CCA"/>
    <w:rsid w:val="00E17819"/>
    <w:rsid w:val="00E2048F"/>
    <w:rsid w:val="00E21427"/>
    <w:rsid w:val="00E21C37"/>
    <w:rsid w:val="00E221F6"/>
    <w:rsid w:val="00E22B2B"/>
    <w:rsid w:val="00E22F6B"/>
    <w:rsid w:val="00E23B23"/>
    <w:rsid w:val="00E25A31"/>
    <w:rsid w:val="00E30271"/>
    <w:rsid w:val="00E320B1"/>
    <w:rsid w:val="00E331B0"/>
    <w:rsid w:val="00E3336D"/>
    <w:rsid w:val="00E33CAA"/>
    <w:rsid w:val="00E33D84"/>
    <w:rsid w:val="00E34262"/>
    <w:rsid w:val="00E35094"/>
    <w:rsid w:val="00E3510E"/>
    <w:rsid w:val="00E35BB6"/>
    <w:rsid w:val="00E36137"/>
    <w:rsid w:val="00E369EF"/>
    <w:rsid w:val="00E36E61"/>
    <w:rsid w:val="00E4115B"/>
    <w:rsid w:val="00E423F4"/>
    <w:rsid w:val="00E4256B"/>
    <w:rsid w:val="00E43B78"/>
    <w:rsid w:val="00E45976"/>
    <w:rsid w:val="00E47724"/>
    <w:rsid w:val="00E501A5"/>
    <w:rsid w:val="00E503AE"/>
    <w:rsid w:val="00E50D40"/>
    <w:rsid w:val="00E51FBA"/>
    <w:rsid w:val="00E52750"/>
    <w:rsid w:val="00E52BAE"/>
    <w:rsid w:val="00E53BFD"/>
    <w:rsid w:val="00E53CA2"/>
    <w:rsid w:val="00E55E88"/>
    <w:rsid w:val="00E561EF"/>
    <w:rsid w:val="00E56BD8"/>
    <w:rsid w:val="00E60343"/>
    <w:rsid w:val="00E62406"/>
    <w:rsid w:val="00E635E0"/>
    <w:rsid w:val="00E6457A"/>
    <w:rsid w:val="00E658E2"/>
    <w:rsid w:val="00E65BF7"/>
    <w:rsid w:val="00E674DB"/>
    <w:rsid w:val="00E67E2C"/>
    <w:rsid w:val="00E70678"/>
    <w:rsid w:val="00E70DB5"/>
    <w:rsid w:val="00E71F5F"/>
    <w:rsid w:val="00E73868"/>
    <w:rsid w:val="00E73A34"/>
    <w:rsid w:val="00E7638C"/>
    <w:rsid w:val="00E80695"/>
    <w:rsid w:val="00E80A29"/>
    <w:rsid w:val="00E80C4F"/>
    <w:rsid w:val="00E80F76"/>
    <w:rsid w:val="00E81DFE"/>
    <w:rsid w:val="00E822D4"/>
    <w:rsid w:val="00E82B4C"/>
    <w:rsid w:val="00E831C1"/>
    <w:rsid w:val="00E8325D"/>
    <w:rsid w:val="00E83DD0"/>
    <w:rsid w:val="00E8404D"/>
    <w:rsid w:val="00E84E02"/>
    <w:rsid w:val="00E9063A"/>
    <w:rsid w:val="00E922A7"/>
    <w:rsid w:val="00E9287C"/>
    <w:rsid w:val="00E94316"/>
    <w:rsid w:val="00E945E2"/>
    <w:rsid w:val="00E950CA"/>
    <w:rsid w:val="00E966AC"/>
    <w:rsid w:val="00E96967"/>
    <w:rsid w:val="00E975B6"/>
    <w:rsid w:val="00E97749"/>
    <w:rsid w:val="00E97A2A"/>
    <w:rsid w:val="00EA0061"/>
    <w:rsid w:val="00EA06A0"/>
    <w:rsid w:val="00EA12C0"/>
    <w:rsid w:val="00EA12E9"/>
    <w:rsid w:val="00EA2556"/>
    <w:rsid w:val="00EA4915"/>
    <w:rsid w:val="00EA4F8C"/>
    <w:rsid w:val="00EA523F"/>
    <w:rsid w:val="00EA54FC"/>
    <w:rsid w:val="00EA5502"/>
    <w:rsid w:val="00EA57CA"/>
    <w:rsid w:val="00EB0CF1"/>
    <w:rsid w:val="00EB25BE"/>
    <w:rsid w:val="00EB2A69"/>
    <w:rsid w:val="00EB2CC9"/>
    <w:rsid w:val="00EB3D62"/>
    <w:rsid w:val="00EB6709"/>
    <w:rsid w:val="00EB6DF2"/>
    <w:rsid w:val="00EC082C"/>
    <w:rsid w:val="00EC0DF4"/>
    <w:rsid w:val="00EC11F2"/>
    <w:rsid w:val="00EC1EA4"/>
    <w:rsid w:val="00EC2B2A"/>
    <w:rsid w:val="00EC3C71"/>
    <w:rsid w:val="00EC47E4"/>
    <w:rsid w:val="00EC4EB6"/>
    <w:rsid w:val="00EC5937"/>
    <w:rsid w:val="00ED08AD"/>
    <w:rsid w:val="00ED0A2B"/>
    <w:rsid w:val="00ED100D"/>
    <w:rsid w:val="00ED1021"/>
    <w:rsid w:val="00ED3627"/>
    <w:rsid w:val="00ED3C62"/>
    <w:rsid w:val="00ED4E8C"/>
    <w:rsid w:val="00ED5283"/>
    <w:rsid w:val="00EE0F88"/>
    <w:rsid w:val="00EE3A62"/>
    <w:rsid w:val="00EE3CD6"/>
    <w:rsid w:val="00EE7857"/>
    <w:rsid w:val="00EF0A3D"/>
    <w:rsid w:val="00EF12E3"/>
    <w:rsid w:val="00EF192A"/>
    <w:rsid w:val="00EF2D29"/>
    <w:rsid w:val="00EF55A5"/>
    <w:rsid w:val="00EF5BD9"/>
    <w:rsid w:val="00EF6A49"/>
    <w:rsid w:val="00EF7C5E"/>
    <w:rsid w:val="00F00179"/>
    <w:rsid w:val="00F005A6"/>
    <w:rsid w:val="00F009A8"/>
    <w:rsid w:val="00F03CEB"/>
    <w:rsid w:val="00F04C74"/>
    <w:rsid w:val="00F06800"/>
    <w:rsid w:val="00F068DB"/>
    <w:rsid w:val="00F069BA"/>
    <w:rsid w:val="00F06A96"/>
    <w:rsid w:val="00F07F06"/>
    <w:rsid w:val="00F1166F"/>
    <w:rsid w:val="00F130D1"/>
    <w:rsid w:val="00F148E1"/>
    <w:rsid w:val="00F15E51"/>
    <w:rsid w:val="00F16C21"/>
    <w:rsid w:val="00F207C0"/>
    <w:rsid w:val="00F2128C"/>
    <w:rsid w:val="00F2180C"/>
    <w:rsid w:val="00F24312"/>
    <w:rsid w:val="00F24D49"/>
    <w:rsid w:val="00F24DD0"/>
    <w:rsid w:val="00F24F34"/>
    <w:rsid w:val="00F257B8"/>
    <w:rsid w:val="00F302E2"/>
    <w:rsid w:val="00F30358"/>
    <w:rsid w:val="00F30EDC"/>
    <w:rsid w:val="00F33363"/>
    <w:rsid w:val="00F33959"/>
    <w:rsid w:val="00F342A6"/>
    <w:rsid w:val="00F34AD9"/>
    <w:rsid w:val="00F358F7"/>
    <w:rsid w:val="00F35D99"/>
    <w:rsid w:val="00F37091"/>
    <w:rsid w:val="00F404EF"/>
    <w:rsid w:val="00F40890"/>
    <w:rsid w:val="00F40C47"/>
    <w:rsid w:val="00F41561"/>
    <w:rsid w:val="00F4357A"/>
    <w:rsid w:val="00F44B82"/>
    <w:rsid w:val="00F4506A"/>
    <w:rsid w:val="00F470E5"/>
    <w:rsid w:val="00F5063C"/>
    <w:rsid w:val="00F53252"/>
    <w:rsid w:val="00F53288"/>
    <w:rsid w:val="00F53D94"/>
    <w:rsid w:val="00F545F1"/>
    <w:rsid w:val="00F5462E"/>
    <w:rsid w:val="00F54C6C"/>
    <w:rsid w:val="00F55129"/>
    <w:rsid w:val="00F551B7"/>
    <w:rsid w:val="00F5563A"/>
    <w:rsid w:val="00F55A9F"/>
    <w:rsid w:val="00F55AA1"/>
    <w:rsid w:val="00F56757"/>
    <w:rsid w:val="00F607B0"/>
    <w:rsid w:val="00F615E1"/>
    <w:rsid w:val="00F62E02"/>
    <w:rsid w:val="00F632BC"/>
    <w:rsid w:val="00F63B01"/>
    <w:rsid w:val="00F64E63"/>
    <w:rsid w:val="00F6510B"/>
    <w:rsid w:val="00F6695C"/>
    <w:rsid w:val="00F720FD"/>
    <w:rsid w:val="00F72177"/>
    <w:rsid w:val="00F721BA"/>
    <w:rsid w:val="00F72335"/>
    <w:rsid w:val="00F7365A"/>
    <w:rsid w:val="00F74154"/>
    <w:rsid w:val="00F7548B"/>
    <w:rsid w:val="00F75AE4"/>
    <w:rsid w:val="00F76192"/>
    <w:rsid w:val="00F77136"/>
    <w:rsid w:val="00F8078C"/>
    <w:rsid w:val="00F8116E"/>
    <w:rsid w:val="00F8193D"/>
    <w:rsid w:val="00F8206D"/>
    <w:rsid w:val="00F8237B"/>
    <w:rsid w:val="00F83650"/>
    <w:rsid w:val="00F83CA9"/>
    <w:rsid w:val="00F83D82"/>
    <w:rsid w:val="00F8577F"/>
    <w:rsid w:val="00F858BF"/>
    <w:rsid w:val="00F86C17"/>
    <w:rsid w:val="00F871EB"/>
    <w:rsid w:val="00F90159"/>
    <w:rsid w:val="00F901BE"/>
    <w:rsid w:val="00F916B3"/>
    <w:rsid w:val="00F93C77"/>
    <w:rsid w:val="00F94095"/>
    <w:rsid w:val="00F96243"/>
    <w:rsid w:val="00F96251"/>
    <w:rsid w:val="00F96412"/>
    <w:rsid w:val="00F96836"/>
    <w:rsid w:val="00F96BB3"/>
    <w:rsid w:val="00F97AB2"/>
    <w:rsid w:val="00FA01AA"/>
    <w:rsid w:val="00FA24BA"/>
    <w:rsid w:val="00FA2A61"/>
    <w:rsid w:val="00FA2C20"/>
    <w:rsid w:val="00FA3819"/>
    <w:rsid w:val="00FA4069"/>
    <w:rsid w:val="00FA4F35"/>
    <w:rsid w:val="00FB05F8"/>
    <w:rsid w:val="00FB14E3"/>
    <w:rsid w:val="00FB1A81"/>
    <w:rsid w:val="00FB1FF5"/>
    <w:rsid w:val="00FB36D5"/>
    <w:rsid w:val="00FB39E8"/>
    <w:rsid w:val="00FB3E78"/>
    <w:rsid w:val="00FB503D"/>
    <w:rsid w:val="00FB52F0"/>
    <w:rsid w:val="00FB5D79"/>
    <w:rsid w:val="00FB6C56"/>
    <w:rsid w:val="00FB7BDB"/>
    <w:rsid w:val="00FC03B6"/>
    <w:rsid w:val="00FC18E0"/>
    <w:rsid w:val="00FC5E0A"/>
    <w:rsid w:val="00FC626B"/>
    <w:rsid w:val="00FC6CCF"/>
    <w:rsid w:val="00FC76A3"/>
    <w:rsid w:val="00FD0231"/>
    <w:rsid w:val="00FD1166"/>
    <w:rsid w:val="00FD118A"/>
    <w:rsid w:val="00FD13AD"/>
    <w:rsid w:val="00FD1560"/>
    <w:rsid w:val="00FD1598"/>
    <w:rsid w:val="00FD1D99"/>
    <w:rsid w:val="00FD2305"/>
    <w:rsid w:val="00FD353C"/>
    <w:rsid w:val="00FD446A"/>
    <w:rsid w:val="00FD516E"/>
    <w:rsid w:val="00FD51AE"/>
    <w:rsid w:val="00FD728D"/>
    <w:rsid w:val="00FD74C4"/>
    <w:rsid w:val="00FD7F75"/>
    <w:rsid w:val="00FE0088"/>
    <w:rsid w:val="00FE102E"/>
    <w:rsid w:val="00FE126C"/>
    <w:rsid w:val="00FE1583"/>
    <w:rsid w:val="00FE1814"/>
    <w:rsid w:val="00FE2716"/>
    <w:rsid w:val="00FE3B01"/>
    <w:rsid w:val="00FE3EBC"/>
    <w:rsid w:val="00FE5DE4"/>
    <w:rsid w:val="00FE5EFE"/>
    <w:rsid w:val="00FE6276"/>
    <w:rsid w:val="00FE6C25"/>
    <w:rsid w:val="00FE7296"/>
    <w:rsid w:val="00FE72D6"/>
    <w:rsid w:val="00FF0D34"/>
    <w:rsid w:val="00FF1409"/>
    <w:rsid w:val="00FF1B24"/>
    <w:rsid w:val="00FF1E46"/>
    <w:rsid w:val="00FF279D"/>
    <w:rsid w:val="00FF36BD"/>
    <w:rsid w:val="00FF3815"/>
    <w:rsid w:val="00FF391B"/>
    <w:rsid w:val="00FF44D0"/>
    <w:rsid w:val="00FF4F9F"/>
    <w:rsid w:val="00FF57D6"/>
    <w:rsid w:val="00FF5A09"/>
    <w:rsid w:val="00FF5BF6"/>
    <w:rsid w:val="00FF6D4A"/>
    <w:rsid w:val="00FF7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B7F2C"/>
  <w15:chartTrackingRefBased/>
  <w15:docId w15:val="{0F971FF6-8D12-4C9A-97AE-E458089A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6E38"/>
    <w:pPr>
      <w:spacing w:line="276" w:lineRule="auto"/>
    </w:pPr>
    <w:rPr>
      <w:sz w:val="22"/>
      <w:szCs w:val="22"/>
      <w:lang w:val="it-IT"/>
    </w:rPr>
  </w:style>
  <w:style w:type="paragraph" w:styleId="1">
    <w:name w:val="heading 1"/>
    <w:aliases w:val="Title 1"/>
    <w:next w:val="Articlenormaltextfirstparagraph"/>
    <w:link w:val="1Char"/>
    <w:uiPriority w:val="9"/>
    <w:qFormat/>
    <w:rsid w:val="00C72FAD"/>
    <w:pPr>
      <w:numPr>
        <w:numId w:val="6"/>
      </w:numPr>
      <w:pBdr>
        <w:bottom w:val="single" w:sz="4" w:space="4" w:color="17365D"/>
      </w:pBdr>
      <w:spacing w:before="400" w:after="120"/>
      <w:ind w:left="357" w:hanging="357"/>
      <w:outlineLvl w:val="0"/>
    </w:pPr>
    <w:rPr>
      <w:rFonts w:ascii="Arial Nova" w:hAnsi="Arial Nova" w:cs="Arial"/>
      <w:b/>
      <w:bCs/>
      <w:color w:val="1B8ABC"/>
      <w:sz w:val="28"/>
      <w:szCs w:val="22"/>
    </w:rPr>
  </w:style>
  <w:style w:type="paragraph" w:styleId="2">
    <w:name w:val="heading 2"/>
    <w:aliases w:val="Title 2"/>
    <w:next w:val="Articlenormaltextfirstparagraph"/>
    <w:link w:val="2Char"/>
    <w:uiPriority w:val="9"/>
    <w:unhideWhenUsed/>
    <w:qFormat/>
    <w:rsid w:val="00C72FAD"/>
    <w:pPr>
      <w:numPr>
        <w:ilvl w:val="1"/>
        <w:numId w:val="6"/>
      </w:numPr>
      <w:spacing w:before="360" w:after="60"/>
      <w:ind w:left="578" w:hanging="578"/>
      <w:outlineLvl w:val="1"/>
    </w:pPr>
    <w:rPr>
      <w:rFonts w:ascii="Arial Nova" w:eastAsia="Times New Roman" w:hAnsi="Arial Nova" w:cs="Arial"/>
      <w:b/>
      <w:bCs/>
    </w:rPr>
  </w:style>
  <w:style w:type="paragraph" w:styleId="3">
    <w:name w:val="heading 3"/>
    <w:aliases w:val="Title 3"/>
    <w:basedOn w:val="a"/>
    <w:next w:val="a"/>
    <w:link w:val="3Char"/>
    <w:uiPriority w:val="9"/>
    <w:unhideWhenUsed/>
    <w:qFormat/>
    <w:rsid w:val="00482031"/>
    <w:pPr>
      <w:keepNext/>
      <w:keepLines/>
      <w:numPr>
        <w:ilvl w:val="2"/>
        <w:numId w:val="6"/>
      </w:numPr>
      <w:spacing w:before="240"/>
      <w:outlineLvl w:val="2"/>
    </w:pPr>
    <w:rPr>
      <w:rFonts w:ascii="Arial Nova" w:eastAsiaTheme="majorEastAsia" w:hAnsi="Arial Nova" w:cs="Arial"/>
      <w:i/>
      <w:iCs/>
      <w:sz w:val="20"/>
      <w:szCs w:val="20"/>
      <w:lang w:val="en-US"/>
    </w:rPr>
  </w:style>
  <w:style w:type="paragraph" w:styleId="4">
    <w:name w:val="heading 4"/>
    <w:basedOn w:val="a"/>
    <w:next w:val="a"/>
    <w:link w:val="4Char"/>
    <w:uiPriority w:val="9"/>
    <w:semiHidden/>
    <w:unhideWhenUsed/>
    <w:qFormat/>
    <w:rsid w:val="00B25575"/>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semiHidden/>
    <w:unhideWhenUsed/>
    <w:qFormat/>
    <w:rsid w:val="00B25575"/>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B25575"/>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B25575"/>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B2557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B2557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72096"/>
    <w:pPr>
      <w:tabs>
        <w:tab w:val="center" w:pos="4536"/>
        <w:tab w:val="right" w:pos="9072"/>
      </w:tabs>
      <w:spacing w:line="240" w:lineRule="auto"/>
    </w:pPr>
  </w:style>
  <w:style w:type="character" w:customStyle="1" w:styleId="Char">
    <w:name w:val="Κεφαλίδα Char"/>
    <w:basedOn w:val="a0"/>
    <w:link w:val="a3"/>
    <w:uiPriority w:val="99"/>
    <w:rsid w:val="00272096"/>
    <w:rPr>
      <w:sz w:val="22"/>
      <w:szCs w:val="22"/>
      <w:lang w:val="it-IT"/>
    </w:rPr>
  </w:style>
  <w:style w:type="paragraph" w:styleId="a4">
    <w:name w:val="footer"/>
    <w:basedOn w:val="a"/>
    <w:link w:val="Char0"/>
    <w:uiPriority w:val="99"/>
    <w:unhideWhenUsed/>
    <w:rsid w:val="00C321B5"/>
    <w:pPr>
      <w:tabs>
        <w:tab w:val="center" w:pos="4819"/>
        <w:tab w:val="right" w:pos="9638"/>
      </w:tabs>
      <w:spacing w:line="240" w:lineRule="auto"/>
      <w:jc w:val="both"/>
    </w:pPr>
    <w:rPr>
      <w:rFonts w:ascii="Arial" w:hAnsi="Arial" w:cs="Arial"/>
      <w:noProof/>
      <w:sz w:val="18"/>
      <w:szCs w:val="18"/>
      <w:lang w:eastAsia="it-IT"/>
    </w:rPr>
  </w:style>
  <w:style w:type="character" w:customStyle="1" w:styleId="Char0">
    <w:name w:val="Υποσέλιδο Char"/>
    <w:basedOn w:val="a0"/>
    <w:link w:val="a4"/>
    <w:uiPriority w:val="99"/>
    <w:rsid w:val="00C321B5"/>
    <w:rPr>
      <w:rFonts w:ascii="Arial" w:hAnsi="Arial" w:cs="Arial"/>
      <w:noProof/>
      <w:sz w:val="18"/>
      <w:szCs w:val="18"/>
      <w:lang w:val="it-IT" w:eastAsia="it-IT"/>
    </w:rPr>
  </w:style>
  <w:style w:type="paragraph" w:styleId="a5">
    <w:name w:val="Balloon Text"/>
    <w:basedOn w:val="a"/>
    <w:link w:val="Char1"/>
    <w:uiPriority w:val="99"/>
    <w:semiHidden/>
    <w:unhideWhenUsed/>
    <w:rsid w:val="002D07B2"/>
    <w:pPr>
      <w:spacing w:line="240" w:lineRule="auto"/>
    </w:pPr>
    <w:rPr>
      <w:rFonts w:ascii="Tahoma" w:hAnsi="Tahoma" w:cs="Tahoma"/>
      <w:sz w:val="16"/>
      <w:szCs w:val="16"/>
    </w:rPr>
  </w:style>
  <w:style w:type="character" w:customStyle="1" w:styleId="Char1">
    <w:name w:val="Κείμενο πλαισίου Char"/>
    <w:link w:val="a5"/>
    <w:uiPriority w:val="99"/>
    <w:semiHidden/>
    <w:rsid w:val="002D07B2"/>
    <w:rPr>
      <w:rFonts w:ascii="Tahoma" w:hAnsi="Tahoma" w:cs="Tahoma"/>
      <w:sz w:val="16"/>
      <w:szCs w:val="16"/>
    </w:rPr>
  </w:style>
  <w:style w:type="paragraph" w:styleId="a6">
    <w:name w:val="Body Text Indent"/>
    <w:basedOn w:val="a"/>
    <w:link w:val="Char2"/>
    <w:semiHidden/>
    <w:rsid w:val="009572B1"/>
    <w:pPr>
      <w:spacing w:line="240" w:lineRule="auto"/>
      <w:ind w:firstLine="245"/>
      <w:jc w:val="both"/>
    </w:pPr>
    <w:rPr>
      <w:rFonts w:ascii="Times New Roman" w:eastAsia="Malgun Gothic" w:hAnsi="Times New Roman"/>
      <w:spacing w:val="6"/>
      <w:szCs w:val="20"/>
      <w:lang w:val="en-US"/>
    </w:rPr>
  </w:style>
  <w:style w:type="character" w:customStyle="1" w:styleId="Char2">
    <w:name w:val="Σώμα κείμενου με εσοχή Char"/>
    <w:link w:val="a6"/>
    <w:semiHidden/>
    <w:rsid w:val="009572B1"/>
    <w:rPr>
      <w:rFonts w:ascii="Times New Roman" w:eastAsia="Malgun Gothic" w:hAnsi="Times New Roman" w:cs="Times New Roman"/>
      <w:spacing w:val="6"/>
      <w:szCs w:val="20"/>
      <w:lang w:val="en-US"/>
    </w:rPr>
  </w:style>
  <w:style w:type="paragraph" w:customStyle="1" w:styleId="AbstractText">
    <w:name w:val="Abstract Text"/>
    <w:basedOn w:val="a"/>
    <w:link w:val="AbstractTextCarattere"/>
    <w:qFormat/>
    <w:rsid w:val="007213F1"/>
    <w:pPr>
      <w:ind w:right="28"/>
      <w:jc w:val="both"/>
    </w:pPr>
    <w:rPr>
      <w:rFonts w:ascii="Times New Roman" w:hAnsi="Times New Roman"/>
      <w:sz w:val="20"/>
      <w:szCs w:val="20"/>
      <w:lang w:val="en-US"/>
    </w:rPr>
  </w:style>
  <w:style w:type="paragraph" w:customStyle="1" w:styleId="AbstractTitle">
    <w:name w:val="Abstract Title"/>
    <w:link w:val="AbstractTitleCarattere"/>
    <w:qFormat/>
    <w:rsid w:val="00A918C5"/>
    <w:pPr>
      <w:spacing w:after="120"/>
    </w:pPr>
    <w:rPr>
      <w:rFonts w:ascii="Arial Nova Cond" w:hAnsi="Arial Nova Cond" w:cs="Arial"/>
      <w:b/>
      <w:bCs/>
      <w:sz w:val="22"/>
    </w:rPr>
  </w:style>
  <w:style w:type="character" w:customStyle="1" w:styleId="AbstractTextCarattere">
    <w:name w:val="Abstract Text Carattere"/>
    <w:link w:val="AbstractText"/>
    <w:rsid w:val="007213F1"/>
    <w:rPr>
      <w:rFonts w:ascii="Times New Roman" w:hAnsi="Times New Roman"/>
    </w:rPr>
  </w:style>
  <w:style w:type="paragraph" w:customStyle="1" w:styleId="ArticleTitle">
    <w:name w:val="Article Title"/>
    <w:basedOn w:val="a"/>
    <w:link w:val="ArticleTitleCarattere"/>
    <w:qFormat/>
    <w:rsid w:val="00963511"/>
    <w:pPr>
      <w:suppressAutoHyphens/>
      <w:spacing w:before="240" w:after="240" w:line="240" w:lineRule="auto"/>
    </w:pPr>
    <w:rPr>
      <w:rFonts w:ascii="Arial Nova Cond" w:hAnsi="Arial Nova Cond" w:cstheme="minorHAnsi"/>
      <w:b/>
      <w:bCs/>
      <w:sz w:val="36"/>
      <w:szCs w:val="32"/>
      <w:lang w:val="en-US" w:eastAsia="zh-CN"/>
    </w:rPr>
  </w:style>
  <w:style w:type="character" w:customStyle="1" w:styleId="AbstractTitleCarattere">
    <w:name w:val="Abstract Title Carattere"/>
    <w:link w:val="AbstractTitle"/>
    <w:rsid w:val="00A918C5"/>
    <w:rPr>
      <w:rFonts w:ascii="Arial Nova Cond" w:hAnsi="Arial Nova Cond" w:cs="Arial"/>
      <w:b/>
      <w:bCs/>
      <w:sz w:val="22"/>
    </w:rPr>
  </w:style>
  <w:style w:type="character" w:customStyle="1" w:styleId="ArticleTitleCarattere">
    <w:name w:val="Article Title Carattere"/>
    <w:link w:val="ArticleTitle"/>
    <w:rsid w:val="00963511"/>
    <w:rPr>
      <w:rFonts w:ascii="Arial Nova Cond" w:hAnsi="Arial Nova Cond" w:cstheme="minorHAnsi"/>
      <w:b/>
      <w:bCs/>
      <w:sz w:val="36"/>
      <w:szCs w:val="32"/>
      <w:lang w:eastAsia="zh-CN"/>
    </w:rPr>
  </w:style>
  <w:style w:type="paragraph" w:customStyle="1" w:styleId="Footnotes">
    <w:name w:val="Footnotes"/>
    <w:basedOn w:val="a"/>
    <w:link w:val="FootnotesCarattere"/>
    <w:uiPriority w:val="99"/>
    <w:qFormat/>
    <w:rsid w:val="00BA23CD"/>
    <w:pPr>
      <w:numPr>
        <w:numId w:val="1"/>
      </w:numPr>
      <w:overflowPunct w:val="0"/>
      <w:autoSpaceDE w:val="0"/>
      <w:autoSpaceDN w:val="0"/>
      <w:adjustRightInd w:val="0"/>
      <w:snapToGrid w:val="0"/>
      <w:spacing w:line="240" w:lineRule="auto"/>
      <w:ind w:left="357" w:hanging="357"/>
      <w:jc w:val="both"/>
      <w:textAlignment w:val="baseline"/>
    </w:pPr>
    <w:rPr>
      <w:rFonts w:ascii="Times New Roman" w:eastAsia="Batang" w:hAnsi="Times New Roman"/>
      <w:sz w:val="20"/>
      <w:szCs w:val="20"/>
      <w:lang w:val="en-US" w:eastAsia="ko-KR"/>
    </w:rPr>
  </w:style>
  <w:style w:type="numbering" w:customStyle="1" w:styleId="Style1">
    <w:name w:val="Style1"/>
    <w:uiPriority w:val="99"/>
    <w:rsid w:val="00562FCE"/>
    <w:pPr>
      <w:numPr>
        <w:numId w:val="2"/>
      </w:numPr>
    </w:pPr>
  </w:style>
  <w:style w:type="character" w:customStyle="1" w:styleId="FootnotesCarattere">
    <w:name w:val="Footnotes Carattere"/>
    <w:link w:val="Footnotes"/>
    <w:uiPriority w:val="99"/>
    <w:rsid w:val="006059FC"/>
    <w:rPr>
      <w:rFonts w:ascii="Times New Roman" w:eastAsia="Batang" w:hAnsi="Times New Roman"/>
      <w:lang w:eastAsia="ko-KR"/>
    </w:rPr>
  </w:style>
  <w:style w:type="paragraph" w:customStyle="1" w:styleId="Articlenormaltextfirstparagraph">
    <w:name w:val="Article normal text first paragraph"/>
    <w:basedOn w:val="a"/>
    <w:next w:val="Articlenormaltext"/>
    <w:link w:val="ArticlenormaltextfirstparagraphChar"/>
    <w:qFormat/>
    <w:rsid w:val="00AF3136"/>
    <w:pPr>
      <w:autoSpaceDE w:val="0"/>
      <w:autoSpaceDN w:val="0"/>
      <w:adjustRightInd w:val="0"/>
      <w:spacing w:line="264" w:lineRule="auto"/>
      <w:jc w:val="both"/>
    </w:pPr>
    <w:rPr>
      <w:rFonts w:ascii="Times New Roman" w:hAnsi="Times New Roman"/>
      <w:spacing w:val="4"/>
      <w:szCs w:val="20"/>
      <w:lang w:val="en-US"/>
    </w:rPr>
  </w:style>
  <w:style w:type="paragraph" w:customStyle="1" w:styleId="Figurecaption">
    <w:name w:val="Figure caption"/>
    <w:basedOn w:val="Articlenormaltextfirstparagraph"/>
    <w:next w:val="Articlenormaltext"/>
    <w:qFormat/>
    <w:rsid w:val="00581447"/>
    <w:pPr>
      <w:numPr>
        <w:numId w:val="3"/>
      </w:numPr>
      <w:tabs>
        <w:tab w:val="left" w:pos="851"/>
      </w:tabs>
      <w:spacing w:before="120" w:after="360"/>
      <w:ind w:left="0" w:firstLine="0"/>
    </w:pPr>
    <w:rPr>
      <w:rFonts w:ascii="Arial" w:hAnsi="Arial" w:cs="Arial"/>
      <w:sz w:val="18"/>
      <w:szCs w:val="18"/>
    </w:rPr>
  </w:style>
  <w:style w:type="character" w:customStyle="1" w:styleId="ArticlenormaltextfirstparagraphChar">
    <w:name w:val="Article normal text first paragraph Char"/>
    <w:link w:val="Articlenormaltextfirstparagraph"/>
    <w:rsid w:val="00AF3136"/>
    <w:rPr>
      <w:rFonts w:ascii="Times New Roman" w:hAnsi="Times New Roman"/>
      <w:spacing w:val="4"/>
      <w:sz w:val="22"/>
    </w:rPr>
  </w:style>
  <w:style w:type="paragraph" w:customStyle="1" w:styleId="Tablecaption">
    <w:name w:val="Table caption"/>
    <w:next w:val="Articlenormaltext"/>
    <w:qFormat/>
    <w:rsid w:val="00581447"/>
    <w:pPr>
      <w:numPr>
        <w:numId w:val="4"/>
      </w:numPr>
      <w:tabs>
        <w:tab w:val="left" w:pos="0"/>
      </w:tabs>
      <w:spacing w:after="120"/>
    </w:pPr>
    <w:rPr>
      <w:rFonts w:ascii="Arial" w:hAnsi="Arial" w:cs="Arial"/>
      <w:sz w:val="18"/>
      <w:szCs w:val="18"/>
    </w:rPr>
  </w:style>
  <w:style w:type="paragraph" w:customStyle="1" w:styleId="Bulletlist">
    <w:name w:val="Bullet list"/>
    <w:basedOn w:val="Articlenormaltextfirstparagraph"/>
    <w:qFormat/>
    <w:rsid w:val="002C707C"/>
    <w:pPr>
      <w:numPr>
        <w:numId w:val="5"/>
      </w:numPr>
      <w:spacing w:after="180"/>
      <w:ind w:left="357" w:hanging="357"/>
      <w:contextualSpacing/>
    </w:pPr>
    <w:rPr>
      <w:lang w:val="en-GB"/>
    </w:rPr>
  </w:style>
  <w:style w:type="table" w:styleId="a7">
    <w:name w:val="Table Grid"/>
    <w:basedOn w:val="a1"/>
    <w:uiPriority w:val="39"/>
    <w:rsid w:val="00FB7B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Επικεφαλίδα 2 Char"/>
    <w:aliases w:val="Title 2 Char"/>
    <w:link w:val="2"/>
    <w:uiPriority w:val="9"/>
    <w:rsid w:val="00C72FAD"/>
    <w:rPr>
      <w:rFonts w:ascii="Arial Nova" w:eastAsia="Times New Roman" w:hAnsi="Arial Nova" w:cs="Arial"/>
      <w:b/>
      <w:bCs/>
    </w:rPr>
  </w:style>
  <w:style w:type="paragraph" w:customStyle="1" w:styleId="Articlenormaltext">
    <w:name w:val="Article normal text"/>
    <w:qFormat/>
    <w:rsid w:val="00AF3136"/>
    <w:pPr>
      <w:spacing w:line="264" w:lineRule="auto"/>
      <w:ind w:firstLine="284"/>
      <w:jc w:val="both"/>
    </w:pPr>
    <w:rPr>
      <w:rFonts w:ascii="Times New Roman" w:hAnsi="Times New Roman"/>
      <w:spacing w:val="4"/>
      <w:sz w:val="22"/>
    </w:rPr>
  </w:style>
  <w:style w:type="character" w:customStyle="1" w:styleId="1Char">
    <w:name w:val="Επικεφαλίδα 1 Char"/>
    <w:aliases w:val="Title 1 Char"/>
    <w:basedOn w:val="a0"/>
    <w:link w:val="1"/>
    <w:uiPriority w:val="9"/>
    <w:rsid w:val="00C72FAD"/>
    <w:rPr>
      <w:rFonts w:ascii="Arial Nova" w:hAnsi="Arial Nova" w:cs="Arial"/>
      <w:b/>
      <w:bCs/>
      <w:color w:val="1B8ABC"/>
      <w:sz w:val="28"/>
      <w:szCs w:val="22"/>
    </w:rPr>
  </w:style>
  <w:style w:type="character" w:customStyle="1" w:styleId="3Char">
    <w:name w:val="Επικεφαλίδα 3 Char"/>
    <w:aliases w:val="Title 3 Char"/>
    <w:basedOn w:val="a0"/>
    <w:link w:val="3"/>
    <w:uiPriority w:val="9"/>
    <w:rsid w:val="00482031"/>
    <w:rPr>
      <w:rFonts w:ascii="Arial Nova" w:eastAsiaTheme="majorEastAsia" w:hAnsi="Arial Nova" w:cs="Arial"/>
      <w:i/>
      <w:iCs/>
    </w:rPr>
  </w:style>
  <w:style w:type="character" w:customStyle="1" w:styleId="4Char">
    <w:name w:val="Επικεφαλίδα 4 Char"/>
    <w:basedOn w:val="a0"/>
    <w:link w:val="4"/>
    <w:uiPriority w:val="9"/>
    <w:semiHidden/>
    <w:rsid w:val="00B25575"/>
    <w:rPr>
      <w:rFonts w:asciiTheme="majorHAnsi" w:eastAsiaTheme="majorEastAsia" w:hAnsiTheme="majorHAnsi" w:cstheme="majorBidi"/>
      <w:i/>
      <w:iCs/>
      <w:color w:val="2E74B5" w:themeColor="accent1" w:themeShade="BF"/>
      <w:sz w:val="22"/>
      <w:szCs w:val="22"/>
      <w:lang w:val="it-IT"/>
    </w:rPr>
  </w:style>
  <w:style w:type="character" w:customStyle="1" w:styleId="5Char">
    <w:name w:val="Επικεφαλίδα 5 Char"/>
    <w:basedOn w:val="a0"/>
    <w:link w:val="5"/>
    <w:uiPriority w:val="9"/>
    <w:semiHidden/>
    <w:rsid w:val="00B25575"/>
    <w:rPr>
      <w:rFonts w:asciiTheme="majorHAnsi" w:eastAsiaTheme="majorEastAsia" w:hAnsiTheme="majorHAnsi" w:cstheme="majorBidi"/>
      <w:color w:val="2E74B5" w:themeColor="accent1" w:themeShade="BF"/>
      <w:sz w:val="22"/>
      <w:szCs w:val="22"/>
      <w:lang w:val="it-IT"/>
    </w:rPr>
  </w:style>
  <w:style w:type="character" w:customStyle="1" w:styleId="6Char">
    <w:name w:val="Επικεφαλίδα 6 Char"/>
    <w:basedOn w:val="a0"/>
    <w:link w:val="6"/>
    <w:uiPriority w:val="9"/>
    <w:semiHidden/>
    <w:rsid w:val="00B25575"/>
    <w:rPr>
      <w:rFonts w:asciiTheme="majorHAnsi" w:eastAsiaTheme="majorEastAsia" w:hAnsiTheme="majorHAnsi" w:cstheme="majorBidi"/>
      <w:color w:val="1F4D78" w:themeColor="accent1" w:themeShade="7F"/>
      <w:sz w:val="22"/>
      <w:szCs w:val="22"/>
      <w:lang w:val="it-IT"/>
    </w:rPr>
  </w:style>
  <w:style w:type="character" w:customStyle="1" w:styleId="7Char">
    <w:name w:val="Επικεφαλίδα 7 Char"/>
    <w:basedOn w:val="a0"/>
    <w:link w:val="7"/>
    <w:uiPriority w:val="9"/>
    <w:semiHidden/>
    <w:rsid w:val="00B25575"/>
    <w:rPr>
      <w:rFonts w:asciiTheme="majorHAnsi" w:eastAsiaTheme="majorEastAsia" w:hAnsiTheme="majorHAnsi" w:cstheme="majorBidi"/>
      <w:i/>
      <w:iCs/>
      <w:color w:val="1F4D78" w:themeColor="accent1" w:themeShade="7F"/>
      <w:sz w:val="22"/>
      <w:szCs w:val="22"/>
      <w:lang w:val="it-IT"/>
    </w:rPr>
  </w:style>
  <w:style w:type="character" w:customStyle="1" w:styleId="8Char">
    <w:name w:val="Επικεφαλίδα 8 Char"/>
    <w:basedOn w:val="a0"/>
    <w:link w:val="8"/>
    <w:uiPriority w:val="9"/>
    <w:semiHidden/>
    <w:rsid w:val="00B25575"/>
    <w:rPr>
      <w:rFonts w:asciiTheme="majorHAnsi" w:eastAsiaTheme="majorEastAsia" w:hAnsiTheme="majorHAnsi" w:cstheme="majorBidi"/>
      <w:color w:val="272727" w:themeColor="text1" w:themeTint="D8"/>
      <w:sz w:val="21"/>
      <w:szCs w:val="21"/>
      <w:lang w:val="it-IT"/>
    </w:rPr>
  </w:style>
  <w:style w:type="character" w:customStyle="1" w:styleId="9Char">
    <w:name w:val="Επικεφαλίδα 9 Char"/>
    <w:basedOn w:val="a0"/>
    <w:link w:val="9"/>
    <w:uiPriority w:val="9"/>
    <w:semiHidden/>
    <w:rsid w:val="00B25575"/>
    <w:rPr>
      <w:rFonts w:asciiTheme="majorHAnsi" w:eastAsiaTheme="majorEastAsia" w:hAnsiTheme="majorHAnsi" w:cstheme="majorBidi"/>
      <w:i/>
      <w:iCs/>
      <w:color w:val="272727" w:themeColor="text1" w:themeTint="D8"/>
      <w:sz w:val="21"/>
      <w:szCs w:val="21"/>
      <w:lang w:val="it-IT"/>
    </w:rPr>
  </w:style>
  <w:style w:type="character" w:styleId="a8">
    <w:name w:val="annotation reference"/>
    <w:basedOn w:val="a0"/>
    <w:uiPriority w:val="99"/>
    <w:semiHidden/>
    <w:unhideWhenUsed/>
    <w:rsid w:val="00485598"/>
    <w:rPr>
      <w:sz w:val="16"/>
      <w:szCs w:val="16"/>
    </w:rPr>
  </w:style>
  <w:style w:type="paragraph" w:styleId="a9">
    <w:name w:val="annotation text"/>
    <w:basedOn w:val="a"/>
    <w:link w:val="Char3"/>
    <w:uiPriority w:val="99"/>
    <w:unhideWhenUsed/>
    <w:rsid w:val="00485598"/>
    <w:pPr>
      <w:spacing w:line="240" w:lineRule="auto"/>
    </w:pPr>
    <w:rPr>
      <w:sz w:val="20"/>
      <w:szCs w:val="20"/>
    </w:rPr>
  </w:style>
  <w:style w:type="character" w:customStyle="1" w:styleId="Char3">
    <w:name w:val="Κείμενο σχολίου Char"/>
    <w:basedOn w:val="a0"/>
    <w:link w:val="a9"/>
    <w:uiPriority w:val="99"/>
    <w:rsid w:val="00485598"/>
    <w:rPr>
      <w:lang w:val="it-IT"/>
    </w:rPr>
  </w:style>
  <w:style w:type="paragraph" w:styleId="aa">
    <w:name w:val="annotation subject"/>
    <w:basedOn w:val="a9"/>
    <w:next w:val="a9"/>
    <w:link w:val="Char4"/>
    <w:uiPriority w:val="99"/>
    <w:semiHidden/>
    <w:unhideWhenUsed/>
    <w:rsid w:val="00485598"/>
    <w:rPr>
      <w:b/>
      <w:bCs/>
    </w:rPr>
  </w:style>
  <w:style w:type="character" w:customStyle="1" w:styleId="Char4">
    <w:name w:val="Θέμα σχολίου Char"/>
    <w:basedOn w:val="Char3"/>
    <w:link w:val="aa"/>
    <w:uiPriority w:val="99"/>
    <w:semiHidden/>
    <w:rsid w:val="00485598"/>
    <w:rPr>
      <w:b/>
      <w:bCs/>
      <w:lang w:val="it-IT"/>
    </w:rPr>
  </w:style>
  <w:style w:type="numbering" w:customStyle="1" w:styleId="Listeactuelle1">
    <w:name w:val="Liste actuelle1"/>
    <w:uiPriority w:val="99"/>
    <w:rsid w:val="00B26B6C"/>
    <w:pPr>
      <w:numPr>
        <w:numId w:val="7"/>
      </w:numPr>
    </w:pPr>
  </w:style>
  <w:style w:type="paragraph" w:customStyle="1" w:styleId="Articletype">
    <w:name w:val="Article type"/>
    <w:basedOn w:val="a"/>
    <w:next w:val="a"/>
    <w:qFormat/>
    <w:rsid w:val="000323B4"/>
    <w:pPr>
      <w:pBdr>
        <w:top w:val="single" w:sz="24" w:space="10" w:color="auto"/>
      </w:pBdr>
    </w:pPr>
    <w:rPr>
      <w:rFonts w:ascii="Arial Nova" w:hAnsi="Arial Nova"/>
      <w:lang w:val="en-US"/>
    </w:rPr>
  </w:style>
  <w:style w:type="paragraph" w:customStyle="1" w:styleId="Authors">
    <w:name w:val="Authors"/>
    <w:basedOn w:val="HeaderAuthors"/>
    <w:qFormat/>
    <w:rsid w:val="003F34C2"/>
    <w:rPr>
      <w:i w:val="0"/>
      <w:iCs w:val="0"/>
      <w:lang w:val="fr-CH"/>
    </w:rPr>
  </w:style>
  <w:style w:type="numbering" w:customStyle="1" w:styleId="Listeactuelle2">
    <w:name w:val="Liste actuelle2"/>
    <w:uiPriority w:val="99"/>
    <w:rsid w:val="0070451C"/>
    <w:pPr>
      <w:numPr>
        <w:numId w:val="8"/>
      </w:numPr>
    </w:pPr>
  </w:style>
  <w:style w:type="character" w:styleId="ab">
    <w:name w:val="Unresolved Mention"/>
    <w:basedOn w:val="a0"/>
    <w:uiPriority w:val="99"/>
    <w:semiHidden/>
    <w:unhideWhenUsed/>
    <w:rsid w:val="009846C5"/>
    <w:rPr>
      <w:color w:val="605E5C"/>
      <w:shd w:val="clear" w:color="auto" w:fill="E1DFDD"/>
    </w:rPr>
  </w:style>
  <w:style w:type="paragraph" w:customStyle="1" w:styleId="IJSGTitle">
    <w:name w:val="IJSG Title"/>
    <w:qFormat/>
    <w:rsid w:val="0046687F"/>
    <w:rPr>
      <w:rFonts w:ascii="Arial Nova" w:hAnsi="Arial Nova" w:cs="Arial"/>
      <w:color w:val="000000" w:themeColor="text1"/>
      <w:sz w:val="21"/>
      <w:szCs w:val="21"/>
    </w:rPr>
  </w:style>
  <w:style w:type="paragraph" w:customStyle="1" w:styleId="Authorsaffiliation">
    <w:name w:val="Authors affiliation"/>
    <w:qFormat/>
    <w:rsid w:val="003B79DE"/>
    <w:rPr>
      <w:rFonts w:ascii="Times New Roman" w:hAnsi="Times New Roman"/>
      <w:i/>
      <w:iCs/>
      <w:sz w:val="18"/>
      <w:szCs w:val="18"/>
      <w:lang w:val="fr-CH"/>
    </w:rPr>
  </w:style>
  <w:style w:type="paragraph" w:customStyle="1" w:styleId="ArticleInfo">
    <w:name w:val="Article Info"/>
    <w:qFormat/>
    <w:rsid w:val="004B6324"/>
    <w:rPr>
      <w:rFonts w:ascii="Times New Roman" w:hAnsi="Times New Roman"/>
      <w:sz w:val="18"/>
      <w:szCs w:val="18"/>
    </w:rPr>
  </w:style>
  <w:style w:type="paragraph" w:customStyle="1" w:styleId="HeaderAuthors">
    <w:name w:val="Header Authors"/>
    <w:basedOn w:val="a"/>
    <w:qFormat/>
    <w:rsid w:val="00BE0646"/>
    <w:pPr>
      <w:tabs>
        <w:tab w:val="center" w:pos="4819"/>
        <w:tab w:val="right" w:pos="9638"/>
      </w:tabs>
      <w:spacing w:line="240" w:lineRule="auto"/>
    </w:pPr>
    <w:rPr>
      <w:rFonts w:ascii="Times New Roman" w:hAnsi="Times New Roman"/>
      <w:i/>
      <w:iCs/>
      <w:sz w:val="20"/>
      <w:lang w:val="en-US"/>
    </w:rPr>
  </w:style>
  <w:style w:type="paragraph" w:customStyle="1" w:styleId="FooterIJSG">
    <w:name w:val="Footer IJSG"/>
    <w:basedOn w:val="a"/>
    <w:qFormat/>
    <w:rsid w:val="00E05F03"/>
    <w:rPr>
      <w:sz w:val="18"/>
      <w:szCs w:val="18"/>
      <w:lang w:val="en-US"/>
    </w:rPr>
  </w:style>
  <w:style w:type="paragraph" w:customStyle="1" w:styleId="FooterPagenumber">
    <w:name w:val="Footer Page number"/>
    <w:qFormat/>
    <w:rsid w:val="008215DF"/>
    <w:rPr>
      <w:b/>
    </w:rPr>
  </w:style>
  <w:style w:type="paragraph" w:customStyle="1" w:styleId="References">
    <w:name w:val="References"/>
    <w:basedOn w:val="a"/>
    <w:qFormat/>
    <w:rsid w:val="00126660"/>
    <w:pPr>
      <w:tabs>
        <w:tab w:val="left" w:pos="426"/>
      </w:tabs>
    </w:pPr>
    <w:rPr>
      <w:rFonts w:ascii="Times New Roman" w:hAnsi="Times New Roman"/>
      <w:sz w:val="20"/>
      <w:szCs w:val="18"/>
      <w:lang w:val="en-US"/>
    </w:rPr>
  </w:style>
  <w:style w:type="paragraph" w:customStyle="1" w:styleId="Ligne">
    <w:name w:val="Ligne"/>
    <w:basedOn w:val="a"/>
    <w:next w:val="AbstractText"/>
    <w:qFormat/>
    <w:rsid w:val="00646F70"/>
    <w:pPr>
      <w:pBdr>
        <w:bottom w:val="single" w:sz="4" w:space="1" w:color="auto"/>
      </w:pBdr>
      <w:spacing w:after="120"/>
    </w:pPr>
    <w:rPr>
      <w:sz w:val="10"/>
      <w:szCs w:val="10"/>
      <w:lang w:val="en-US"/>
    </w:rPr>
  </w:style>
  <w:style w:type="paragraph" w:customStyle="1" w:styleId="TableText">
    <w:name w:val="Table Text"/>
    <w:basedOn w:val="a"/>
    <w:qFormat/>
    <w:rsid w:val="00A922EF"/>
    <w:rPr>
      <w:rFonts w:ascii="Arial" w:hAnsi="Arial" w:cs="Arial"/>
      <w:sz w:val="16"/>
      <w:szCs w:val="16"/>
      <w:lang w:val="en-US"/>
    </w:rPr>
  </w:style>
  <w:style w:type="numbering" w:customStyle="1" w:styleId="Listeactuelle3">
    <w:name w:val="Liste actuelle3"/>
    <w:uiPriority w:val="99"/>
    <w:rsid w:val="00482031"/>
    <w:pPr>
      <w:numPr>
        <w:numId w:val="9"/>
      </w:numPr>
    </w:pPr>
  </w:style>
  <w:style w:type="paragraph" w:styleId="ac">
    <w:name w:val="List Paragraph"/>
    <w:basedOn w:val="a"/>
    <w:uiPriority w:val="34"/>
    <w:qFormat/>
    <w:rsid w:val="00227A38"/>
    <w:pPr>
      <w:spacing w:after="160" w:line="259" w:lineRule="auto"/>
      <w:ind w:left="720"/>
      <w:contextualSpacing/>
    </w:pPr>
    <w:rPr>
      <w:rFonts w:asciiTheme="minorHAnsi" w:eastAsiaTheme="minorHAnsi" w:hAnsiTheme="minorHAnsi" w:cstheme="minorBidi"/>
      <w:lang w:val="el-GR"/>
    </w:rPr>
  </w:style>
  <w:style w:type="paragraph" w:styleId="ad">
    <w:name w:val="Revision"/>
    <w:hidden/>
    <w:uiPriority w:val="99"/>
    <w:semiHidden/>
    <w:rsid w:val="00885E02"/>
    <w:rPr>
      <w:sz w:val="22"/>
      <w:szCs w:val="22"/>
      <w:lang w:val="it-IT"/>
    </w:rPr>
  </w:style>
  <w:style w:type="paragraph" w:styleId="Web">
    <w:name w:val="Normal (Web)"/>
    <w:basedOn w:val="a"/>
    <w:uiPriority w:val="99"/>
    <w:semiHidden/>
    <w:unhideWhenUsed/>
    <w:rsid w:val="0087239D"/>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5234">
      <w:bodyDiv w:val="1"/>
      <w:marLeft w:val="0"/>
      <w:marRight w:val="0"/>
      <w:marTop w:val="0"/>
      <w:marBottom w:val="0"/>
      <w:divBdr>
        <w:top w:val="none" w:sz="0" w:space="0" w:color="auto"/>
        <w:left w:val="none" w:sz="0" w:space="0" w:color="auto"/>
        <w:bottom w:val="none" w:sz="0" w:space="0" w:color="auto"/>
        <w:right w:val="none" w:sz="0" w:space="0" w:color="auto"/>
      </w:divBdr>
    </w:div>
    <w:div w:id="44715982">
      <w:bodyDiv w:val="1"/>
      <w:marLeft w:val="0"/>
      <w:marRight w:val="0"/>
      <w:marTop w:val="0"/>
      <w:marBottom w:val="0"/>
      <w:divBdr>
        <w:top w:val="none" w:sz="0" w:space="0" w:color="auto"/>
        <w:left w:val="none" w:sz="0" w:space="0" w:color="auto"/>
        <w:bottom w:val="none" w:sz="0" w:space="0" w:color="auto"/>
        <w:right w:val="none" w:sz="0" w:space="0" w:color="auto"/>
      </w:divBdr>
    </w:div>
    <w:div w:id="81419291">
      <w:bodyDiv w:val="1"/>
      <w:marLeft w:val="0"/>
      <w:marRight w:val="0"/>
      <w:marTop w:val="0"/>
      <w:marBottom w:val="0"/>
      <w:divBdr>
        <w:top w:val="none" w:sz="0" w:space="0" w:color="auto"/>
        <w:left w:val="none" w:sz="0" w:space="0" w:color="auto"/>
        <w:bottom w:val="none" w:sz="0" w:space="0" w:color="auto"/>
        <w:right w:val="none" w:sz="0" w:space="0" w:color="auto"/>
      </w:divBdr>
    </w:div>
    <w:div w:id="300765864">
      <w:bodyDiv w:val="1"/>
      <w:marLeft w:val="0"/>
      <w:marRight w:val="0"/>
      <w:marTop w:val="0"/>
      <w:marBottom w:val="0"/>
      <w:divBdr>
        <w:top w:val="none" w:sz="0" w:space="0" w:color="auto"/>
        <w:left w:val="none" w:sz="0" w:space="0" w:color="auto"/>
        <w:bottom w:val="none" w:sz="0" w:space="0" w:color="auto"/>
        <w:right w:val="none" w:sz="0" w:space="0" w:color="auto"/>
      </w:divBdr>
    </w:div>
    <w:div w:id="342441822">
      <w:bodyDiv w:val="1"/>
      <w:marLeft w:val="0"/>
      <w:marRight w:val="0"/>
      <w:marTop w:val="0"/>
      <w:marBottom w:val="0"/>
      <w:divBdr>
        <w:top w:val="none" w:sz="0" w:space="0" w:color="auto"/>
        <w:left w:val="none" w:sz="0" w:space="0" w:color="auto"/>
        <w:bottom w:val="none" w:sz="0" w:space="0" w:color="auto"/>
        <w:right w:val="none" w:sz="0" w:space="0" w:color="auto"/>
      </w:divBdr>
    </w:div>
    <w:div w:id="562375840">
      <w:bodyDiv w:val="1"/>
      <w:marLeft w:val="0"/>
      <w:marRight w:val="0"/>
      <w:marTop w:val="0"/>
      <w:marBottom w:val="0"/>
      <w:divBdr>
        <w:top w:val="none" w:sz="0" w:space="0" w:color="auto"/>
        <w:left w:val="none" w:sz="0" w:space="0" w:color="auto"/>
        <w:bottom w:val="none" w:sz="0" w:space="0" w:color="auto"/>
        <w:right w:val="none" w:sz="0" w:space="0" w:color="auto"/>
      </w:divBdr>
      <w:divsChild>
        <w:div w:id="316421952">
          <w:marLeft w:val="0"/>
          <w:marRight w:val="0"/>
          <w:marTop w:val="0"/>
          <w:marBottom w:val="0"/>
          <w:divBdr>
            <w:top w:val="none" w:sz="0" w:space="0" w:color="auto"/>
            <w:left w:val="none" w:sz="0" w:space="0" w:color="auto"/>
            <w:bottom w:val="none" w:sz="0" w:space="0" w:color="auto"/>
            <w:right w:val="none" w:sz="0" w:space="0" w:color="auto"/>
          </w:divBdr>
          <w:divsChild>
            <w:div w:id="1960529282">
              <w:marLeft w:val="0"/>
              <w:marRight w:val="0"/>
              <w:marTop w:val="0"/>
              <w:marBottom w:val="0"/>
              <w:divBdr>
                <w:top w:val="none" w:sz="0" w:space="0" w:color="auto"/>
                <w:left w:val="none" w:sz="0" w:space="0" w:color="auto"/>
                <w:bottom w:val="none" w:sz="0" w:space="0" w:color="auto"/>
                <w:right w:val="none" w:sz="0" w:space="0" w:color="auto"/>
              </w:divBdr>
              <w:divsChild>
                <w:div w:id="567376721">
                  <w:marLeft w:val="0"/>
                  <w:marRight w:val="0"/>
                  <w:marTop w:val="0"/>
                  <w:marBottom w:val="0"/>
                  <w:divBdr>
                    <w:top w:val="none" w:sz="0" w:space="0" w:color="auto"/>
                    <w:left w:val="none" w:sz="0" w:space="0" w:color="auto"/>
                    <w:bottom w:val="none" w:sz="0" w:space="0" w:color="auto"/>
                    <w:right w:val="none" w:sz="0" w:space="0" w:color="auto"/>
                  </w:divBdr>
                  <w:divsChild>
                    <w:div w:id="55551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430666">
      <w:bodyDiv w:val="1"/>
      <w:marLeft w:val="0"/>
      <w:marRight w:val="0"/>
      <w:marTop w:val="0"/>
      <w:marBottom w:val="0"/>
      <w:divBdr>
        <w:top w:val="none" w:sz="0" w:space="0" w:color="auto"/>
        <w:left w:val="none" w:sz="0" w:space="0" w:color="auto"/>
        <w:bottom w:val="none" w:sz="0" w:space="0" w:color="auto"/>
        <w:right w:val="none" w:sz="0" w:space="0" w:color="auto"/>
      </w:divBdr>
    </w:div>
    <w:div w:id="1138691062">
      <w:bodyDiv w:val="1"/>
      <w:marLeft w:val="0"/>
      <w:marRight w:val="0"/>
      <w:marTop w:val="0"/>
      <w:marBottom w:val="0"/>
      <w:divBdr>
        <w:top w:val="none" w:sz="0" w:space="0" w:color="auto"/>
        <w:left w:val="none" w:sz="0" w:space="0" w:color="auto"/>
        <w:bottom w:val="none" w:sz="0" w:space="0" w:color="auto"/>
        <w:right w:val="none" w:sz="0" w:space="0" w:color="auto"/>
      </w:divBdr>
    </w:div>
    <w:div w:id="1199510619">
      <w:bodyDiv w:val="1"/>
      <w:marLeft w:val="0"/>
      <w:marRight w:val="0"/>
      <w:marTop w:val="0"/>
      <w:marBottom w:val="0"/>
      <w:divBdr>
        <w:top w:val="none" w:sz="0" w:space="0" w:color="auto"/>
        <w:left w:val="none" w:sz="0" w:space="0" w:color="auto"/>
        <w:bottom w:val="none" w:sz="0" w:space="0" w:color="auto"/>
        <w:right w:val="none" w:sz="0" w:space="0" w:color="auto"/>
      </w:divBdr>
    </w:div>
    <w:div w:id="1456631975">
      <w:bodyDiv w:val="1"/>
      <w:marLeft w:val="0"/>
      <w:marRight w:val="0"/>
      <w:marTop w:val="0"/>
      <w:marBottom w:val="0"/>
      <w:divBdr>
        <w:top w:val="none" w:sz="0" w:space="0" w:color="auto"/>
        <w:left w:val="none" w:sz="0" w:space="0" w:color="auto"/>
        <w:bottom w:val="none" w:sz="0" w:space="0" w:color="auto"/>
        <w:right w:val="none" w:sz="0" w:space="0" w:color="auto"/>
      </w:divBdr>
      <w:divsChild>
        <w:div w:id="1376540774">
          <w:marLeft w:val="0"/>
          <w:marRight w:val="0"/>
          <w:marTop w:val="0"/>
          <w:marBottom w:val="105"/>
          <w:divBdr>
            <w:top w:val="none" w:sz="0" w:space="0" w:color="auto"/>
            <w:left w:val="none" w:sz="0" w:space="0" w:color="auto"/>
            <w:bottom w:val="none" w:sz="0" w:space="0" w:color="auto"/>
            <w:right w:val="none" w:sz="0" w:space="0" w:color="auto"/>
          </w:divBdr>
        </w:div>
      </w:divsChild>
    </w:div>
    <w:div w:id="1478835097">
      <w:bodyDiv w:val="1"/>
      <w:marLeft w:val="0"/>
      <w:marRight w:val="0"/>
      <w:marTop w:val="0"/>
      <w:marBottom w:val="0"/>
      <w:divBdr>
        <w:top w:val="none" w:sz="0" w:space="0" w:color="auto"/>
        <w:left w:val="none" w:sz="0" w:space="0" w:color="auto"/>
        <w:bottom w:val="none" w:sz="0" w:space="0" w:color="auto"/>
        <w:right w:val="none" w:sz="0" w:space="0" w:color="auto"/>
      </w:divBdr>
    </w:div>
    <w:div w:id="1578317834">
      <w:bodyDiv w:val="1"/>
      <w:marLeft w:val="0"/>
      <w:marRight w:val="0"/>
      <w:marTop w:val="0"/>
      <w:marBottom w:val="0"/>
      <w:divBdr>
        <w:top w:val="none" w:sz="0" w:space="0" w:color="auto"/>
        <w:left w:val="none" w:sz="0" w:space="0" w:color="auto"/>
        <w:bottom w:val="none" w:sz="0" w:space="0" w:color="auto"/>
        <w:right w:val="none" w:sz="0" w:space="0" w:color="auto"/>
      </w:divBdr>
      <w:divsChild>
        <w:div w:id="2036886985">
          <w:marLeft w:val="0"/>
          <w:marRight w:val="0"/>
          <w:marTop w:val="0"/>
          <w:marBottom w:val="105"/>
          <w:divBdr>
            <w:top w:val="none" w:sz="0" w:space="0" w:color="auto"/>
            <w:left w:val="none" w:sz="0" w:space="0" w:color="auto"/>
            <w:bottom w:val="none" w:sz="0" w:space="0" w:color="auto"/>
            <w:right w:val="none" w:sz="0" w:space="0" w:color="auto"/>
          </w:divBdr>
        </w:div>
      </w:divsChild>
    </w:div>
    <w:div w:id="1604536219">
      <w:bodyDiv w:val="1"/>
      <w:marLeft w:val="0"/>
      <w:marRight w:val="0"/>
      <w:marTop w:val="0"/>
      <w:marBottom w:val="0"/>
      <w:divBdr>
        <w:top w:val="none" w:sz="0" w:space="0" w:color="auto"/>
        <w:left w:val="none" w:sz="0" w:space="0" w:color="auto"/>
        <w:bottom w:val="none" w:sz="0" w:space="0" w:color="auto"/>
        <w:right w:val="none" w:sz="0" w:space="0" w:color="auto"/>
      </w:divBdr>
      <w:divsChild>
        <w:div w:id="1727988195">
          <w:marLeft w:val="0"/>
          <w:marRight w:val="0"/>
          <w:marTop w:val="0"/>
          <w:marBottom w:val="0"/>
          <w:divBdr>
            <w:top w:val="none" w:sz="0" w:space="0" w:color="auto"/>
            <w:left w:val="none" w:sz="0" w:space="0" w:color="auto"/>
            <w:bottom w:val="none" w:sz="0" w:space="0" w:color="auto"/>
            <w:right w:val="none" w:sz="0" w:space="0" w:color="auto"/>
          </w:divBdr>
          <w:divsChild>
            <w:div w:id="116065189">
              <w:marLeft w:val="0"/>
              <w:marRight w:val="0"/>
              <w:marTop w:val="0"/>
              <w:marBottom w:val="0"/>
              <w:divBdr>
                <w:top w:val="none" w:sz="0" w:space="0" w:color="auto"/>
                <w:left w:val="none" w:sz="0" w:space="0" w:color="auto"/>
                <w:bottom w:val="none" w:sz="0" w:space="0" w:color="auto"/>
                <w:right w:val="none" w:sz="0" w:space="0" w:color="auto"/>
              </w:divBdr>
              <w:divsChild>
                <w:div w:id="1392579899">
                  <w:marLeft w:val="0"/>
                  <w:marRight w:val="0"/>
                  <w:marTop w:val="0"/>
                  <w:marBottom w:val="0"/>
                  <w:divBdr>
                    <w:top w:val="none" w:sz="0" w:space="0" w:color="auto"/>
                    <w:left w:val="none" w:sz="0" w:space="0" w:color="auto"/>
                    <w:bottom w:val="none" w:sz="0" w:space="0" w:color="auto"/>
                    <w:right w:val="none" w:sz="0" w:space="0" w:color="auto"/>
                  </w:divBdr>
                  <w:divsChild>
                    <w:div w:id="2524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640862">
      <w:bodyDiv w:val="1"/>
      <w:marLeft w:val="0"/>
      <w:marRight w:val="0"/>
      <w:marTop w:val="0"/>
      <w:marBottom w:val="0"/>
      <w:divBdr>
        <w:top w:val="none" w:sz="0" w:space="0" w:color="auto"/>
        <w:left w:val="none" w:sz="0" w:space="0" w:color="auto"/>
        <w:bottom w:val="none" w:sz="0" w:space="0" w:color="auto"/>
        <w:right w:val="none" w:sz="0" w:space="0" w:color="auto"/>
      </w:divBdr>
    </w:div>
    <w:div w:id="2010861574">
      <w:bodyDiv w:val="1"/>
      <w:marLeft w:val="0"/>
      <w:marRight w:val="0"/>
      <w:marTop w:val="0"/>
      <w:marBottom w:val="0"/>
      <w:divBdr>
        <w:top w:val="none" w:sz="0" w:space="0" w:color="auto"/>
        <w:left w:val="none" w:sz="0" w:space="0" w:color="auto"/>
        <w:bottom w:val="none" w:sz="0" w:space="0" w:color="auto"/>
        <w:right w:val="none" w:sz="0" w:space="0" w:color="auto"/>
      </w:divBdr>
    </w:div>
    <w:div w:id="211755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3D0EF-E673-47D2-A073-8A915FA10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24900</Words>
  <Characters>134465</Characters>
  <Application>Microsoft Office Word</Application>
  <DocSecurity>0</DocSecurity>
  <Lines>1120</Lines>
  <Paragraphs>318</Paragraphs>
  <ScaleCrop>false</ScaleCrop>
  <HeadingPairs>
    <vt:vector size="10" baseType="variant">
      <vt:variant>
        <vt:lpstr>Τίτλος</vt:lpstr>
      </vt:variant>
      <vt:variant>
        <vt:i4>1</vt:i4>
      </vt:variant>
      <vt:variant>
        <vt:lpstr>Titolo</vt:lpstr>
      </vt:variant>
      <vt:variant>
        <vt:i4>1</vt:i4>
      </vt:variant>
      <vt:variant>
        <vt:lpstr>Titre</vt:lpstr>
      </vt:variant>
      <vt:variant>
        <vt:i4>1</vt:i4>
      </vt:variant>
      <vt:variant>
        <vt:lpstr>Título</vt:lpstr>
      </vt:variant>
      <vt:variant>
        <vt:i4>1</vt:i4>
      </vt:variant>
      <vt:variant>
        <vt:lpstr>Title</vt:lpstr>
      </vt:variant>
      <vt:variant>
        <vt:i4>1</vt:i4>
      </vt:variant>
    </vt:vector>
  </HeadingPairs>
  <TitlesOfParts>
    <vt:vector size="5" baseType="lpstr">
      <vt:lpstr/>
      <vt:lpstr/>
      <vt:lpstr/>
      <vt:lpstr/>
      <vt:lpstr/>
    </vt:vector>
  </TitlesOfParts>
  <Company/>
  <LinksUpToDate>false</LinksUpToDate>
  <CharactersWithSpaces>159047</CharactersWithSpaces>
  <SharedDoc>false</SharedDoc>
  <HLinks>
    <vt:vector size="24" baseType="variant">
      <vt:variant>
        <vt:i4>5439550</vt:i4>
      </vt:variant>
      <vt:variant>
        <vt:i4>0</vt:i4>
      </vt:variant>
      <vt:variant>
        <vt:i4>0</vt:i4>
      </vt:variant>
      <vt:variant>
        <vt:i4>5</vt:i4>
      </vt:variant>
      <vt:variant>
        <vt:lpwstr>http://www.sensegraphics.com/datasheet/H3DAPI_datasheet.pdf</vt:lpwstr>
      </vt:variant>
      <vt:variant>
        <vt:lpwstr/>
      </vt:variant>
      <vt:variant>
        <vt:i4>2818165</vt:i4>
      </vt:variant>
      <vt:variant>
        <vt:i4>15</vt:i4>
      </vt:variant>
      <vt:variant>
        <vt:i4>0</vt:i4>
      </vt:variant>
      <vt:variant>
        <vt:i4>5</vt:i4>
      </vt:variant>
      <vt:variant>
        <vt:lpwstr>http://journal.seriousgamessociety.org/</vt:lpwstr>
      </vt:variant>
      <vt:variant>
        <vt:lpwstr/>
      </vt:variant>
      <vt:variant>
        <vt:i4>2818165</vt:i4>
      </vt:variant>
      <vt:variant>
        <vt:i4>9</vt:i4>
      </vt:variant>
      <vt:variant>
        <vt:i4>0</vt:i4>
      </vt:variant>
      <vt:variant>
        <vt:i4>5</vt:i4>
      </vt:variant>
      <vt:variant>
        <vt:lpwstr>http://journal.seriousgamessociety.org/</vt:lpwstr>
      </vt:variant>
      <vt:variant>
        <vt:lpwstr/>
      </vt:variant>
      <vt:variant>
        <vt:i4>2818165</vt:i4>
      </vt:variant>
      <vt:variant>
        <vt:i4>6</vt:i4>
      </vt:variant>
      <vt:variant>
        <vt:i4>0</vt:i4>
      </vt:variant>
      <vt:variant>
        <vt:i4>5</vt:i4>
      </vt:variant>
      <vt:variant>
        <vt:lpwstr>http://journal.seriousgamessociety.org/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Carmosino</dc:creator>
  <cp:keywords/>
  <dc:description/>
  <cp:lastModifiedBy>Ioannis Thamnopoulos</cp:lastModifiedBy>
  <cp:revision>3</cp:revision>
  <cp:lastPrinted>2022-08-24T12:59:00Z</cp:lastPrinted>
  <dcterms:created xsi:type="dcterms:W3CDTF">2025-02-23T22:09:00Z</dcterms:created>
  <dcterms:modified xsi:type="dcterms:W3CDTF">2025-02-23T22:14:00Z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id="7VmXXIfM"/&gt;&lt;style id="http://www.zotero.org/styles/ieee" locale="en-US" hasBibliography="1" bibliographyStyleHasBeenSet="1"/&gt;&lt;prefs&gt;&lt;pref name="fieldType" value="Field"/&gt;&lt;/prefs&gt;&lt;/data&gt;</vt:lpwstr>
  </property>
  <property fmtid="{D5CDD505-2E9C-101B-9397-08002B2CF9AE}" pid="3" name="Mendeley Document_1">
    <vt:lpwstr>True</vt:lpwstr>
  </property>
  <property fmtid="{D5CDD505-2E9C-101B-9397-08002B2CF9AE}" pid="4" name="Mendeley Citation Style_1">
    <vt:lpwstr>http://www.zotero.org/styles/ieee</vt:lpwstr>
  </property>
  <property fmtid="{D5CDD505-2E9C-101B-9397-08002B2CF9AE}" pid="5" name="Mendeley Recent Style Id 0_1">
    <vt:lpwstr>http://www.zotero.org/styles/american-journal-of-archaeology</vt:lpwstr>
  </property>
  <property fmtid="{D5CDD505-2E9C-101B-9397-08002B2CF9AE}" pid="6" name="Mendeley Recent Style Name 0_1">
    <vt:lpwstr>American Journal of Archaeology</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 11th edition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y fmtid="{D5CDD505-2E9C-101B-9397-08002B2CF9AE}" pid="25" name="Mendeley Unique User Id_1">
    <vt:lpwstr>4e4a24a4-ea33-3725-a99b-d36e6f17c3a3</vt:lpwstr>
  </property>
</Properties>
</file>