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2F5D9" w14:textId="75C5CAA7" w:rsidR="00AD74F8" w:rsidRPr="00644CB1" w:rsidRDefault="008D4789" w:rsidP="00BE2375">
      <w:pPr>
        <w:rPr>
          <w:rFonts w:ascii="Times New Roman" w:hAnsi="Times New Roman"/>
          <w:color w:val="0D0D0D" w:themeColor="text1" w:themeTint="F2"/>
        </w:rPr>
      </w:pPr>
      <w:r w:rsidRPr="00644CB1">
        <w:rPr>
          <w:rFonts w:ascii="Times New Roman" w:hAnsi="Times New Roman"/>
          <w:noProof/>
          <w:color w:val="0D0D0D" w:themeColor="text1" w:themeTint="F2"/>
          <w:lang w:val="es-MX" w:eastAsia="es-MX"/>
        </w:rPr>
        <w:drawing>
          <wp:anchor distT="0" distB="382143" distL="136525" distR="136525" simplePos="0" relativeHeight="251658240" behindDoc="0" locked="0" layoutInCell="1" allowOverlap="0" wp14:anchorId="0821C6DB" wp14:editId="371A13A3">
            <wp:simplePos x="0" y="0"/>
            <wp:positionH relativeFrom="column">
              <wp:posOffset>-19050</wp:posOffset>
            </wp:positionH>
            <wp:positionV relativeFrom="paragraph">
              <wp:posOffset>119380</wp:posOffset>
            </wp:positionV>
            <wp:extent cx="543560" cy="895985"/>
            <wp:effectExtent l="0" t="0" r="2540" b="5715"/>
            <wp:wrapNone/>
            <wp:docPr id="14" name="Immagine 5" descr="International Journal of Serious 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descr="International Journal of Serious Gam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43560" cy="89598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D87A20" w14:textId="6CB84F44" w:rsidR="008C4A3A" w:rsidRPr="00644CB1" w:rsidRDefault="008C4A3A" w:rsidP="00F7548B">
      <w:pPr>
        <w:pStyle w:val="IJSGTitle"/>
        <w:shd w:val="solid" w:color="2AABE1" w:fill="auto"/>
        <w:ind w:left="1276" w:firstLine="284"/>
        <w:rPr>
          <w:rFonts w:ascii="Times New Roman" w:hAnsi="Times New Roman" w:cs="Times New Roman"/>
          <w:b/>
          <w:bCs/>
          <w:color w:val="0D0D0D" w:themeColor="text1" w:themeTint="F2"/>
          <w:sz w:val="22"/>
          <w:szCs w:val="22"/>
        </w:rPr>
      </w:pPr>
    </w:p>
    <w:p w14:paraId="44C3506C" w14:textId="4D758B67" w:rsidR="009846C5" w:rsidRPr="00644CB1" w:rsidRDefault="009846C5" w:rsidP="1BCABAC3">
      <w:pPr>
        <w:pStyle w:val="IJSGTitle"/>
        <w:ind w:left="1276" w:firstLine="284"/>
        <w:rPr>
          <w:rFonts w:ascii="Times New Roman" w:hAnsi="Times New Roman" w:cs="Times New Roman"/>
          <w:b/>
          <w:bCs/>
          <w:color w:val="0D0D0D" w:themeColor="text1" w:themeTint="F2"/>
          <w:sz w:val="22"/>
          <w:szCs w:val="22"/>
          <w:lang w:val="it-IT"/>
        </w:rPr>
      </w:pPr>
      <w:r w:rsidRPr="00644CB1">
        <w:rPr>
          <w:rFonts w:ascii="Times New Roman" w:hAnsi="Times New Roman" w:cs="Times New Roman"/>
          <w:b/>
          <w:bCs/>
          <w:color w:val="0D0D0D" w:themeColor="text1" w:themeTint="F2"/>
          <w:sz w:val="22"/>
          <w:szCs w:val="22"/>
          <w:lang w:val="it-IT"/>
        </w:rPr>
        <w:t>International Journal of Serious Games</w:t>
      </w:r>
    </w:p>
    <w:p w14:paraId="0B2A33A0" w14:textId="77777777" w:rsidR="003D63B0" w:rsidRPr="00644CB1" w:rsidRDefault="003D63B0" w:rsidP="00BC4306">
      <w:pPr>
        <w:pStyle w:val="IJSGTitle"/>
        <w:shd w:val="solid" w:color="2AABE1" w:fill="auto"/>
        <w:ind w:left="1276" w:firstLine="283"/>
        <w:rPr>
          <w:rFonts w:ascii="Times New Roman" w:hAnsi="Times New Roman" w:cs="Times New Roman"/>
          <w:color w:val="0D0D0D" w:themeColor="text1" w:themeTint="F2"/>
          <w:sz w:val="22"/>
          <w:szCs w:val="22"/>
        </w:rPr>
      </w:pPr>
    </w:p>
    <w:p w14:paraId="4E14B08A" w14:textId="0DC64AA4" w:rsidR="00691041" w:rsidRPr="00644CB1" w:rsidRDefault="00996EF4" w:rsidP="00BC4306">
      <w:pPr>
        <w:pStyle w:val="IJSGTitle"/>
        <w:shd w:val="solid" w:color="2AABE1" w:fill="auto"/>
        <w:ind w:left="1276" w:firstLine="283"/>
        <w:rPr>
          <w:rFonts w:ascii="Times New Roman" w:hAnsi="Times New Roman" w:cs="Times New Roman"/>
          <w:color w:val="0D0D0D" w:themeColor="text1" w:themeTint="F2"/>
          <w:sz w:val="22"/>
          <w:szCs w:val="22"/>
        </w:rPr>
      </w:pPr>
      <w:r w:rsidRPr="00644CB1">
        <w:rPr>
          <w:rFonts w:ascii="Times New Roman" w:hAnsi="Times New Roman" w:cs="Times New Roman"/>
          <w:color w:val="0D0D0D" w:themeColor="text1" w:themeTint="F2"/>
          <w:sz w:val="22"/>
          <w:szCs w:val="22"/>
        </w:rPr>
        <w:t>ISSN: 2384-8766</w:t>
      </w:r>
    </w:p>
    <w:p w14:paraId="67CC144F" w14:textId="772BBCC8" w:rsidR="003648E4" w:rsidRPr="00644CB1" w:rsidRDefault="00E1209F" w:rsidP="00BC4306">
      <w:pPr>
        <w:pStyle w:val="IJSGTitle"/>
        <w:shd w:val="solid" w:color="2AABE1" w:fill="auto"/>
        <w:ind w:left="1276" w:firstLine="283"/>
        <w:rPr>
          <w:rFonts w:ascii="Times New Roman" w:hAnsi="Times New Roman" w:cs="Times New Roman"/>
          <w:color w:val="0D0D0D" w:themeColor="text1" w:themeTint="F2"/>
          <w:sz w:val="22"/>
          <w:szCs w:val="22"/>
        </w:rPr>
      </w:pPr>
      <w:r w:rsidRPr="00644CB1">
        <w:rPr>
          <w:rFonts w:ascii="Times New Roman" w:hAnsi="Times New Roman" w:cs="Times New Roman"/>
          <w:color w:val="0D0D0D" w:themeColor="text1" w:themeTint="F2"/>
          <w:sz w:val="22"/>
          <w:szCs w:val="22"/>
        </w:rPr>
        <w:t>https://journal.seriousgamessociety.org/</w:t>
      </w:r>
    </w:p>
    <w:p w14:paraId="278B2B10" w14:textId="77777777" w:rsidR="00E1209F" w:rsidRPr="00644CB1" w:rsidRDefault="00E1209F" w:rsidP="00BC4306">
      <w:pPr>
        <w:pStyle w:val="IJSGTitle"/>
        <w:shd w:val="solid" w:color="2AABE1" w:fill="auto"/>
        <w:ind w:left="1276" w:firstLine="283"/>
        <w:rPr>
          <w:rFonts w:ascii="Times New Roman" w:hAnsi="Times New Roman" w:cs="Times New Roman"/>
          <w:color w:val="0D0D0D" w:themeColor="text1" w:themeTint="F2"/>
          <w:sz w:val="22"/>
          <w:szCs w:val="22"/>
        </w:rPr>
      </w:pPr>
    </w:p>
    <w:p w14:paraId="5EE02A85" w14:textId="414C2ED4" w:rsidR="003736D2" w:rsidRPr="00644CB1" w:rsidRDefault="003736D2" w:rsidP="00BA6E38">
      <w:pPr>
        <w:rPr>
          <w:rFonts w:ascii="Times New Roman" w:hAnsi="Times New Roman"/>
          <w:color w:val="0D0D0D" w:themeColor="text1" w:themeTint="F2"/>
          <w:lang w:val="en-US"/>
        </w:rPr>
      </w:pPr>
    </w:p>
    <w:p w14:paraId="3A185545" w14:textId="77777777" w:rsidR="0002433C" w:rsidRPr="00863767" w:rsidRDefault="0002433C" w:rsidP="0002433C">
      <w:pPr>
        <w:pStyle w:val="Articletype"/>
        <w:rPr>
          <w:color w:val="0D0D0D" w:themeColor="text1" w:themeTint="F2"/>
        </w:rPr>
      </w:pPr>
      <w:r w:rsidRPr="00863767">
        <w:rPr>
          <w:color w:val="0D0D0D" w:themeColor="text1" w:themeTint="F2"/>
        </w:rPr>
        <w:t>Article</w:t>
      </w:r>
    </w:p>
    <w:p w14:paraId="6AAADD3F" w14:textId="771EE6CD" w:rsidR="003E4DDA" w:rsidRPr="00B33DCD" w:rsidRDefault="003E4DDA" w:rsidP="00D73341">
      <w:pPr>
        <w:pStyle w:val="ArticleTitle"/>
        <w:jc w:val="both"/>
        <w:rPr>
          <w:color w:val="0D0D0D" w:themeColor="text1" w:themeTint="F2"/>
          <w:szCs w:val="36"/>
        </w:rPr>
      </w:pPr>
      <w:r w:rsidRPr="00B33DCD">
        <w:rPr>
          <w:color w:val="0D0D0D" w:themeColor="text1" w:themeTint="F2"/>
          <w:szCs w:val="36"/>
        </w:rPr>
        <w:t xml:space="preserve">An innovative Hybrid Approach in Teaching and Experiencing Sport Event Management through Serious </w:t>
      </w:r>
      <w:r w:rsidR="00E62E67" w:rsidRPr="00B33DCD">
        <w:rPr>
          <w:color w:val="0D0D0D" w:themeColor="text1" w:themeTint="F2"/>
          <w:szCs w:val="36"/>
        </w:rPr>
        <w:t>Gaming</w:t>
      </w:r>
      <w:r w:rsidRPr="00B33DCD">
        <w:rPr>
          <w:color w:val="0D0D0D" w:themeColor="text1" w:themeTint="F2"/>
          <w:szCs w:val="36"/>
        </w:rPr>
        <w:t>: Bridging Theory and Practice</w:t>
      </w:r>
    </w:p>
    <w:p w14:paraId="7AA8D9C0" w14:textId="1D8E015E" w:rsidR="0080267C" w:rsidRPr="00185B8C" w:rsidRDefault="0080267C" w:rsidP="0080267C">
      <w:pPr>
        <w:pStyle w:val="Authors"/>
        <w:rPr>
          <w:lang w:val="en-US"/>
        </w:rPr>
      </w:pPr>
      <w:r>
        <w:rPr>
          <w:lang w:val="en-US"/>
        </w:rPr>
        <w:t>Ioannis Afthinos</w:t>
      </w:r>
      <w:r w:rsidRPr="00713CD5">
        <w:rPr>
          <w:vertAlign w:val="superscript"/>
          <w:lang w:val="en-US"/>
        </w:rPr>
        <w:t>1</w:t>
      </w:r>
      <w:r w:rsidRPr="00185B8C">
        <w:rPr>
          <w:lang w:val="en-US"/>
        </w:rPr>
        <w:t xml:space="preserve">, </w:t>
      </w:r>
      <w:r>
        <w:rPr>
          <w:lang w:val="en-US"/>
        </w:rPr>
        <w:t>Vasileios Manasis</w:t>
      </w:r>
      <w:r w:rsidRPr="00713CD5">
        <w:rPr>
          <w:vertAlign w:val="superscript"/>
          <w:lang w:val="en-US"/>
        </w:rPr>
        <w:t>1</w:t>
      </w:r>
      <w:r>
        <w:rPr>
          <w:lang w:val="en-US"/>
        </w:rPr>
        <w:t>,</w:t>
      </w:r>
      <w:r w:rsidRPr="00185B8C">
        <w:rPr>
          <w:lang w:val="en-US"/>
        </w:rPr>
        <w:t xml:space="preserve"> </w:t>
      </w:r>
      <w:r>
        <w:rPr>
          <w:lang w:val="en-US"/>
        </w:rPr>
        <w:t>Ioannis Thamnopoulos</w:t>
      </w:r>
      <w:r w:rsidRPr="00713CD5">
        <w:rPr>
          <w:vertAlign w:val="superscript"/>
          <w:lang w:val="en-US"/>
        </w:rPr>
        <w:t>1</w:t>
      </w:r>
      <w:r>
        <w:rPr>
          <w:lang w:val="en-US"/>
        </w:rPr>
        <w:t xml:space="preserve"> and Theofilos Afthinos</w:t>
      </w:r>
      <w:r>
        <w:rPr>
          <w:vertAlign w:val="superscript"/>
          <w:lang w:val="en-US"/>
        </w:rPr>
        <w:t>2</w:t>
      </w:r>
    </w:p>
    <w:p w14:paraId="3AB687D9" w14:textId="77777777" w:rsidR="0080267C" w:rsidRPr="00185B8C" w:rsidRDefault="0080267C" w:rsidP="0080267C">
      <w:pPr>
        <w:pStyle w:val="Authors"/>
        <w:rPr>
          <w:lang w:val="en-US"/>
        </w:rPr>
      </w:pPr>
    </w:p>
    <w:p w14:paraId="260A74CF" w14:textId="4A4E9E45" w:rsidR="0080267C" w:rsidRPr="008C7676" w:rsidRDefault="0080267C" w:rsidP="0080267C">
      <w:pPr>
        <w:pStyle w:val="Authorsaffiliation"/>
        <w:rPr>
          <w:lang w:val="en-US"/>
        </w:rPr>
      </w:pPr>
      <w:r w:rsidRPr="008C7676">
        <w:rPr>
          <w:vertAlign w:val="superscript"/>
          <w:lang w:val="en-US"/>
        </w:rPr>
        <w:t>1</w:t>
      </w:r>
      <w:r w:rsidR="00D417E6">
        <w:rPr>
          <w:lang w:val="en-US"/>
        </w:rPr>
        <w:t>Department</w:t>
      </w:r>
      <w:r>
        <w:rPr>
          <w:lang w:val="en-US"/>
        </w:rPr>
        <w:t xml:space="preserve"> of Physical Education and Sport Science, National and Kapodistrian University of Athens, Dafni, Greece</w:t>
      </w:r>
      <w:r w:rsidR="00EE2496">
        <w:rPr>
          <w:lang w:val="en-US"/>
        </w:rPr>
        <w:t xml:space="preserve">; </w:t>
      </w:r>
      <w:r w:rsidRPr="008C7676">
        <w:rPr>
          <w:vertAlign w:val="superscript"/>
          <w:lang w:val="en-US"/>
        </w:rPr>
        <w:t>2</w:t>
      </w:r>
      <w:r w:rsidRPr="008C7676">
        <w:rPr>
          <w:lang w:val="en-US"/>
        </w:rPr>
        <w:t>Department of Business Administration, School of Business, Athens University of Economics and Business</w:t>
      </w:r>
      <w:r>
        <w:rPr>
          <w:lang w:val="en-US"/>
        </w:rPr>
        <w:t>, Athens, Greece</w:t>
      </w:r>
    </w:p>
    <w:p w14:paraId="7A2FF3C1" w14:textId="4F6566AD" w:rsidR="0080267C" w:rsidRDefault="00CE6DE1" w:rsidP="0080267C">
      <w:pPr>
        <w:pStyle w:val="Authorsaffiliation"/>
        <w:rPr>
          <w:lang w:val="en-US"/>
        </w:rPr>
      </w:pPr>
      <w:r w:rsidRPr="00243C1F">
        <w:rPr>
          <w:lang w:val="en-US"/>
        </w:rPr>
        <w:t>{</w:t>
      </w:r>
      <w:proofErr w:type="spellStart"/>
      <w:r>
        <w:rPr>
          <w:lang w:val="en-US"/>
        </w:rPr>
        <w:t>iafthinos</w:t>
      </w:r>
      <w:proofErr w:type="spellEnd"/>
      <w:r>
        <w:rPr>
          <w:lang w:val="en-US"/>
        </w:rPr>
        <w:t xml:space="preserve">, </w:t>
      </w:r>
      <w:proofErr w:type="spellStart"/>
      <w:r>
        <w:rPr>
          <w:lang w:val="en-US"/>
        </w:rPr>
        <w:t>vmanasis</w:t>
      </w:r>
      <w:proofErr w:type="spellEnd"/>
      <w:r>
        <w:rPr>
          <w:lang w:val="en-US"/>
        </w:rPr>
        <w:t>, thamnop</w:t>
      </w:r>
      <w:r w:rsidRPr="00243C1F">
        <w:rPr>
          <w:lang w:val="en-US"/>
        </w:rPr>
        <w:t>}</w:t>
      </w:r>
      <w:r>
        <w:rPr>
          <w:lang w:val="en-US"/>
        </w:rPr>
        <w:t xml:space="preserve"> </w:t>
      </w:r>
      <w:r w:rsidRPr="00243C1F">
        <w:rPr>
          <w:lang w:val="en-US"/>
        </w:rPr>
        <w:t>@</w:t>
      </w:r>
      <w:r>
        <w:rPr>
          <w:lang w:val="en-US"/>
        </w:rPr>
        <w:t xml:space="preserve">phed.uoa.gr; </w:t>
      </w:r>
      <w:r w:rsidR="0080267C" w:rsidRPr="00243C1F">
        <w:rPr>
          <w:lang w:val="en-US"/>
        </w:rPr>
        <w:t>{</w:t>
      </w:r>
      <w:r w:rsidR="0080267C">
        <w:rPr>
          <w:lang w:val="en-US"/>
        </w:rPr>
        <w:t>afthinos91</w:t>
      </w:r>
      <w:r w:rsidR="0080267C" w:rsidRPr="00243C1F">
        <w:rPr>
          <w:lang w:val="en-US"/>
        </w:rPr>
        <w:t>}</w:t>
      </w:r>
      <w:r w:rsidR="0080267C">
        <w:rPr>
          <w:lang w:val="en-US"/>
        </w:rPr>
        <w:t xml:space="preserve"> </w:t>
      </w:r>
      <w:r w:rsidR="0080267C" w:rsidRPr="00243C1F">
        <w:rPr>
          <w:lang w:val="en-US"/>
        </w:rPr>
        <w:t>@</w:t>
      </w:r>
      <w:r w:rsidR="0080267C">
        <w:rPr>
          <w:lang w:val="en-US"/>
        </w:rPr>
        <w:t>gmail.com</w:t>
      </w:r>
    </w:p>
    <w:p w14:paraId="497D4B5B" w14:textId="77777777" w:rsidR="009E7588" w:rsidRPr="00644CB1" w:rsidRDefault="009E7588" w:rsidP="00646F70">
      <w:pPr>
        <w:pStyle w:val="Authorsaffiliation"/>
        <w:rPr>
          <w:color w:val="0D0D0D" w:themeColor="text1" w:themeTint="F2"/>
          <w:sz w:val="22"/>
          <w:szCs w:val="22"/>
          <w:lang w:val="en-US"/>
        </w:rPr>
      </w:pPr>
    </w:p>
    <w:p w14:paraId="1E9FCF18" w14:textId="77777777" w:rsidR="00692DEF" w:rsidRPr="00644CB1" w:rsidRDefault="00692DEF" w:rsidP="00646F70">
      <w:pPr>
        <w:pStyle w:val="Ligne"/>
        <w:rPr>
          <w:rFonts w:ascii="Times New Roman" w:hAnsi="Times New Roman"/>
          <w:color w:val="0D0D0D" w:themeColor="text1" w:themeTint="F2"/>
          <w:sz w:val="22"/>
          <w:szCs w:val="22"/>
        </w:rPr>
      </w:pPr>
    </w:p>
    <w:p w14:paraId="7D73091A" w14:textId="3A2B37DD" w:rsidR="00450C47" w:rsidRPr="00644CB1" w:rsidRDefault="00450C47" w:rsidP="00BA6E38">
      <w:pPr>
        <w:rPr>
          <w:rFonts w:ascii="Times New Roman" w:hAnsi="Times New Roman"/>
          <w:color w:val="0D0D0D" w:themeColor="text1" w:themeTint="F2"/>
          <w:lang w:val="en-US"/>
        </w:rPr>
        <w:sectPr w:rsidR="00450C47" w:rsidRPr="00644CB1" w:rsidSect="003617B3">
          <w:pgSz w:w="11906" w:h="16838"/>
          <w:pgMar w:top="1151" w:right="1671" w:bottom="1585" w:left="1587" w:header="709" w:footer="527" w:gutter="0"/>
          <w:pgNumType w:start="1"/>
          <w:cols w:space="708"/>
          <w:titlePg/>
          <w:docGrid w:linePitch="360"/>
        </w:sectPr>
      </w:pPr>
    </w:p>
    <w:p w14:paraId="3656CF98" w14:textId="125A9311" w:rsidR="00B43353" w:rsidRPr="00AB6431" w:rsidRDefault="00B43353" w:rsidP="004B6324">
      <w:pPr>
        <w:pStyle w:val="ArticleInfo"/>
        <w:rPr>
          <w:b/>
          <w:bCs/>
          <w:color w:val="0D0D0D" w:themeColor="text1" w:themeTint="F2"/>
        </w:rPr>
      </w:pPr>
      <w:r w:rsidRPr="00AB6431">
        <w:rPr>
          <w:b/>
          <w:bCs/>
          <w:color w:val="0D0D0D" w:themeColor="text1" w:themeTint="F2"/>
        </w:rPr>
        <w:t>Keywords:</w:t>
      </w:r>
    </w:p>
    <w:p w14:paraId="4799696D" w14:textId="77777777" w:rsidR="007C37E8" w:rsidRDefault="007C37E8" w:rsidP="1BCABAC3">
      <w:pPr>
        <w:pStyle w:val="ArticleInfo"/>
        <w:rPr>
          <w:color w:val="0D0D0D" w:themeColor="text1" w:themeTint="F2"/>
          <w:lang w:val="it-IT"/>
        </w:rPr>
      </w:pPr>
    </w:p>
    <w:p w14:paraId="52175CAD" w14:textId="70F023C6" w:rsidR="00F86C17" w:rsidRPr="00AB6431" w:rsidRDefault="0078092E" w:rsidP="1BCABAC3">
      <w:pPr>
        <w:pStyle w:val="ArticleInfo"/>
        <w:rPr>
          <w:color w:val="0D0D0D" w:themeColor="text1" w:themeTint="F2"/>
          <w:lang w:val="it-IT"/>
        </w:rPr>
      </w:pPr>
      <w:r w:rsidRPr="00AB6431">
        <w:rPr>
          <w:color w:val="0D0D0D" w:themeColor="text1" w:themeTint="F2"/>
          <w:lang w:val="it-IT"/>
        </w:rPr>
        <w:t>Serious Games</w:t>
      </w:r>
    </w:p>
    <w:p w14:paraId="08DD086A" w14:textId="77777777" w:rsidR="00F86C17" w:rsidRPr="00AB6431" w:rsidRDefault="0078092E" w:rsidP="1BCABAC3">
      <w:pPr>
        <w:pStyle w:val="ArticleInfo"/>
        <w:rPr>
          <w:color w:val="0D0D0D" w:themeColor="text1" w:themeTint="F2"/>
          <w:lang w:val="it-IT"/>
        </w:rPr>
      </w:pPr>
      <w:r w:rsidRPr="00AB6431">
        <w:rPr>
          <w:color w:val="0D0D0D" w:themeColor="text1" w:themeTint="F2"/>
          <w:lang w:val="it-IT"/>
        </w:rPr>
        <w:t>Computer based learning</w:t>
      </w:r>
    </w:p>
    <w:p w14:paraId="0319F1F0" w14:textId="77777777" w:rsidR="007E771F" w:rsidRPr="00AB6431" w:rsidRDefault="0078092E" w:rsidP="004B6324">
      <w:pPr>
        <w:pStyle w:val="ArticleInfo"/>
        <w:rPr>
          <w:color w:val="0D0D0D" w:themeColor="text1" w:themeTint="F2"/>
        </w:rPr>
      </w:pPr>
      <w:r w:rsidRPr="00AB6431">
        <w:rPr>
          <w:color w:val="0D0D0D" w:themeColor="text1" w:themeTint="F2"/>
        </w:rPr>
        <w:t>Virtual sport event</w:t>
      </w:r>
    </w:p>
    <w:p w14:paraId="71928EE6" w14:textId="77777777" w:rsidR="007E771F" w:rsidRPr="00AB6431" w:rsidRDefault="0078092E" w:rsidP="004B6324">
      <w:pPr>
        <w:pStyle w:val="ArticleInfo"/>
        <w:rPr>
          <w:color w:val="0D0D0D" w:themeColor="text1" w:themeTint="F2"/>
        </w:rPr>
      </w:pPr>
      <w:r w:rsidRPr="00AB6431">
        <w:rPr>
          <w:color w:val="0D0D0D" w:themeColor="text1" w:themeTint="F2"/>
        </w:rPr>
        <w:t>Management tools</w:t>
      </w:r>
    </w:p>
    <w:p w14:paraId="40366DE2" w14:textId="34023790" w:rsidR="007E771F" w:rsidRPr="00AB6431" w:rsidRDefault="0078092E" w:rsidP="1BCABAC3">
      <w:pPr>
        <w:pStyle w:val="ArticleInfo"/>
        <w:rPr>
          <w:color w:val="0D0D0D" w:themeColor="text1" w:themeTint="F2"/>
          <w:lang w:val="it-IT"/>
        </w:rPr>
      </w:pPr>
      <w:r w:rsidRPr="00AB6431">
        <w:rPr>
          <w:color w:val="0D0D0D" w:themeColor="text1" w:themeTint="F2"/>
          <w:lang w:val="it-IT"/>
        </w:rPr>
        <w:t>Virtual football tournament</w:t>
      </w:r>
    </w:p>
    <w:p w14:paraId="57683522" w14:textId="1B87DF81" w:rsidR="007E771F" w:rsidRPr="00AB6431" w:rsidRDefault="0078092E" w:rsidP="004B6324">
      <w:pPr>
        <w:pStyle w:val="ArticleInfo"/>
        <w:rPr>
          <w:color w:val="0D0D0D" w:themeColor="text1" w:themeTint="F2"/>
        </w:rPr>
      </w:pPr>
      <w:r w:rsidRPr="00AB6431">
        <w:rPr>
          <w:color w:val="0D0D0D" w:themeColor="text1" w:themeTint="F2"/>
        </w:rPr>
        <w:t xml:space="preserve">Sport </w:t>
      </w:r>
      <w:r w:rsidR="00077D7F" w:rsidRPr="00AB6431">
        <w:rPr>
          <w:color w:val="0D0D0D" w:themeColor="text1" w:themeTint="F2"/>
        </w:rPr>
        <w:t>event m</w:t>
      </w:r>
      <w:r w:rsidRPr="00AB6431">
        <w:rPr>
          <w:color w:val="0D0D0D" w:themeColor="text1" w:themeTint="F2"/>
        </w:rPr>
        <w:t>anagement</w:t>
      </w:r>
    </w:p>
    <w:p w14:paraId="54A12928" w14:textId="77777777" w:rsidR="008D3BDE" w:rsidRPr="00AB6431" w:rsidRDefault="0078092E" w:rsidP="1BCABAC3">
      <w:pPr>
        <w:pStyle w:val="ArticleInfo"/>
        <w:rPr>
          <w:color w:val="0D0D0D" w:themeColor="text1" w:themeTint="F2"/>
          <w:lang w:val="it-IT"/>
        </w:rPr>
      </w:pPr>
      <w:r w:rsidRPr="00AB6431">
        <w:rPr>
          <w:color w:val="0D0D0D" w:themeColor="text1" w:themeTint="F2"/>
          <w:lang w:val="it-IT"/>
        </w:rPr>
        <w:t>Top Eleven</w:t>
      </w:r>
    </w:p>
    <w:p w14:paraId="5A8D4344" w14:textId="785A66C9" w:rsidR="00CD0C7B" w:rsidRDefault="00CD0C7B" w:rsidP="004B6324">
      <w:pPr>
        <w:pStyle w:val="ArticleInfo"/>
        <w:rPr>
          <w:color w:val="0D0D0D" w:themeColor="text1" w:themeTint="F2"/>
        </w:rPr>
      </w:pPr>
    </w:p>
    <w:p w14:paraId="1AEF1B42" w14:textId="77777777" w:rsidR="007C37E8" w:rsidRPr="00AB6431" w:rsidRDefault="007C37E8" w:rsidP="004B6324">
      <w:pPr>
        <w:pStyle w:val="ArticleInfo"/>
        <w:rPr>
          <w:color w:val="0D0D0D" w:themeColor="text1" w:themeTint="F2"/>
        </w:rPr>
      </w:pPr>
    </w:p>
    <w:p w14:paraId="0DFE7C42" w14:textId="705CD2F7" w:rsidR="004B6324" w:rsidRPr="007C37E8" w:rsidRDefault="00243C1F" w:rsidP="1BCABAC3">
      <w:pPr>
        <w:pStyle w:val="ArticleInfo"/>
        <w:rPr>
          <w:color w:val="0D0D0D" w:themeColor="text1" w:themeTint="F2"/>
          <w:lang w:val="it-IT"/>
        </w:rPr>
      </w:pPr>
      <w:r w:rsidRPr="007C37E8">
        <w:rPr>
          <w:color w:val="0D0D0D" w:themeColor="text1" w:themeTint="F2"/>
          <w:lang w:val="it-IT"/>
        </w:rPr>
        <w:t>Received</w:t>
      </w:r>
      <w:r w:rsidR="004B6324" w:rsidRPr="007C37E8">
        <w:rPr>
          <w:color w:val="0D0D0D" w:themeColor="text1" w:themeTint="F2"/>
          <w:lang w:val="it-IT"/>
        </w:rPr>
        <w:t xml:space="preserve">: </w:t>
      </w:r>
      <w:r w:rsidR="00DE4C45" w:rsidRPr="007C37E8">
        <w:rPr>
          <w:color w:val="0D0D0D" w:themeColor="text1" w:themeTint="F2"/>
          <w:lang w:val="it-IT"/>
        </w:rPr>
        <w:t>XXXX</w:t>
      </w:r>
    </w:p>
    <w:p w14:paraId="527F9251" w14:textId="395BD04F" w:rsidR="00243C1F" w:rsidRPr="007C37E8" w:rsidRDefault="00243C1F" w:rsidP="1BCABAC3">
      <w:pPr>
        <w:pStyle w:val="ArticleInfo"/>
        <w:rPr>
          <w:color w:val="0D0D0D" w:themeColor="text1" w:themeTint="F2"/>
          <w:lang w:val="it-IT"/>
        </w:rPr>
      </w:pPr>
      <w:r w:rsidRPr="007C37E8">
        <w:rPr>
          <w:color w:val="0D0D0D" w:themeColor="text1" w:themeTint="F2"/>
          <w:lang w:val="it-IT"/>
        </w:rPr>
        <w:t xml:space="preserve">Accepted: </w:t>
      </w:r>
      <w:r w:rsidR="00DE4C45" w:rsidRPr="007C37E8">
        <w:rPr>
          <w:color w:val="0D0D0D" w:themeColor="text1" w:themeTint="F2"/>
          <w:lang w:val="it-IT"/>
        </w:rPr>
        <w:t>XXXX</w:t>
      </w:r>
    </w:p>
    <w:p w14:paraId="553D4DE4" w14:textId="339A8421" w:rsidR="004B6324" w:rsidRPr="007C37E8" w:rsidRDefault="004B6324" w:rsidP="1BCABAC3">
      <w:pPr>
        <w:pStyle w:val="ArticleInfo"/>
        <w:rPr>
          <w:color w:val="0D0D0D" w:themeColor="text1" w:themeTint="F2"/>
          <w:lang w:val="it-IT"/>
        </w:rPr>
      </w:pPr>
      <w:r w:rsidRPr="007C37E8">
        <w:rPr>
          <w:color w:val="0D0D0D" w:themeColor="text1" w:themeTint="F2"/>
          <w:lang w:val="it-IT"/>
        </w:rPr>
        <w:t xml:space="preserve">Published: </w:t>
      </w:r>
      <w:r w:rsidR="00DE4C45" w:rsidRPr="007C37E8">
        <w:rPr>
          <w:color w:val="0D0D0D" w:themeColor="text1" w:themeTint="F2"/>
          <w:lang w:val="it-IT"/>
        </w:rPr>
        <w:t>XXXX</w:t>
      </w:r>
    </w:p>
    <w:p w14:paraId="3F261A1E" w14:textId="57102E4E" w:rsidR="00CD0C7B" w:rsidRPr="007C37E8" w:rsidRDefault="00CD0C7B" w:rsidP="1BCABAC3">
      <w:pPr>
        <w:pStyle w:val="ArticleInfo"/>
        <w:rPr>
          <w:color w:val="0D0D0D" w:themeColor="text1" w:themeTint="F2"/>
          <w:lang w:val="it-IT"/>
        </w:rPr>
      </w:pPr>
      <w:r w:rsidRPr="007C37E8">
        <w:rPr>
          <w:color w:val="0D0D0D" w:themeColor="text1" w:themeTint="F2"/>
          <w:lang w:val="it-IT"/>
        </w:rPr>
        <w:t xml:space="preserve">DOI: </w:t>
      </w:r>
      <w:r w:rsidR="004B7B65" w:rsidRPr="007C37E8">
        <w:rPr>
          <w:color w:val="0D0D0D" w:themeColor="text1" w:themeTint="F2"/>
          <w:lang w:val="it-IT"/>
        </w:rPr>
        <w:t>10.17083/ijsg.</w:t>
      </w:r>
      <w:r w:rsidR="00DE4C45" w:rsidRPr="007C37E8">
        <w:rPr>
          <w:color w:val="0D0D0D" w:themeColor="text1" w:themeTint="F2"/>
          <w:lang w:val="it-IT"/>
        </w:rPr>
        <w:t>XXXX</w:t>
      </w:r>
    </w:p>
    <w:p w14:paraId="019DE32E" w14:textId="58BCA540" w:rsidR="005A758C" w:rsidRPr="00644CB1" w:rsidRDefault="00ED5283" w:rsidP="00644150">
      <w:pPr>
        <w:pStyle w:val="AbstractTitle"/>
        <w:rPr>
          <w:rFonts w:cs="Times New Roman"/>
          <w:color w:val="0D0D0D" w:themeColor="text1" w:themeTint="F2"/>
          <w:szCs w:val="22"/>
        </w:rPr>
      </w:pPr>
      <w:r w:rsidRPr="00644CB1">
        <w:rPr>
          <w:rFonts w:ascii="Times New Roman" w:hAnsi="Times New Roman" w:cs="Times New Roman"/>
          <w:color w:val="0D0D0D" w:themeColor="text1" w:themeTint="F2"/>
          <w:szCs w:val="22"/>
        </w:rPr>
        <w:br w:type="column"/>
      </w:r>
      <w:r w:rsidR="0038064E" w:rsidRPr="00644CB1">
        <w:rPr>
          <w:color w:val="0D0D0D" w:themeColor="text1" w:themeTint="F2"/>
        </w:rPr>
        <w:t xml:space="preserve">Abstract </w:t>
      </w:r>
    </w:p>
    <w:p w14:paraId="4B90616A" w14:textId="7AAE54D8" w:rsidR="0042244D" w:rsidRPr="0063547C" w:rsidRDefault="00782C76" w:rsidP="00F81BE2">
      <w:pPr>
        <w:jc w:val="both"/>
        <w:rPr>
          <w:rFonts w:ascii="Times New Roman" w:hAnsi="Times New Roman"/>
          <w:color w:val="0D0D0D" w:themeColor="text1" w:themeTint="F2"/>
          <w:sz w:val="20"/>
          <w:szCs w:val="20"/>
        </w:rPr>
      </w:pPr>
      <w:r w:rsidRPr="0063547C">
        <w:rPr>
          <w:rFonts w:ascii="Times New Roman" w:hAnsi="Times New Roman"/>
          <w:color w:val="0D0D0D" w:themeColor="text1" w:themeTint="F2"/>
          <w:sz w:val="20"/>
          <w:szCs w:val="20"/>
        </w:rPr>
        <w:t>This study investigate</w:t>
      </w:r>
      <w:r w:rsidR="00E03339" w:rsidRPr="0063547C">
        <w:rPr>
          <w:rFonts w:ascii="Times New Roman" w:hAnsi="Times New Roman"/>
          <w:color w:val="0D0D0D" w:themeColor="text1" w:themeTint="F2"/>
          <w:sz w:val="20"/>
          <w:szCs w:val="20"/>
        </w:rPr>
        <w:t>s</w:t>
      </w:r>
      <w:r w:rsidRPr="0063547C">
        <w:rPr>
          <w:rFonts w:ascii="Times New Roman" w:hAnsi="Times New Roman"/>
          <w:color w:val="0D0D0D" w:themeColor="text1" w:themeTint="F2"/>
          <w:sz w:val="20"/>
          <w:szCs w:val="20"/>
        </w:rPr>
        <w:t xml:space="preserve"> </w:t>
      </w:r>
      <w:bookmarkStart w:id="0" w:name="_Hlk213017353"/>
      <w:r w:rsidRPr="0063547C">
        <w:rPr>
          <w:rFonts w:ascii="Times New Roman" w:hAnsi="Times New Roman"/>
          <w:color w:val="0D0D0D" w:themeColor="text1" w:themeTint="F2"/>
          <w:sz w:val="20"/>
          <w:szCs w:val="20"/>
        </w:rPr>
        <w:t>whether the serious game Top Eleven could serve as an auxiliary educational tool for acquiring theoretical knowledge and practical experience in sport event management through a hybrid learning approach.</w:t>
      </w:r>
      <w:bookmarkEnd w:id="0"/>
      <w:r w:rsidRPr="0063547C">
        <w:rPr>
          <w:rFonts w:ascii="Times New Roman" w:hAnsi="Times New Roman"/>
          <w:color w:val="0D0D0D" w:themeColor="text1" w:themeTint="F2"/>
          <w:sz w:val="20"/>
          <w:szCs w:val="20"/>
        </w:rPr>
        <w:t xml:space="preserve"> Using a case study methodology, 44 students enrolled in a Sport Event Management course planned, organized, and managed a Virtual Intramural Football Tournament (VIFT), while 328 freshmen participated as competitors. The hybrid approach combined online game-based activities with real-life execution components</w:t>
      </w:r>
      <w:r w:rsidR="00BE0CF8" w:rsidRPr="0063547C">
        <w:rPr>
          <w:rFonts w:ascii="Times New Roman" w:hAnsi="Times New Roman"/>
          <w:color w:val="0D0D0D" w:themeColor="text1" w:themeTint="F2"/>
          <w:sz w:val="20"/>
          <w:szCs w:val="20"/>
        </w:rPr>
        <w:t xml:space="preserve">, guided by the Unified Model of Events Management and Scenario-Based Education Framework. Data was collected through deliverables, written tests, and questionnaires. Results demonstrated satisfactory knowledge acquisition, notable skill development, and high satisfaction levels among both organizers and participants. </w:t>
      </w:r>
      <w:r w:rsidR="004D3730" w:rsidRPr="0063547C">
        <w:rPr>
          <w:rFonts w:ascii="Times New Roman" w:hAnsi="Times New Roman"/>
          <w:color w:val="0D0D0D" w:themeColor="text1" w:themeTint="F2"/>
          <w:sz w:val="20"/>
          <w:szCs w:val="20"/>
        </w:rPr>
        <w:t xml:space="preserve">These findings provide </w:t>
      </w:r>
      <w:r w:rsidR="004E2D63" w:rsidRPr="0063547C">
        <w:rPr>
          <w:rFonts w:ascii="Times New Roman" w:hAnsi="Times New Roman"/>
          <w:color w:val="0D0D0D" w:themeColor="text1" w:themeTint="F2"/>
          <w:sz w:val="20"/>
          <w:szCs w:val="20"/>
        </w:rPr>
        <w:t xml:space="preserve">encouraging evidence suggesting that serious games like Top Eleven may function as auxiliary educational tools </w:t>
      </w:r>
      <w:r w:rsidR="004D3730" w:rsidRPr="0063547C">
        <w:rPr>
          <w:rFonts w:ascii="Times New Roman" w:hAnsi="Times New Roman"/>
          <w:color w:val="0D0D0D" w:themeColor="text1" w:themeTint="F2"/>
          <w:sz w:val="20"/>
          <w:szCs w:val="20"/>
        </w:rPr>
        <w:t xml:space="preserve">when integrated into structured hybrid learning models, offering an innovative framework that </w:t>
      </w:r>
      <w:r w:rsidR="004E2D63" w:rsidRPr="0063547C">
        <w:rPr>
          <w:rFonts w:ascii="Times New Roman" w:hAnsi="Times New Roman"/>
          <w:color w:val="0D0D0D" w:themeColor="text1" w:themeTint="F2"/>
          <w:sz w:val="20"/>
          <w:szCs w:val="20"/>
        </w:rPr>
        <w:t xml:space="preserve">may help bridge </w:t>
      </w:r>
      <w:r w:rsidR="004D3730" w:rsidRPr="0063547C">
        <w:rPr>
          <w:rFonts w:ascii="Times New Roman" w:hAnsi="Times New Roman"/>
          <w:color w:val="0D0D0D" w:themeColor="text1" w:themeTint="F2"/>
          <w:sz w:val="20"/>
          <w:szCs w:val="20"/>
        </w:rPr>
        <w:t xml:space="preserve">the gap between theoretical knowledge and practical application in sport event management education. </w:t>
      </w:r>
      <w:r w:rsidR="0042244D" w:rsidRPr="0063547C">
        <w:rPr>
          <w:rFonts w:ascii="Times New Roman" w:hAnsi="Times New Roman"/>
          <w:color w:val="0D0D0D" w:themeColor="text1" w:themeTint="F2"/>
          <w:sz w:val="20"/>
          <w:szCs w:val="20"/>
        </w:rPr>
        <w:t>This study provides the first empirical evidence of integrating a commercial serious game into sport event management education through a theoretically grounded hybrid framework.</w:t>
      </w:r>
    </w:p>
    <w:p w14:paraId="7BDD52D8" w14:textId="77777777" w:rsidR="0042244D" w:rsidRPr="00F81BE2" w:rsidRDefault="0042244D" w:rsidP="00F81BE2">
      <w:pPr>
        <w:rPr>
          <w:rFonts w:asciiTheme="majorBidi" w:hAnsiTheme="majorBidi" w:cstheme="majorBidi"/>
          <w:color w:val="0D0D0D" w:themeColor="text1" w:themeTint="F2"/>
        </w:rPr>
      </w:pPr>
      <w:r w:rsidRPr="00F81BE2">
        <w:rPr>
          <w:rFonts w:asciiTheme="majorBidi" w:hAnsiTheme="majorBidi" w:cstheme="majorBidi"/>
          <w:color w:val="0D0D0D" w:themeColor="text1" w:themeTint="F2"/>
        </w:rPr>
        <w:br w:type="page"/>
      </w:r>
    </w:p>
    <w:p w14:paraId="719B7711" w14:textId="6EBB1A5F" w:rsidR="0042244D" w:rsidRPr="00C16131" w:rsidRDefault="0042244D" w:rsidP="00585F0B">
      <w:pPr>
        <w:pStyle w:val="AbstractText"/>
        <w:ind w:right="-272"/>
        <w:rPr>
          <w:color w:val="0D0D0D" w:themeColor="text1" w:themeTint="F2"/>
          <w:lang w:val="it-IT"/>
        </w:rPr>
      </w:pPr>
    </w:p>
    <w:p w14:paraId="787864A0" w14:textId="77777777" w:rsidR="0042244D" w:rsidRPr="00C16131" w:rsidRDefault="0042244D" w:rsidP="00585F0B">
      <w:pPr>
        <w:pStyle w:val="AbstractText"/>
        <w:ind w:right="-272"/>
        <w:rPr>
          <w:color w:val="0D0D0D" w:themeColor="text1" w:themeTint="F2"/>
          <w:lang w:val="it-IT"/>
        </w:rPr>
      </w:pPr>
    </w:p>
    <w:p w14:paraId="1D1A2B00" w14:textId="77777777" w:rsidR="0042244D" w:rsidRPr="00C16131" w:rsidRDefault="0042244D" w:rsidP="00585F0B">
      <w:pPr>
        <w:pStyle w:val="AbstractText"/>
        <w:ind w:right="-272"/>
        <w:rPr>
          <w:color w:val="0D0D0D" w:themeColor="text1" w:themeTint="F2"/>
          <w:lang w:val="it-IT"/>
        </w:rPr>
      </w:pPr>
    </w:p>
    <w:p w14:paraId="0C3EE272" w14:textId="77777777" w:rsidR="0042244D" w:rsidRPr="00C16131" w:rsidRDefault="0042244D" w:rsidP="00585F0B">
      <w:pPr>
        <w:pStyle w:val="AbstractText"/>
        <w:ind w:right="-272"/>
        <w:rPr>
          <w:color w:val="0D0D0D" w:themeColor="text1" w:themeTint="F2"/>
          <w:lang w:val="it-IT"/>
        </w:rPr>
      </w:pPr>
    </w:p>
    <w:p w14:paraId="03C8F55C" w14:textId="77777777" w:rsidR="0042244D" w:rsidRPr="00C16131" w:rsidRDefault="0042244D" w:rsidP="00585F0B">
      <w:pPr>
        <w:pStyle w:val="AbstractText"/>
        <w:ind w:right="-272"/>
        <w:rPr>
          <w:color w:val="0D0D0D" w:themeColor="text1" w:themeTint="F2"/>
          <w:lang w:val="it-IT"/>
        </w:rPr>
      </w:pPr>
    </w:p>
    <w:p w14:paraId="2B785824" w14:textId="77777777" w:rsidR="0042244D" w:rsidRPr="00C16131" w:rsidRDefault="0042244D" w:rsidP="00585F0B">
      <w:pPr>
        <w:pStyle w:val="AbstractText"/>
        <w:ind w:right="-272"/>
        <w:rPr>
          <w:color w:val="0D0D0D" w:themeColor="text1" w:themeTint="F2"/>
          <w:lang w:val="it-IT"/>
        </w:rPr>
      </w:pPr>
    </w:p>
    <w:p w14:paraId="1CF0C341" w14:textId="77777777" w:rsidR="0042244D" w:rsidRPr="00C16131" w:rsidRDefault="0042244D" w:rsidP="00585F0B">
      <w:pPr>
        <w:pStyle w:val="AbstractText"/>
        <w:ind w:right="-272"/>
        <w:rPr>
          <w:color w:val="0D0D0D" w:themeColor="text1" w:themeTint="F2"/>
          <w:lang w:val="it-IT"/>
        </w:rPr>
      </w:pPr>
    </w:p>
    <w:p w14:paraId="7796D76D" w14:textId="7927D3E0" w:rsidR="00CA78F7" w:rsidRPr="00C16131" w:rsidRDefault="0042244D" w:rsidP="00585F0B">
      <w:pPr>
        <w:pStyle w:val="AbstractText"/>
        <w:ind w:right="-272"/>
        <w:rPr>
          <w:rStyle w:val="AbstractTextCarattere"/>
          <w:color w:val="0D0D0D" w:themeColor="text1" w:themeTint="F2"/>
        </w:rPr>
      </w:pPr>
      <w:r w:rsidRPr="00C16131">
        <w:rPr>
          <w:color w:val="0D0D0D" w:themeColor="text1" w:themeTint="F2"/>
          <w:lang w:val="it-IT"/>
        </w:rPr>
        <w:t xml:space="preserve">The study offers a replicable educational model demonstrating how commercial games can be transformed into structured learning experiences, </w:t>
      </w:r>
      <w:r w:rsidR="00740EA0" w:rsidRPr="00C16131">
        <w:rPr>
          <w:color w:val="0D0D0D" w:themeColor="text1" w:themeTint="F2"/>
          <w:lang w:val="it-IT"/>
        </w:rPr>
        <w:t xml:space="preserve"> with implications for curriculum design in sport management and related professional education domains. </w:t>
      </w:r>
      <w:r w:rsidR="004D3730" w:rsidRPr="00C16131">
        <w:rPr>
          <w:color w:val="0D0D0D" w:themeColor="text1" w:themeTint="F2"/>
          <w:lang w:val="it-IT"/>
        </w:rPr>
        <w:t>Despite the limitation by the absence of a control group, the study's single-case design and specific game context suggest opportunities for future research to test this framework across diverse educational settings and different serious games platforms</w:t>
      </w:r>
      <w:bookmarkStart w:id="1" w:name="_aknorpn0w7c9" w:colFirst="0" w:colLast="0"/>
      <w:bookmarkStart w:id="2" w:name="_s1hqmbopgupm" w:colFirst="0" w:colLast="0"/>
      <w:bookmarkStart w:id="3" w:name="_3znysh7" w:colFirst="0" w:colLast="0"/>
      <w:bookmarkStart w:id="4" w:name="_w1fnja4l0lwh" w:colFirst="0" w:colLast="0"/>
      <w:bookmarkEnd w:id="1"/>
      <w:bookmarkEnd w:id="2"/>
      <w:bookmarkEnd w:id="3"/>
      <w:bookmarkEnd w:id="4"/>
      <w:r w:rsidR="00F6137F" w:rsidRPr="00C16131">
        <w:rPr>
          <w:color w:val="0D0D0D" w:themeColor="text1" w:themeTint="F2"/>
        </w:rPr>
        <w:t>.</w:t>
      </w:r>
    </w:p>
    <w:p w14:paraId="46692187" w14:textId="3E1EDD91" w:rsidR="00D060AC" w:rsidRPr="00644CB1" w:rsidRDefault="00D060AC" w:rsidP="00F6137F">
      <w:pPr>
        <w:pStyle w:val="AbstractText"/>
        <w:ind w:right="-272"/>
        <w:rPr>
          <w:rStyle w:val="AbstractTextCarattere"/>
          <w:color w:val="0D0D0D" w:themeColor="text1" w:themeTint="F2"/>
          <w:sz w:val="22"/>
          <w:szCs w:val="22"/>
        </w:rPr>
        <w:sectPr w:rsidR="00D060AC" w:rsidRPr="00644CB1" w:rsidSect="003617B3">
          <w:type w:val="continuous"/>
          <w:pgSz w:w="11906" w:h="16838"/>
          <w:pgMar w:top="1151" w:right="1665" w:bottom="1729" w:left="1587" w:header="709" w:footer="527" w:gutter="0"/>
          <w:pgNumType w:start="1"/>
          <w:cols w:num="2" w:space="0" w:equalWidth="0">
            <w:col w:w="2408" w:space="0"/>
            <w:col w:w="5962"/>
          </w:cols>
          <w:titlePg/>
          <w:docGrid w:linePitch="360"/>
        </w:sectPr>
      </w:pPr>
    </w:p>
    <w:p w14:paraId="416188EE" w14:textId="541338C4" w:rsidR="00063FE3" w:rsidRPr="00644CB1" w:rsidRDefault="73E6831A" w:rsidP="00CD56BB">
      <w:pPr>
        <w:pStyle w:val="1"/>
        <w:numPr>
          <w:ilvl w:val="0"/>
          <w:numId w:val="7"/>
        </w:numPr>
        <w:ind w:left="357" w:hanging="357"/>
        <w:rPr>
          <w:color w:val="0D0D0D" w:themeColor="text1" w:themeTint="F2"/>
          <w:lang w:val="it-IT"/>
        </w:rPr>
      </w:pPr>
      <w:r w:rsidRPr="00AF5017">
        <w:t>Introduction</w:t>
      </w:r>
    </w:p>
    <w:p w14:paraId="7422428A" w14:textId="77777777" w:rsidR="008F328D" w:rsidRPr="00644CB1" w:rsidRDefault="008F328D" w:rsidP="0010246C">
      <w:pPr>
        <w:spacing w:line="264" w:lineRule="auto"/>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Since the late 19th century, technology has played an increasingly significant role in shaping human life, dominating and influencing all sectors of society, including education at all levels. Within this evolving educational landscape, Serious Games (SGs) have gained recognition as valuable auxiliary tools for learning, particularly following the COVID-19 pandemic when traditional face-to-face education was disrupted and technology emerged as an essential educational resource.</w:t>
      </w:r>
    </w:p>
    <w:p w14:paraId="615FB0BA" w14:textId="71836EE0" w:rsidR="008F328D" w:rsidRPr="00644CB1" w:rsidRDefault="008F328D" w:rsidP="0010246C">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SGs are widely used in higher education due to their ability to immerse students in realistic virtual environments that simulate real-world scenarios relevant to their training </w:t>
      </w:r>
      <w:r w:rsidR="007A42A2" w:rsidRPr="00644CB1">
        <w:rPr>
          <w:rFonts w:ascii="Times New Roman" w:hAnsi="Times New Roman"/>
          <w:color w:val="0D0D0D" w:themeColor="text1" w:themeTint="F2"/>
          <w:lang w:val="en-US"/>
        </w:rPr>
        <w:fldChar w:fldCharType="begin" w:fldLock="1"/>
      </w:r>
      <w:r w:rsidR="007A42A2" w:rsidRPr="00644CB1">
        <w:rPr>
          <w:rFonts w:ascii="Times New Roman" w:hAnsi="Times New Roman"/>
          <w:color w:val="0D0D0D" w:themeColor="text1" w:themeTint="F2"/>
          <w:lang w:val="en-US"/>
        </w:rPr>
        <w:instrText>ADDIN CSL_CITATION {"citationItems":[{"id":"ITEM-1","itemData":{"DOI":"10.1186/s41239-017-0062-1","ISBN":"4123901700","ISSN":"23659440","abstract":"The focus of higher education institutions is the preparation of future professionals. To achieve this aim, innovative teaching methods are often deployed, including games and simulations, which form the subject of this paper. As the field of digital games and simulations is ever maturing, this paper attempts to systematically review the literature relevant to games and simulation pedagogy in higher education. Two researchers collaborate to apply a qualitative method, coding and synthesizing the results using multiple criteria. The main objective is to study the impact of games and simulations with regard to achieving specific learning objectives. On balance, results indicate that games and/or simulations have a positive impact on learning goals. The researchers identify three learning outcomes when integrating games into the learning process: cognitive, behavioural, and affective. As a final step, the authors consolidate evidence for the benefit of academics and practitioners in higher education interested in the efficient use of games and simulations for pedagogical purposes. Such evidence also provides potential options and pathways for future research.","author":[{"dropping-particle":"","family":"Vlachopoulos","given":"Dimitrios","non-dropping-particle":"","parse-names":false,"suffix":""},{"dropping-particle":"","family":"Makri","given":"Agoritsa","non-dropping-particle":"","parse-names":false,"suffix":""}],"container-title":"International Journal of Educational Technology in Higher Education","id":"ITEM-1","issue":"1","issued":{"date-parts":[["2017"]]},"number-of-pages":"1-33","publisher":"International Journal of Educational Technology in Higher Education","title":"The effect of games and simulations on higher education: a systematic literature review","type":"book","volume":"14"},"uris":["http://www.mendeley.com/documents/?uuid=d6e654e7-80de-46ef-b60e-76d06588330b"]}],"mendeley":{"formattedCitation":"[1]","plainTextFormattedCitation":"[1]","previouslyFormattedCitation":"[1]"},"properties":{"noteIndex":0},"schema":"https://github.com/citation-style-language/schema/raw/master/csl-citation.json"}</w:instrText>
      </w:r>
      <w:r w:rsidR="007A42A2" w:rsidRPr="00644CB1">
        <w:rPr>
          <w:rFonts w:ascii="Times New Roman" w:hAnsi="Times New Roman"/>
          <w:color w:val="0D0D0D" w:themeColor="text1" w:themeTint="F2"/>
          <w:lang w:val="en-US"/>
        </w:rPr>
        <w:fldChar w:fldCharType="separate"/>
      </w:r>
      <w:r w:rsidR="007A42A2" w:rsidRPr="00644CB1">
        <w:rPr>
          <w:rFonts w:ascii="Times New Roman" w:hAnsi="Times New Roman"/>
          <w:noProof/>
          <w:color w:val="0D0D0D" w:themeColor="text1" w:themeTint="F2"/>
          <w:lang w:val="en-US"/>
        </w:rPr>
        <w:t>[1]</w:t>
      </w:r>
      <w:r w:rsidR="007A42A2"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By reducing costs, time, and resource constraints</w:t>
      </w:r>
      <w:r w:rsidR="00AF71A0" w:rsidRPr="00644CB1">
        <w:rPr>
          <w:rFonts w:ascii="Times New Roman" w:hAnsi="Times New Roman"/>
          <w:color w:val="0D0D0D" w:themeColor="text1" w:themeTint="F2"/>
          <w:lang w:val="en-US"/>
        </w:rPr>
        <w:t xml:space="preserve"> </w:t>
      </w:r>
      <w:r w:rsidR="00AF71A0" w:rsidRPr="00644CB1">
        <w:rPr>
          <w:rFonts w:ascii="Times New Roman" w:hAnsi="Times New Roman"/>
          <w:color w:val="0D0D0D" w:themeColor="text1" w:themeTint="F2"/>
          <w:lang w:val="en-US"/>
        </w:rPr>
        <w:fldChar w:fldCharType="begin" w:fldLock="1"/>
      </w:r>
      <w:r w:rsidR="0092345C" w:rsidRPr="00644CB1">
        <w:rPr>
          <w:rFonts w:ascii="Times New Roman" w:hAnsi="Times New Roman"/>
          <w:color w:val="0D0D0D" w:themeColor="text1" w:themeTint="F2"/>
          <w:lang w:val="en-US"/>
        </w:rPr>
        <w:instrText>ADDIN CSL_CITATION {"citationItems":[{"id":"ITEM-1","itemData":{"author":[{"dropping-particle":"","family":"Boinodiris","given":"P.","non-dropping-particle":"","parse-names":false,"suffix":""}],"container-title":"The Bridge: Linking Engineering and Society","editor":[{"dropping-particle":"","family":"Latanision","given":"R.M.","non-dropping-particle":"","parse-names":false,"suffix":""},{"dropping-particle":"","family":"Fletcher","given":"C.H.","non-dropping-particle":"","parse-names":false,"suffix":""}],"id":"ITEM-1","issued":{"date-parts":[["2012"]]},"page":"34-39","publisher":"National Academy of Sciences","title":"Playing to win: serious games for business","type":"chapter"},"uris":["http://www.mendeley.com/documents/?uuid=192f4d05-d6d1-490d-87d8-ecfd281d75bf"]}],"mendeley":{"formattedCitation":"[2]","plainTextFormattedCitation":"[2]","previouslyFormattedCitation":"[2]"},"properties":{"noteIndex":0},"schema":"https://github.com/citation-style-language/schema/raw/master/csl-citation.json"}</w:instrText>
      </w:r>
      <w:r w:rsidR="00AF71A0" w:rsidRPr="00644CB1">
        <w:rPr>
          <w:rFonts w:ascii="Times New Roman" w:hAnsi="Times New Roman"/>
          <w:color w:val="0D0D0D" w:themeColor="text1" w:themeTint="F2"/>
          <w:lang w:val="en-US"/>
        </w:rPr>
        <w:fldChar w:fldCharType="separate"/>
      </w:r>
      <w:r w:rsidR="00AF71A0" w:rsidRPr="00644CB1">
        <w:rPr>
          <w:rFonts w:ascii="Times New Roman" w:hAnsi="Times New Roman"/>
          <w:noProof/>
          <w:color w:val="0D0D0D" w:themeColor="text1" w:themeTint="F2"/>
          <w:lang w:val="en-US"/>
        </w:rPr>
        <w:t>[2]</w:t>
      </w:r>
      <w:r w:rsidR="00AF71A0"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SGs enable students to acquire knowledge and skills through decision-making, resource management, and practical application, effectively mirroring their future professional roles. The capacity of digital SGs to simulate real-world dynamics </w:t>
      </w:r>
      <w:r w:rsidR="0092345C" w:rsidRPr="00644CB1">
        <w:rPr>
          <w:rFonts w:ascii="Times New Roman" w:hAnsi="Times New Roman"/>
          <w:color w:val="0D0D0D" w:themeColor="text1" w:themeTint="F2"/>
          <w:lang w:val="en-US"/>
        </w:rPr>
        <w:fldChar w:fldCharType="begin" w:fldLock="1"/>
      </w:r>
      <w:r w:rsidR="000D01A1" w:rsidRPr="00644CB1">
        <w:rPr>
          <w:rFonts w:ascii="Times New Roman" w:hAnsi="Times New Roman"/>
          <w:color w:val="0D0D0D" w:themeColor="text1" w:themeTint="F2"/>
          <w:lang w:val="en-US"/>
        </w:rPr>
        <w:instrText>ADDIN CSL_CITATION {"citationItems":[{"id":"ITEM-1","itemData":{"DOI":"10.1123/jsm.20.1.1","ISBN":"9780124172081","ISSN":"0888-4773","abstract":"The current malaise over sport management’s place and future as an academic discipline provides a useful basis for envisioning the needs and directions for the field’s growth and development. The field’s development requires two complementary streams of research: one that tests the relevance and application of theories derived from other disciplines, and one that is grounded in sport phenomena. The legitimations that sport advocates advance for sport’s place on public agendas are useful starting points for research that is sport focused. The fi ve most common current legitimations for sport are health, salubrious socialization, economic development, community development, and national pride. The value of sport in each case depends on the ways that sport is managed. Factors that facilitate and that inhibit optimization of sport’s contribution to each must be identified and probed. Identifying and probing those factors will be aided by research that confronts popular beliefs about sport, and by research that explores sport’s links to other economic sectors. The resulting research agenda will foster development of a distinctive sport management discipline.","author":[{"dropping-particle":"","family":"Chalip","given":"Laurence","non-dropping-particle":"","parse-names":false,"suffix":""}],"container-title":"Journal of Sport Management","id":"ITEM-1","issue":"1","issued":{"date-parts":[["2006","1"]]},"page":"1-21","title":"Toward a Distinctive Sport Management Discipline","type":"article-journal","volume":"20"},"uris":["http://www.mendeley.com/documents/?uuid=79204b34-495d-49b0-a83c-af10e1f45bca"]}],"mendeley":{"formattedCitation":"[3]","plainTextFormattedCitation":"[3]","previouslyFormattedCitation":"[3]"},"properties":{"noteIndex":0},"schema":"https://github.com/citation-style-language/schema/raw/master/csl-citation.json"}</w:instrText>
      </w:r>
      <w:r w:rsidR="0092345C" w:rsidRPr="00644CB1">
        <w:rPr>
          <w:rFonts w:ascii="Times New Roman" w:hAnsi="Times New Roman"/>
          <w:color w:val="0D0D0D" w:themeColor="text1" w:themeTint="F2"/>
          <w:lang w:val="en-US"/>
        </w:rPr>
        <w:fldChar w:fldCharType="separate"/>
      </w:r>
      <w:r w:rsidR="0092345C" w:rsidRPr="00644CB1">
        <w:rPr>
          <w:rFonts w:ascii="Times New Roman" w:hAnsi="Times New Roman"/>
          <w:noProof/>
          <w:color w:val="0D0D0D" w:themeColor="text1" w:themeTint="F2"/>
          <w:lang w:val="en-US"/>
        </w:rPr>
        <w:t>[3]</w:t>
      </w:r>
      <w:r w:rsidR="0092345C"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has significantly increased their adoption for educational purposes</w:t>
      </w:r>
      <w:r w:rsidR="00050BCD" w:rsidRPr="00644CB1">
        <w:rPr>
          <w:rFonts w:ascii="Times New Roman" w:hAnsi="Times New Roman"/>
          <w:color w:val="0D0D0D" w:themeColor="text1" w:themeTint="F2"/>
          <w:lang w:val="en-US"/>
        </w:rPr>
        <w:t xml:space="preserve"> </w:t>
      </w:r>
      <w:r w:rsidR="000D01A1" w:rsidRPr="00644CB1">
        <w:rPr>
          <w:rFonts w:ascii="Times New Roman" w:hAnsi="Times New Roman"/>
          <w:color w:val="0D0D0D" w:themeColor="text1" w:themeTint="F2"/>
          <w:lang w:val="en-US"/>
        </w:rPr>
        <w:fldChar w:fldCharType="begin" w:fldLock="1"/>
      </w:r>
      <w:r w:rsidR="00940A74" w:rsidRPr="00644CB1">
        <w:rPr>
          <w:rFonts w:ascii="Times New Roman" w:hAnsi="Times New Roman"/>
          <w:color w:val="0D0D0D" w:themeColor="text1" w:themeTint="F2"/>
          <w:lang w:val="en-US"/>
        </w:rPr>
        <w:instrText>ADDIN CSL_CITATION {"citationItems":[{"id":"ITEM-1","itemData":{"DOI":"10.17083/ijsg.v8i2.425","ISSN":"23848766","abstract":"Greenfoot is an educational programming environment that aims to motivate students in learning object-oriented programming (OOP) through the development of simple games and simulations. Several studies have presented positive results regarding the usage of Greenfoot as a tool for introducing novices to OOP. In this article, we propose using Greenfoot as a tool for introducing novices to (serious) games programming, as well as a tool for implementing serious games (SGs). As a proof of concept, the design and implementation of an SG for learning OOP utilizing Greenfoot and a survey on the perceptions of graduates that had been introduced to SGs programming with Greenfoot in the context of a relevant Master course are presented. The results show that Greenfoot, although not developed for this purpose, can be utilized both as a tool for introducing novices to (serious) games programming and as a tool for developing SGs.","author":[{"dropping-particle":"","family":"Xinogalos","given":"Stelios","non-dropping-particle":"","parse-names":false,"suffix":""},{"dropping-particle":"","family":"Tryfou","given":"Margarita Maria","non-dropping-particle":"","parse-names":false,"suffix":""}],"container-title":"International Journal of Serious Games","id":"ITEM-1","issue":"2","issued":{"date-parts":[["2021"]]},"page":"67-86","title":"Using Greenfoot as a tool for serious games programming education and development","type":"article-journal","volume":"8"},"uris":["http://www.mendeley.com/documents/?uuid=a67189b5-6e65-4050-9910-cf5ace03c497"]}],"mendeley":{"formattedCitation":"[4]","plainTextFormattedCitation":"[4]","previouslyFormattedCitation":"[4]"},"properties":{"noteIndex":0},"schema":"https://github.com/citation-style-language/schema/raw/master/csl-citation.json"}</w:instrText>
      </w:r>
      <w:r w:rsidR="000D01A1" w:rsidRPr="00644CB1">
        <w:rPr>
          <w:rFonts w:ascii="Times New Roman" w:hAnsi="Times New Roman"/>
          <w:color w:val="0D0D0D" w:themeColor="text1" w:themeTint="F2"/>
          <w:lang w:val="en-US"/>
        </w:rPr>
        <w:fldChar w:fldCharType="separate"/>
      </w:r>
      <w:r w:rsidR="000D01A1" w:rsidRPr="00644CB1">
        <w:rPr>
          <w:rFonts w:ascii="Times New Roman" w:hAnsi="Times New Roman"/>
          <w:noProof/>
          <w:color w:val="0D0D0D" w:themeColor="text1" w:themeTint="F2"/>
          <w:lang w:val="en-US"/>
        </w:rPr>
        <w:t>[4]</w:t>
      </w:r>
      <w:r w:rsidR="000D01A1" w:rsidRPr="00644CB1">
        <w:rPr>
          <w:rFonts w:ascii="Times New Roman" w:hAnsi="Times New Roman"/>
          <w:color w:val="0D0D0D" w:themeColor="text1" w:themeTint="F2"/>
          <w:lang w:val="en-US"/>
        </w:rPr>
        <w:fldChar w:fldCharType="end"/>
      </w:r>
      <w:r w:rsidR="000D01A1"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in recent years</w:t>
      </w:r>
      <w:r w:rsidR="00940A74" w:rsidRPr="00644CB1">
        <w:rPr>
          <w:rFonts w:ascii="Times New Roman" w:hAnsi="Times New Roman"/>
          <w:color w:val="0D0D0D" w:themeColor="text1" w:themeTint="F2"/>
          <w:lang w:val="en-US"/>
        </w:rPr>
        <w:fldChar w:fldCharType="begin" w:fldLock="1"/>
      </w:r>
      <w:r w:rsidR="0051036D" w:rsidRPr="00644CB1">
        <w:rPr>
          <w:rFonts w:ascii="Times New Roman" w:hAnsi="Times New Roman"/>
          <w:color w:val="0D0D0D" w:themeColor="text1" w:themeTint="F2"/>
          <w:lang w:val="en-US"/>
        </w:rPr>
        <w:instrText>ADDIN CSL_CITATION {"citationItems":[{"id":"ITEM-1","itemData":{"DOI":"10.30935/cedtech/9608","ISSN":"1309517X","abstract":"The aim of this study was to conduct a systematic literature review on the use of serious games in science education between 2016 and 2020 years. A total of 39 articles were included from Science Citation IndexExpanded (SCI-Expanded), Social Science Citation Index (SSCI), Arts &amp; Humanities Citation Index (A&amp;HCI) and Emerging Sources Citation Index (ESCI) listed in the Web of Science database. The results showed that experiential science was the most emphasized subject area in the articles. The results also indicated that learning/academic achievement was the common examined topic in the articles. For the research designs, more than half of the articles implemented quantitative research design. Considering the data collection tools, achievement tests were the most used data collection tool. Regarding the use of sampling methods, convenience sampling was preferred in more than half of the articles. Secondary and primary school students were the most used sampling groups. The sample size of 31-100-person group was commonly chosen in the articles. Considering the data analysis methods, a majority of articles implemented descriptive analyses methods. It was also found that computer game was the most used game type. Regarding the game genres, adventure was the most preferred one in serious games.","author":[{"dropping-particle":"","family":"Kara","given":"Nuri","non-dropping-particle":"","parse-names":false,"suffix":""}],"container-title":"Contemporary Educational Technology","id":"ITEM-1","issue":"2","issued":{"date-parts":[["2021"]]},"page":"1-13","title":"A systematic review of the use of serious games in science education","type":"article-journal","volume":"13"},"uris":["http://www.mendeley.com/documents/?uuid=47aada96-c3ba-4e47-9b18-f1c6cdb8033a"]}],"mendeley":{"formattedCitation":"[5]","plainTextFormattedCitation":"[5]","previouslyFormattedCitation":"[5]"},"properties":{"noteIndex":0},"schema":"https://github.com/citation-style-language/schema/raw/master/csl-citation.json"}</w:instrText>
      </w:r>
      <w:r w:rsidR="00940A74" w:rsidRPr="00644CB1">
        <w:rPr>
          <w:rFonts w:ascii="Times New Roman" w:hAnsi="Times New Roman"/>
          <w:color w:val="0D0D0D" w:themeColor="text1" w:themeTint="F2"/>
          <w:lang w:val="en-US"/>
        </w:rPr>
        <w:fldChar w:fldCharType="separate"/>
      </w:r>
      <w:r w:rsidR="00940A74" w:rsidRPr="00644CB1">
        <w:rPr>
          <w:rFonts w:ascii="Times New Roman" w:hAnsi="Times New Roman"/>
          <w:noProof/>
          <w:color w:val="0D0D0D" w:themeColor="text1" w:themeTint="F2"/>
          <w:lang w:val="en-US"/>
        </w:rPr>
        <w:t>[5]</w:t>
      </w:r>
      <w:r w:rsidR="00940A74"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According to Vlachopoulos and Makri</w:t>
      </w:r>
      <w:r w:rsidR="0051036D" w:rsidRPr="00644CB1">
        <w:rPr>
          <w:rFonts w:ascii="Times New Roman" w:hAnsi="Times New Roman"/>
          <w:color w:val="0D0D0D" w:themeColor="text1" w:themeTint="F2"/>
          <w:lang w:val="en-US"/>
        </w:rPr>
        <w:t xml:space="preserve"> </w:t>
      </w:r>
      <w:r w:rsidR="0051036D" w:rsidRPr="00644CB1">
        <w:rPr>
          <w:rFonts w:ascii="Times New Roman" w:hAnsi="Times New Roman"/>
          <w:color w:val="0D0D0D" w:themeColor="text1" w:themeTint="F2"/>
          <w:lang w:val="en-US"/>
        </w:rPr>
        <w:fldChar w:fldCharType="begin" w:fldLock="1"/>
      </w:r>
      <w:r w:rsidR="00172456" w:rsidRPr="00644CB1">
        <w:rPr>
          <w:rFonts w:ascii="Times New Roman" w:hAnsi="Times New Roman"/>
          <w:color w:val="0D0D0D" w:themeColor="text1" w:themeTint="F2"/>
          <w:lang w:val="en-US"/>
        </w:rPr>
        <w:instrText>ADDIN CSL_CITATION {"citationItems":[{"id":"ITEM-1","itemData":{"DOI":"10.1186/s41239-017-0062-1","ISBN":"4123901700","ISSN":"23659440","abstract":"The focus of higher education institutions is the preparation of future professionals. To achieve this aim, innovative teaching methods are often deployed, including games and simulations, which form the subject of this paper. As the field of digital games and simulations is ever maturing, this paper attempts to systematically review the literature relevant to games and simulation pedagogy in higher education. Two researchers collaborate to apply a qualitative method, coding and synthesizing the results using multiple criteria. The main objective is to study the impact of games and simulations with regard to achieving specific learning objectives. On balance, results indicate that games and/or simulations have a positive impact on learning goals. The researchers identify three learning outcomes when integrating games into the learning process: cognitive, behavioural, and affective. As a final step, the authors consolidate evidence for the benefit of academics and practitioners in higher education interested in the efficient use of games and simulations for pedagogical purposes. Such evidence also provides potential options and pathways for future research.","author":[{"dropping-particle":"","family":"Vlachopoulos","given":"Dimitrios","non-dropping-particle":"","parse-names":false,"suffix":""},{"dropping-particle":"","family":"Makri","given":"Agoritsa","non-dropping-particle":"","parse-names":false,"suffix":""}],"container-title":"International Journal of Educational Technology in Higher Education","id":"ITEM-1","issue":"1","issued":{"date-parts":[["2017"]]},"number-of-pages":"1-33","publisher":"International Journal of Educational Technology in Higher Education","title":"The effect of games and simulations on higher education: a systematic literature review","type":"book","volume":"14"},"locator":"1","suppress-author":1,"uris":["http://www.mendeley.com/documents/?uuid=d6e654e7-80de-46ef-b60e-76d06588330b"]}],"mendeley":{"formattedCitation":"[1, p. 1]","plainTextFormattedCitation":"[1, p. 1]","previouslyFormattedCitation":"[1, p. 1]"},"properties":{"noteIndex":0},"schema":"https://github.com/citation-style-language/schema/raw/master/csl-citation.json"}</w:instrText>
      </w:r>
      <w:r w:rsidR="0051036D" w:rsidRPr="00644CB1">
        <w:rPr>
          <w:rFonts w:ascii="Times New Roman" w:hAnsi="Times New Roman"/>
          <w:color w:val="0D0D0D" w:themeColor="text1" w:themeTint="F2"/>
          <w:lang w:val="en-US"/>
        </w:rPr>
        <w:fldChar w:fldCharType="separate"/>
      </w:r>
      <w:r w:rsidR="0051036D" w:rsidRPr="00644CB1">
        <w:rPr>
          <w:rFonts w:ascii="Times New Roman" w:hAnsi="Times New Roman"/>
          <w:noProof/>
          <w:color w:val="0D0D0D" w:themeColor="text1" w:themeTint="F2"/>
          <w:lang w:val="en-US"/>
        </w:rPr>
        <w:t>[1, p. 1]</w:t>
      </w:r>
      <w:r w:rsidR="0051036D"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w:t>
      </w:r>
      <w:r w:rsidRPr="00644CB1">
        <w:rPr>
          <w:rFonts w:ascii="Times New Roman" w:hAnsi="Times New Roman"/>
          <w:i/>
          <w:color w:val="0D0D0D" w:themeColor="text1" w:themeTint="F2"/>
          <w:lang w:val="en-US"/>
        </w:rPr>
        <w:t xml:space="preserve">As rapidly evolving technological applications, games and simulations are already widely integrated in the traditional educational process. They are deployed extensively in the field of education, with an existing body of work examining the relation </w:t>
      </w:r>
      <w:proofErr w:type="gramStart"/>
      <w:r w:rsidRPr="00644CB1">
        <w:rPr>
          <w:rFonts w:ascii="Times New Roman" w:hAnsi="Times New Roman"/>
          <w:i/>
          <w:color w:val="0D0D0D" w:themeColor="text1" w:themeTint="F2"/>
          <w:lang w:val="en-US"/>
        </w:rPr>
        <w:t>of</w:t>
      </w:r>
      <w:proofErr w:type="gramEnd"/>
      <w:r w:rsidRPr="00644CB1">
        <w:rPr>
          <w:rFonts w:ascii="Times New Roman" w:hAnsi="Times New Roman"/>
          <w:i/>
          <w:color w:val="0D0D0D" w:themeColor="text1" w:themeTint="F2"/>
          <w:lang w:val="en-US"/>
        </w:rPr>
        <w:t xml:space="preserve"> games and education</w:t>
      </w:r>
      <w:r w:rsidRPr="00644CB1">
        <w:rPr>
          <w:rFonts w:ascii="Times New Roman" w:hAnsi="Times New Roman"/>
          <w:color w:val="0D0D0D" w:themeColor="text1" w:themeTint="F2"/>
          <w:lang w:val="en-US"/>
        </w:rPr>
        <w:t xml:space="preserve">". Their effectiveness is enhanced by their ability to provide a structured, goal-oriented environment with clearly defined objectives, decision-making processes, instant feedback, and evaluation mechanisms </w:t>
      </w:r>
      <w:r w:rsidR="00172456" w:rsidRPr="00644CB1">
        <w:rPr>
          <w:rFonts w:ascii="Times New Roman" w:hAnsi="Times New Roman"/>
          <w:color w:val="0D0D0D" w:themeColor="text1" w:themeTint="F2"/>
          <w:lang w:val="en-US"/>
        </w:rPr>
        <w:fldChar w:fldCharType="begin" w:fldLock="1"/>
      </w:r>
      <w:r w:rsidR="00026412" w:rsidRPr="00644CB1">
        <w:rPr>
          <w:rFonts w:ascii="Times New Roman" w:hAnsi="Times New Roman"/>
          <w:color w:val="0D0D0D" w:themeColor="text1" w:themeTint="F2"/>
          <w:lang w:val="en-US"/>
        </w:rPr>
        <w:instrText>ADDIN CSL_CITATION {"citationItems":[{"id":"ITEM-1","itemData":{"ISBN":"1101467150","author":[{"dropping-particle":"","family":"McGonigal","given":"Jane","non-dropping-particle":"","parse-names":false,"suffix":""}],"id":"ITEM-1","issued":{"date-parts":[["2011"]]},"publisher":"The Penguin Press","publisher-place":"New York","title":"Reality is broken: Why games make us better and how they can change the world","type":"book"},"uris":["http://www.mendeley.com/documents/?uuid=2ad91220-421a-42af-9223-6a8323d93d82"]}],"mendeley":{"formattedCitation":"[6]","plainTextFormattedCitation":"[6]","previouslyFormattedCitation":"[6]"},"properties":{"noteIndex":0},"schema":"https://github.com/citation-style-language/schema/raw/master/csl-citation.json"}</w:instrText>
      </w:r>
      <w:r w:rsidR="00172456" w:rsidRPr="00644CB1">
        <w:rPr>
          <w:rFonts w:ascii="Times New Roman" w:hAnsi="Times New Roman"/>
          <w:color w:val="0D0D0D" w:themeColor="text1" w:themeTint="F2"/>
          <w:lang w:val="en-US"/>
        </w:rPr>
        <w:fldChar w:fldCharType="separate"/>
      </w:r>
      <w:r w:rsidR="00172456" w:rsidRPr="00644CB1">
        <w:rPr>
          <w:rFonts w:ascii="Times New Roman" w:hAnsi="Times New Roman"/>
          <w:noProof/>
          <w:color w:val="0D0D0D" w:themeColor="text1" w:themeTint="F2"/>
          <w:lang w:val="en-US"/>
        </w:rPr>
        <w:t>[6]</w:t>
      </w:r>
      <w:r w:rsidR="00172456"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w:t>
      </w:r>
    </w:p>
    <w:p w14:paraId="2F0BAE81" w14:textId="566BF0DC" w:rsidR="008F328D" w:rsidRPr="00644CB1" w:rsidRDefault="008F328D" w:rsidP="0010246C">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The use of SGs in higher education has grown significantly over the past decade, particularly in simulation-based learning</w:t>
      </w:r>
      <w:r w:rsidR="00172456" w:rsidRPr="00644CB1">
        <w:rPr>
          <w:rFonts w:ascii="Times New Roman" w:hAnsi="Times New Roman"/>
          <w:color w:val="0D0D0D" w:themeColor="text1" w:themeTint="F2"/>
          <w:lang w:val="en-US"/>
        </w:rPr>
        <w:t xml:space="preserve"> </w:t>
      </w:r>
      <w:r w:rsidR="00026412" w:rsidRPr="00644CB1">
        <w:rPr>
          <w:rFonts w:ascii="Times New Roman" w:hAnsi="Times New Roman"/>
          <w:color w:val="0D0D0D" w:themeColor="text1" w:themeTint="F2"/>
          <w:lang w:val="en-US"/>
        </w:rPr>
        <w:fldChar w:fldCharType="begin" w:fldLock="1"/>
      </w:r>
      <w:r w:rsidR="00622BD1" w:rsidRPr="00644CB1">
        <w:rPr>
          <w:rFonts w:ascii="Times New Roman" w:hAnsi="Times New Roman"/>
          <w:color w:val="0D0D0D" w:themeColor="text1" w:themeTint="F2"/>
          <w:lang w:val="en-US"/>
        </w:rPr>
        <w:instrText>ADDIN CSL_CITATION {"citationItems":[{"id":"ITEM-1","itemData":{"DOI":"10.1109/HICSS.2016.106","ISBN":"9780769556703","ISSN":"15301605","abstract":"This article is an exploratory approach of the different strategies used in higher education institutions for implementing serious games. In the complex and often slow-moving education sector, serious games are challenging not only the learners and teachers' practices but also the organizations' strategies. What performance criteria can be used in this specific context to evaluate the training? What types of strategies emerge? During the past decade, different types of serious games implementation have been experimented in higher education. Through a longitudinal analysis of six case studies, this article builds a typology of six strategies to implement serious games in higher education: Recycling, Ready-to wear, Home-made, Haute-couture, Co-branding and The Playground. This study therefore introduces a sixth level of analysis in the evaluation of training process: Innovation. It therefore supports the creation of a new strategy: The Playground strategy.","author":[{"dropping-particle":"","family":"Michel","given":"Helene","non-dropping-particle":"","parse-names":false,"suffix":""}],"container-title":"Proceedings of the Annual Hawaii International Conference on System Sciences","id":"ITEM-1","issued":{"date-parts":[["2016"]]},"page":"818-826","title":"Characterizing serious games implementation's strategies: Is higher education the new playground of serious games?","type":"article-journal","volume":"2016-March"},"uris":["http://www.mendeley.com/documents/?uuid=f38af961-a14f-46b0-a7f0-80d2209deeae"]}],"mendeley":{"formattedCitation":"[7]","plainTextFormattedCitation":"[7]","previouslyFormattedCitation":"[7]"},"properties":{"noteIndex":0},"schema":"https://github.com/citation-style-language/schema/raw/master/csl-citation.json"}</w:instrText>
      </w:r>
      <w:r w:rsidR="00026412" w:rsidRPr="00644CB1">
        <w:rPr>
          <w:rFonts w:ascii="Times New Roman" w:hAnsi="Times New Roman"/>
          <w:color w:val="0D0D0D" w:themeColor="text1" w:themeTint="F2"/>
          <w:lang w:val="en-US"/>
        </w:rPr>
        <w:fldChar w:fldCharType="separate"/>
      </w:r>
      <w:r w:rsidR="00026412" w:rsidRPr="00644CB1">
        <w:rPr>
          <w:rFonts w:ascii="Times New Roman" w:hAnsi="Times New Roman"/>
          <w:noProof/>
          <w:color w:val="0D0D0D" w:themeColor="text1" w:themeTint="F2"/>
          <w:lang w:val="en-US"/>
        </w:rPr>
        <w:t>[7]</w:t>
      </w:r>
      <w:r w:rsidR="00026412"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This rapid evolution has enabled researchers to investigate their learning effectiveness </w:t>
      </w:r>
      <w:r w:rsidR="00622BD1" w:rsidRPr="00644CB1">
        <w:rPr>
          <w:rFonts w:ascii="Times New Roman" w:hAnsi="Times New Roman"/>
          <w:color w:val="0D0D0D" w:themeColor="text1" w:themeTint="F2"/>
          <w:lang w:val="en-US"/>
        </w:rPr>
        <w:fldChar w:fldCharType="begin" w:fldLock="1"/>
      </w:r>
      <w:r w:rsidR="00F90521" w:rsidRPr="00644CB1">
        <w:rPr>
          <w:rFonts w:ascii="Times New Roman" w:hAnsi="Times New Roman"/>
          <w:color w:val="0D0D0D" w:themeColor="text1" w:themeTint="F2"/>
          <w:lang w:val="en-US"/>
        </w:rPr>
        <w:instrText>ADDIN CSL_CITATION {"citationItems":[{"id":"ITEM-1","itemData":{"DOI":"10.1016/j.compedu.2011.07.015","ISSN":"03601315","abstract":"Although the value of serious games in education is undeniable and the potential benefits of using video games as ideal companions to classroom instruction is unquestionable, there is still little consensus on the game features supporting learning effectiveness, the process by which games engage learners, and the types of learning outcomes that can be achieved through game play. Our aim in this discussion is precisely to advance in this direction by providing evidence of some of the factors influencing the learning effectiveness of a serious game called It's a Deal! This serious game was created for the purpose of teaching intercultural business communication between Spaniards and Britons in business settings in which English is used as the lingua franca. This paper hypothesizes that the immersive, all-embracing and interactive learning environment provided by the video game to its users may contribute to develop and enhance their intercultural communicative competence. The study attempts to answer three main research questions: (a) after playing It's a Deal!, did the students sampled improve their intercultural awareness, intercultural knowledge and intercultural communicative competence in business English? (b) If they improved their intercultural learning, what are the factors influencing such improvement? And (c) if they did not improve their intercultural learning, what are the factors influencing such failure? The game participants who volunteered to take part in the study were all students of English Studies at the University of Alicante in the academic year 2010-2011. One hundred and six students completed both the pre-test and the post-test questionnaires, and played It's a Deal! A sample of fifty students was selected randomly for the empirical study. The results obtained in the tests performed were compared and contrasted intra-group, both qualitatively and quantitatively, for the purpose of finding any statistically significant difference that may confirm whether or not there was an improvement in the students' intercultural communicative competence in business English as a result of the implementation of the It's a Deal! serious game. Findings of this study demonstrate that the video game is an effective learning tool for the teaching of intercultural communication between Spaniards and Britons in business settings in which English is used as the lingua franca. In particular, whereas the game had a small learning effect on intercultural awa…","author":[{"dropping-particle":"","family":"Guillén-Nieto","given":"Victoria","non-dropping-particle":"","parse-names":false,"suffix":""},{"dropping-particle":"","family":"Aleson-Carbonell","given":"Marian","non-dropping-particle":"","parse-names":false,"suffix":""}],"container-title":"Computers and Education","id":"ITEM-1","issue":"1","issued":{"date-parts":[["2012"]]},"page":"435-448","publisher":"Elsevier Ltd","title":"Serious games and learning effectiveness: The case of It's a Deal!","type":"article-journal","volume":"58"},"uris":["http://www.mendeley.com/documents/?uuid=e4aa1c91-6a9d-479d-957f-57667dcae690"]},{"id":"ITEM-2","itemData":{"DOI":"10.17083/ijsg.v8i2.420","ISSN":"23848766","abstract":"The present study aims to explore the use of the serious game Top Eleven as an auxiliary educational tool in a sports economics undergraduate course. This attempt is warranted because serious games can provide real life/work experiences and set the ground for managerial – economics skills development. The selection of the specific serious game is based on the ample and varied sports economics data provided and its free of charge online accessibility. Following the case study methodology, a virtual football club was created and managed within Top Eleven. The stated research questions were based on the analysis and application of the generated data to a number of economic concepts identified in a specific sports economics textbook. Based on the analysis results, twelve out of 17 in total identified economic concepts were successfully analyzed using eleven economic data sources of items embedded in the game. The implementation phase showed that Top Eleven could be used as an educational supporting tool in the form of a virtual internship to gain practical experience by applying sports economic concepts for the financial management of a professional football club. It is argued that the game offers a sensible working environment in sports economics and the associated sport management field.","author":[{"dropping-particle":"","family":"Afthinos","given":"Ioannis","non-dropping-particle":"","parse-names":false,"suffix":""},{"dropping-particle":"","family":"Manasis","given":"Vasileios","non-dropping-particle":"","parse-names":false,"suffix":""},{"dropping-particle":"","family":"Chrysanthopoulos","given":"Thodoros Panagiotis","non-dropping-particle":"","parse-names":false,"suffix":""}],"container-title":"International Journal of Serious Games","id":"ITEM-2","issue":"2","issued":{"date-parts":[["2021"]]},"page":"3-19","title":"Serious game top eleven as an educational tool in sports economics","type":"article-journal","volume":"8"},"uris":["http://www.mendeley.com/documents/?uuid=81c41ce4-17a0-4f86-b11a-b02e1cecea94"]},{"id":"ITEM-3","itemData":{"DOI":"10.1007/s10758-021-09573-8","ISBN":"0123456789","ISSN":"22111670","abstract":"The aim of this study is to examine whether students of a sport management undergraduate course can gain knowledge in the management of a professional soccer club, by participating in a commercial serious game. Serious is considered the cyber game that its purpose exceeds entertainment. For this case study, the serious sport club management game was “Top Eleven”. The theoretical model that this study was based on, is Misfeldt’s “scenarios based learning” for the transformation of a serious game into an educational means. It includes dimensions that cover part of the sport management class content in the National and Kapodistrian University of Athens, School of Physical Education and Sport Science. The transformation consisted of educational scenarios vested to the serious game, in order to add educational parameters to its basic elements with the purpose to relate further to the sport management class. The application showed that Top Eleven covers adequately Misfeldt’s model dimensions; therefore it can be used as an educational tool. Furthermore, an evaluation of the class gamification was conducted by the participating students (n = 62). The data collected showed that the majority of the students (f = 61, 98.4%) agreed that the participation in the serious game was “helpful” to their sport management class education process. They further agreed that they gained “very” or “very much” knowledge related to the management of a professional soccer club (f = 41, 66.1%) and that 59.7% (f = 37) of them would choose to work in a position of “sport club manager” as a result of the experience they gained by participating in the serious game.","author":[{"dropping-particle":"","family":"Afthinos","given":"Yanni","non-dropping-particle":"","parse-names":false,"suffix":""},{"dropping-particle":"","family":"Kiaffas","given":"Zacharias","non-dropping-particle":"","parse-names":false,"suffix":""},{"dropping-particle":"","family":"Afthinos","given":"Theofilos","non-dropping-particle":"","parse-names":false,"suffix":""}],"container-title":"Technology, Knowledge and Learning","id":"ITEM-3","issue":"1","issued":{"date-parts":[["2022"]]},"page":"255-273","publisher":"Springer Netherlands","title":"The Serious Game “Top Eleven” as an Educational Simulation Platform for Acquiring Knowledge and Skills in the Management of Sports Clubs","type":"article-journal","volume":"27"},"uris":["http://www.mendeley.com/documents/?uuid=30dcf59c-a82e-4fef-8228-412cc63cdcc0"]}],"mendeley":{"formattedCitation":"[8], [9], [10]","plainTextFormattedCitation":"[8], [9], [10]","previouslyFormattedCitation":"[8], [9], [10]"},"properties":{"noteIndex":0},"schema":"https://github.com/citation-style-language/schema/raw/master/csl-citation.json"}</w:instrText>
      </w:r>
      <w:r w:rsidR="00622BD1" w:rsidRPr="00644CB1">
        <w:rPr>
          <w:rFonts w:ascii="Times New Roman" w:hAnsi="Times New Roman"/>
          <w:color w:val="0D0D0D" w:themeColor="text1" w:themeTint="F2"/>
          <w:lang w:val="en-US"/>
        </w:rPr>
        <w:fldChar w:fldCharType="separate"/>
      </w:r>
      <w:r w:rsidR="00622BD1" w:rsidRPr="00644CB1">
        <w:rPr>
          <w:rFonts w:ascii="Times New Roman" w:hAnsi="Times New Roman"/>
          <w:noProof/>
          <w:color w:val="0D0D0D" w:themeColor="text1" w:themeTint="F2"/>
          <w:lang w:val="en-US"/>
        </w:rPr>
        <w:t>[8], [9], [10]</w:t>
      </w:r>
      <w:r w:rsidR="00622BD1"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with many scholars exploring their conversion into educational tools and identifying them as promising alternatives to traditional learning methods. SG players develop knowledge and practical skills by engaging in interactive tasks</w:t>
      </w:r>
      <w:r w:rsidR="00F90521" w:rsidRPr="00644CB1">
        <w:rPr>
          <w:rFonts w:ascii="Times New Roman" w:hAnsi="Times New Roman"/>
          <w:color w:val="0D0D0D" w:themeColor="text1" w:themeTint="F2"/>
          <w:lang w:val="en-US"/>
        </w:rPr>
        <w:t xml:space="preserve"> </w:t>
      </w:r>
      <w:r w:rsidR="00F90521" w:rsidRPr="00644CB1">
        <w:rPr>
          <w:rFonts w:ascii="Times New Roman" w:hAnsi="Times New Roman"/>
          <w:color w:val="0D0D0D" w:themeColor="text1" w:themeTint="F2"/>
          <w:lang w:val="en-US"/>
        </w:rPr>
        <w:fldChar w:fldCharType="begin" w:fldLock="1"/>
      </w:r>
      <w:r w:rsidR="000C02D1" w:rsidRPr="00644CB1">
        <w:rPr>
          <w:rFonts w:ascii="Times New Roman" w:hAnsi="Times New Roman"/>
          <w:color w:val="0D0D0D" w:themeColor="text1" w:themeTint="F2"/>
          <w:lang w:val="en-US"/>
        </w:rPr>
        <w:instrText>ADDIN CSL_CITATION {"citationItems":[{"id":"ITEM-1","itemData":{"DOI":"10.1186/s41239-017-0075-9","ISBN":"4123901700759","ISSN":"23659440","author":[{"dropping-particle":"","family":"Juan","given":"Angel A.","non-dropping-particle":"","parse-names":false,"suffix":""},{"dropping-particle":"","family":"Loch","given":"Birgit","non-dropping-particle":"","parse-names":false,"suffix":""},{"dropping-particle":"","family":"Daradoumis","given":"Thanasis","non-dropping-particle":"","parse-names":false,"suffix":""},{"dropping-particle":"","family":"Ventura","given":"Sebastian","non-dropping-particle":"","parse-names":false,"suffix":""}],"container-title":"International Journal of Educational Technology in Higher Education","id":"ITEM-1","issue":"1","issued":{"date-parts":[["2017"]]},"page":"0-2","publisher":"International Journal of Educational Technology in Higher Education","title":"Games and simulation in higher education","type":"article-journal","volume":"14"},"uris":["http://www.mendeley.com/documents/?uuid=ac1d948d-233d-478e-bbd9-a2295ee31a73"]}],"mendeley":{"formattedCitation":"[11]","plainTextFormattedCitation":"[11]","previouslyFormattedCitation":"[11]"},"properties":{"noteIndex":0},"schema":"https://github.com/citation-style-language/schema/raw/master/csl-citation.json"}</w:instrText>
      </w:r>
      <w:r w:rsidR="00F90521" w:rsidRPr="00644CB1">
        <w:rPr>
          <w:rFonts w:ascii="Times New Roman" w:hAnsi="Times New Roman"/>
          <w:color w:val="0D0D0D" w:themeColor="text1" w:themeTint="F2"/>
          <w:lang w:val="en-US"/>
        </w:rPr>
        <w:fldChar w:fldCharType="separate"/>
      </w:r>
      <w:r w:rsidR="00F90521" w:rsidRPr="00644CB1">
        <w:rPr>
          <w:rFonts w:ascii="Times New Roman" w:hAnsi="Times New Roman"/>
          <w:noProof/>
          <w:color w:val="0D0D0D" w:themeColor="text1" w:themeTint="F2"/>
          <w:lang w:val="en-US"/>
        </w:rPr>
        <w:t>[11]</w:t>
      </w:r>
      <w:r w:rsidR="00F90521"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According to </w:t>
      </w:r>
      <w:proofErr w:type="spellStart"/>
      <w:r w:rsidRPr="00644CB1">
        <w:rPr>
          <w:rFonts w:ascii="Times New Roman" w:hAnsi="Times New Roman"/>
          <w:color w:val="0D0D0D" w:themeColor="text1" w:themeTint="F2"/>
          <w:lang w:val="en-US"/>
        </w:rPr>
        <w:t>Zhonggen</w:t>
      </w:r>
      <w:proofErr w:type="spellEnd"/>
      <w:r w:rsidR="000C02D1" w:rsidRPr="00644CB1">
        <w:rPr>
          <w:rFonts w:ascii="Times New Roman" w:hAnsi="Times New Roman"/>
          <w:color w:val="0D0D0D" w:themeColor="text1" w:themeTint="F2"/>
          <w:lang w:val="en-US"/>
        </w:rPr>
        <w:t xml:space="preserve"> </w:t>
      </w:r>
      <w:r w:rsidR="000C02D1" w:rsidRPr="00644CB1">
        <w:rPr>
          <w:rFonts w:ascii="Times New Roman" w:hAnsi="Times New Roman"/>
          <w:color w:val="0D0D0D" w:themeColor="text1" w:themeTint="F2"/>
          <w:lang w:val="en-US"/>
        </w:rPr>
        <w:fldChar w:fldCharType="begin" w:fldLock="1"/>
      </w:r>
      <w:r w:rsidR="007560DF" w:rsidRPr="00644CB1">
        <w:rPr>
          <w:rFonts w:ascii="Times New Roman" w:hAnsi="Times New Roman"/>
          <w:color w:val="0D0D0D" w:themeColor="text1" w:themeTint="F2"/>
          <w:lang w:val="en-US"/>
        </w:rPr>
        <w:instrText>ADDIN CSL_CITATION {"citationItems":[{"id":"ITEM-1","itemData":{"DOI":"10.1155/2019/4797032","ISSN":"16877055","abstract":"It seems necessary to review the literature to explore the effectiveness of serious games in education, since the number of studies on serious games is surging up. This study systematically reviewed the literature within around a recent decade. The trend of the number of publications related to use of serious games in education was firstly clarified based on the data retrieved from major databases. Secondly, various factors were determined that influenced the effect of serious game assisted learning. The major section identified both advantages and disadvantages of use of serious games in education. Use of serious games in medical science has been rising in a recent decade, which is thus highlighted in this study. Attitudes toward use of serious games in education were explored, as well as the new development of use of serious games in education. Future theoretical and practical exploration might need interdisciplinary cooperation.","author":[{"dropping-particle":"","family":"Zhonggen","given":"Yu","non-dropping-particle":"","parse-names":false,"suffix":""}],"container-title":"International Journal of Computer Games Technology","id":"ITEM-1","issue":"3","issued":{"date-parts":[["2019"]]},"title":"A Meta-Analysis of Use of Serious Games in Education over a Decade","type":"article-journal","volume":"2019"},"locator":"12","suppress-author":1,"uris":["http://www.mendeley.com/documents/?uuid=bf0c81fe-11f0-49eb-b901-81848b560071"]}],"mendeley":{"formattedCitation":"[12, p. 12]","plainTextFormattedCitation":"[12, p. 12]","previouslyFormattedCitation":"[12, p. 12]"},"properties":{"noteIndex":0},"schema":"https://github.com/citation-style-language/schema/raw/master/csl-citation.json"}</w:instrText>
      </w:r>
      <w:r w:rsidR="000C02D1" w:rsidRPr="00644CB1">
        <w:rPr>
          <w:rFonts w:ascii="Times New Roman" w:hAnsi="Times New Roman"/>
          <w:color w:val="0D0D0D" w:themeColor="text1" w:themeTint="F2"/>
          <w:lang w:val="en-US"/>
        </w:rPr>
        <w:fldChar w:fldCharType="separate"/>
      </w:r>
      <w:r w:rsidR="000C02D1" w:rsidRPr="00644CB1">
        <w:rPr>
          <w:rFonts w:ascii="Times New Roman" w:hAnsi="Times New Roman"/>
          <w:noProof/>
          <w:color w:val="0D0D0D" w:themeColor="text1" w:themeTint="F2"/>
          <w:lang w:val="en-US"/>
        </w:rPr>
        <w:t>[12, p. 12]</w:t>
      </w:r>
      <w:r w:rsidR="000C02D1"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w:t>
      </w:r>
      <w:r w:rsidRPr="00644CB1">
        <w:rPr>
          <w:rFonts w:ascii="Times New Roman" w:hAnsi="Times New Roman"/>
          <w:i/>
          <w:color w:val="0D0D0D" w:themeColor="text1" w:themeTint="F2"/>
          <w:lang w:val="en-US"/>
        </w:rPr>
        <w:t>educational elements can be integrated into the gameplay, which will be subconsciously acquired by the players during the gaming process</w:t>
      </w:r>
      <w:r w:rsidRPr="00644CB1">
        <w:rPr>
          <w:rFonts w:ascii="Times New Roman" w:hAnsi="Times New Roman"/>
          <w:color w:val="0D0D0D" w:themeColor="text1" w:themeTint="F2"/>
          <w:lang w:val="en-US"/>
        </w:rPr>
        <w:t xml:space="preserve">". This meta-analysis </w:t>
      </w:r>
      <w:r w:rsidR="007560DF" w:rsidRPr="00644CB1">
        <w:rPr>
          <w:rFonts w:ascii="Times New Roman" w:hAnsi="Times New Roman"/>
          <w:color w:val="0D0D0D" w:themeColor="text1" w:themeTint="F2"/>
          <w:lang w:val="en-US"/>
        </w:rPr>
        <w:fldChar w:fldCharType="begin" w:fldLock="1"/>
      </w:r>
      <w:r w:rsidR="008C19DA" w:rsidRPr="00644CB1">
        <w:rPr>
          <w:rFonts w:ascii="Times New Roman" w:hAnsi="Times New Roman"/>
          <w:color w:val="0D0D0D" w:themeColor="text1" w:themeTint="F2"/>
          <w:lang w:val="en-US"/>
        </w:rPr>
        <w:instrText>ADDIN CSL_CITATION {"citationItems":[{"id":"ITEM-1","itemData":{"DOI":"10.1155/2019/4797032","ISSN":"16877055","abstract":"It seems necessary to review the literature to explore the effectiveness of serious games in education, since the number of studies on serious games is surging up. This study systematically reviewed the literature within around a recent decade. The trend of the number of publications related to use of serious games in education was firstly clarified based on the data retrieved from major databases. Secondly, various factors were determined that influenced the effect of serious game assisted learning. The major section identified both advantages and disadvantages of use of serious games in education. Use of serious games in medical science has been rising in a recent decade, which is thus highlighted in this study. Attitudes toward use of serious games in education were explored, as well as the new development of use of serious games in education. Future theoretical and practical exploration might need interdisciplinary cooperation.","author":[{"dropping-particle":"","family":"Zhonggen","given":"Yu","non-dropping-particle":"","parse-names":false,"suffix":""}],"container-title":"International Journal of Computer Games Technology","id":"ITEM-1","issue":"3","issued":{"date-parts":[["2019"]]},"title":"A Meta-Analysis of Use of Serious Games in Education over a Decade","type":"article-journal","volume":"2019"},"suppress-author":1,"uris":["http://www.mendeley.com/documents/?uuid=bf0c81fe-11f0-49eb-b901-81848b560071"]}],"mendeley":{"formattedCitation":"[12]","plainTextFormattedCitation":"[12]","previouslyFormattedCitation":"[12]"},"properties":{"noteIndex":0},"schema":"https://github.com/citation-style-language/schema/raw/master/csl-citation.json"}</w:instrText>
      </w:r>
      <w:r w:rsidR="007560DF" w:rsidRPr="00644CB1">
        <w:rPr>
          <w:rFonts w:ascii="Times New Roman" w:hAnsi="Times New Roman"/>
          <w:color w:val="0D0D0D" w:themeColor="text1" w:themeTint="F2"/>
          <w:lang w:val="en-US"/>
        </w:rPr>
        <w:fldChar w:fldCharType="separate"/>
      </w:r>
      <w:r w:rsidR="00466BBD" w:rsidRPr="00644CB1">
        <w:rPr>
          <w:rFonts w:ascii="Times New Roman" w:hAnsi="Times New Roman"/>
          <w:noProof/>
          <w:color w:val="0D0D0D" w:themeColor="text1" w:themeTint="F2"/>
          <w:lang w:val="en-US"/>
        </w:rPr>
        <w:t>[12]</w:t>
      </w:r>
      <w:r w:rsidR="007560DF" w:rsidRPr="00644CB1">
        <w:rPr>
          <w:rFonts w:ascii="Times New Roman" w:hAnsi="Times New Roman"/>
          <w:color w:val="0D0D0D" w:themeColor="text1" w:themeTint="F2"/>
          <w:lang w:val="en-US"/>
        </w:rPr>
        <w:fldChar w:fldCharType="end"/>
      </w:r>
      <w:r w:rsidR="007560DF" w:rsidRPr="00644CB1">
        <w:rPr>
          <w:rFonts w:ascii="Times New Roman" w:hAnsi="Times New Roman"/>
          <w:color w:val="0D0D0D" w:themeColor="text1" w:themeTint="F2"/>
          <w:lang w:val="en-US"/>
        </w:rPr>
        <w:t xml:space="preserve"> </w:t>
      </w:r>
      <w:r w:rsidR="0042244D" w:rsidRPr="005C5AF7">
        <w:rPr>
          <w:rFonts w:ascii="Times New Roman" w:hAnsi="Times New Roman"/>
          <w:color w:val="0D0D0D" w:themeColor="text1" w:themeTint="F2"/>
          <w:lang w:val="en-US"/>
        </w:rPr>
        <w:t xml:space="preserve"> suggests </w:t>
      </w:r>
      <w:r w:rsidRPr="00644CB1">
        <w:rPr>
          <w:rFonts w:ascii="Times New Roman" w:hAnsi="Times New Roman"/>
          <w:color w:val="0D0D0D" w:themeColor="text1" w:themeTint="F2"/>
          <w:lang w:val="en-US"/>
        </w:rPr>
        <w:t xml:space="preserve">that SGs </w:t>
      </w:r>
      <w:r w:rsidR="00AC6193">
        <w:rPr>
          <w:rFonts w:ascii="Times New Roman" w:hAnsi="Times New Roman"/>
          <w:color w:val="0D0D0D" w:themeColor="text1" w:themeTint="F2"/>
          <w:lang w:val="en-US"/>
        </w:rPr>
        <w:t>may</w:t>
      </w:r>
      <w:r w:rsidR="00AC6193"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facilitate learners' understanding of complex concepts, enhance cognitive abilities and learning motivation, provide flexible and immersive learning experiences, improve cross-cultural communication competencies, and support collaborative and professional learning.</w:t>
      </w:r>
    </w:p>
    <w:p w14:paraId="6E326A05" w14:textId="77777777" w:rsidR="008F328D" w:rsidRPr="00644CB1" w:rsidRDefault="008F328D" w:rsidP="0010246C">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Despite this growing body of research, a critical gap emerges when examining SGs applications in sport management education, particularly in sport event management. A comprehensive search conducted in Scopus and Google Scholar using the keywords "sports management" and "serious games" yielded fewer than ten pertinent articles published between 2010 and 2024, with none directly addressing sport event management. This research deficiency is particularly concerning given the ongoing professionalization of sports organizations and the escalating complexity of their operational environments.</w:t>
      </w:r>
    </w:p>
    <w:p w14:paraId="1F1A35E2" w14:textId="06040A62" w:rsidR="008F328D" w:rsidRPr="00644CB1" w:rsidRDefault="008F328D" w:rsidP="0010246C">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This gap is especially problematic because sport event management presents unique educational challenges that align </w:t>
      </w:r>
      <w:r w:rsidR="00AC6193">
        <w:rPr>
          <w:rFonts w:ascii="Times New Roman" w:hAnsi="Times New Roman"/>
          <w:color w:val="0D0D0D" w:themeColor="text1" w:themeTint="F2"/>
          <w:lang w:val="en-US"/>
        </w:rPr>
        <w:t>well</w:t>
      </w:r>
      <w:r w:rsidR="00AC6193"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with SGs capabilities. The field demands practical skills that traditional instruction alone cannot fully develop, as event organizers have only one opportunity to successfully execute an event, leaving little room for real-time adjustments to organizational mistakes</w:t>
      </w:r>
      <w:r w:rsidR="00160624" w:rsidRPr="00644CB1">
        <w:rPr>
          <w:rFonts w:ascii="Times New Roman" w:hAnsi="Times New Roman"/>
          <w:color w:val="0D0D0D" w:themeColor="text1" w:themeTint="F2"/>
          <w:lang w:val="en-US"/>
        </w:rPr>
        <w:t xml:space="preserve"> </w:t>
      </w:r>
      <w:r w:rsidR="00160624" w:rsidRPr="00644CB1">
        <w:rPr>
          <w:rFonts w:ascii="Times New Roman" w:hAnsi="Times New Roman"/>
          <w:color w:val="0D0D0D" w:themeColor="text1" w:themeTint="F2"/>
          <w:lang w:val="en-US"/>
        </w:rPr>
        <w:fldChar w:fldCharType="begin" w:fldLock="1"/>
      </w:r>
      <w:r w:rsidR="00632180" w:rsidRPr="00644CB1">
        <w:rPr>
          <w:rFonts w:ascii="Times New Roman" w:hAnsi="Times New Roman"/>
          <w:color w:val="0D0D0D" w:themeColor="text1" w:themeTint="F2"/>
          <w:lang w:val="en-US"/>
        </w:rPr>
        <w:instrText>ADDIN CSL_CITATION {"citationItems":[{"id":"ITEM-1","itemData":{"DOI":"https://doi.org/10.1123/smej.2018-0024","author":[{"dropping-particle":"","family":"Lower-Hoppe","given":"Leeann M","non-dropping-particle":"","parse-names":false,"suffix":""},{"dropping-particle":"","family":"Wanless","given":"Liz A","non-dropping-particle":"","parse-names":false,"suffix":""},{"dropping-particle":"","family":"Aldridge","given":"Sarah M","non-dropping-particle":"","parse-names":false,"suffix":""},{"dropping-particle":"","family":"Jones","given":"Daniel W","non-dropping-particle":"","parse-names":false,"suffix":""}],"container-title":"Sport Management Education Journal","id":"ITEM-1","issue":"2","issued":{"date-parts":[["2019"]]},"page":"105-116","publisher":"Human Kinetics","title":"Integrating blended learning within sport event management curriculum","type":"article-journal","volume":"13"},"uris":["http://www.mendeley.com/documents/?uuid=5010f17d-06fa-4c40-b9ae-a03da032775c"]}],"mendeley":{"formattedCitation":"[13]","plainTextFormattedCitation":"[13]","previouslyFormattedCitation":"[13]"},"properties":{"noteIndex":0},"schema":"https://github.com/citation-style-language/schema/raw/master/csl-citation.json"}</w:instrText>
      </w:r>
      <w:r w:rsidR="00160624" w:rsidRPr="00644CB1">
        <w:rPr>
          <w:rFonts w:ascii="Times New Roman" w:hAnsi="Times New Roman"/>
          <w:color w:val="0D0D0D" w:themeColor="text1" w:themeTint="F2"/>
          <w:lang w:val="en-US"/>
        </w:rPr>
        <w:fldChar w:fldCharType="separate"/>
      </w:r>
      <w:r w:rsidR="00160624" w:rsidRPr="00644CB1">
        <w:rPr>
          <w:rFonts w:ascii="Times New Roman" w:hAnsi="Times New Roman"/>
          <w:noProof/>
          <w:color w:val="0D0D0D" w:themeColor="text1" w:themeTint="F2"/>
          <w:lang w:val="en-US"/>
        </w:rPr>
        <w:t>[13]</w:t>
      </w:r>
      <w:r w:rsidR="00160624"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According to Lower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 </w:t>
      </w:r>
      <w:r w:rsidR="00160624" w:rsidRPr="00644CB1">
        <w:rPr>
          <w:rFonts w:ascii="Times New Roman" w:hAnsi="Times New Roman"/>
          <w:color w:val="0D0D0D" w:themeColor="text1" w:themeTint="F2"/>
          <w:lang w:val="en-US"/>
        </w:rPr>
        <w:fldChar w:fldCharType="begin" w:fldLock="1"/>
      </w:r>
      <w:r w:rsidR="00632180" w:rsidRPr="00644CB1">
        <w:rPr>
          <w:rFonts w:ascii="Times New Roman" w:hAnsi="Times New Roman"/>
          <w:color w:val="0D0D0D" w:themeColor="text1" w:themeTint="F2"/>
          <w:lang w:val="en-US"/>
        </w:rPr>
        <w:instrText>ADDIN CSL_CITATION {"citationItems":[{"id":"ITEM-1","itemData":{"DOI":"https://doi.org/10.1123/smej.2018-0024","author":[{"dropping-particle":"","family":"Lower-Hoppe","given":"Leeann M","non-dropping-particle":"","parse-names":false,"suffix":""},{"dropping-particle":"","family":"Wanless","given":"Liz A","non-dropping-particle":"","parse-names":false,"suffix":""},{"dropping-particle":"","family":"Aldridge","given":"Sarah M","non-dropping-particle":"","parse-names":false,"suffix":""},{"dropping-particle":"","family":"Jones","given":"Daniel W","non-dropping-particle":"","parse-names":false,"suffix":""}],"container-title":"Sport Management Education Journal","id":"ITEM-1","issue":"2","issued":{"date-parts":[["2019"]]},"page":"105-116","publisher":"Human Kinetics","title":"Integrating blended learning within sport event management curriculum","type":"article-journal","volume":"13"},"uris":["http://www.mendeley.com/documents/?uuid=5010f17d-06fa-4c40-b9ae-a03da032775c"]}],"mendeley":{"formattedCitation":"[13]","plainTextFormattedCitation":"[13]","previouslyFormattedCitation":"[13]"},"properties":{"noteIndex":0},"schema":"https://github.com/citation-style-language/schema/raw/master/csl-citation.json"}</w:instrText>
      </w:r>
      <w:r w:rsidR="00160624" w:rsidRPr="00644CB1">
        <w:rPr>
          <w:rFonts w:ascii="Times New Roman" w:hAnsi="Times New Roman"/>
          <w:color w:val="0D0D0D" w:themeColor="text1" w:themeTint="F2"/>
          <w:lang w:val="en-US"/>
        </w:rPr>
        <w:fldChar w:fldCharType="separate"/>
      </w:r>
      <w:r w:rsidR="00160624" w:rsidRPr="00644CB1">
        <w:rPr>
          <w:rFonts w:ascii="Times New Roman" w:hAnsi="Times New Roman"/>
          <w:noProof/>
          <w:color w:val="0D0D0D" w:themeColor="text1" w:themeTint="F2"/>
          <w:lang w:val="en-US"/>
        </w:rPr>
        <w:t>[13]</w:t>
      </w:r>
      <w:r w:rsidR="00160624"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experiential learning is a critical component of sport management education. SGs can bridge this theory-practice gap by providing a risk-free </w:t>
      </w:r>
      <w:r w:rsidRPr="00644CB1">
        <w:rPr>
          <w:rFonts w:ascii="Times New Roman" w:hAnsi="Times New Roman"/>
          <w:color w:val="0D0D0D" w:themeColor="text1" w:themeTint="F2"/>
          <w:lang w:val="en-US"/>
        </w:rPr>
        <w:lastRenderedPageBreak/>
        <w:t xml:space="preserve">environment where students can apply concepts, test strategies, and reflect on outcomes </w:t>
      </w:r>
      <w:r w:rsidR="00632180" w:rsidRPr="00644CB1">
        <w:rPr>
          <w:rFonts w:ascii="Times New Roman" w:hAnsi="Times New Roman"/>
          <w:color w:val="0D0D0D" w:themeColor="text1" w:themeTint="F2"/>
          <w:lang w:val="en-US"/>
        </w:rPr>
        <w:fldChar w:fldCharType="begin" w:fldLock="1"/>
      </w:r>
      <w:r w:rsidR="00A20589" w:rsidRPr="00644CB1">
        <w:rPr>
          <w:rFonts w:ascii="Times New Roman" w:hAnsi="Times New Roman"/>
          <w:color w:val="0D0D0D" w:themeColor="text1" w:themeTint="F2"/>
          <w:lang w:val="en-US"/>
        </w:rPr>
        <w:instrText>ADDIN CSL_CITATION {"citationItems":[{"id":"ITEM-1","itemData":{"DOI":"10.1123/jsm.20.1.1","ISBN":"9780124172081","ISSN":"0888-4773","abstract":"The current malaise over sport management’s place and future as an academic discipline provides a useful basis for envisioning the needs and directions for the field’s growth and development. The field’s development requires two complementary streams of research: one that tests the relevance and application of theories derived from other disciplines, and one that is grounded in sport phenomena. The legitimations that sport advocates advance for sport’s place on public agendas are useful starting points for research that is sport focused. The fi ve most common current legitimations for sport are health, salubrious socialization, economic development, community development, and national pride. The value of sport in each case depends on the ways that sport is managed. Factors that facilitate and that inhibit optimization of sport’s contribution to each must be identified and probed. Identifying and probing those factors will be aided by research that confronts popular beliefs about sport, and by research that explores sport’s links to other economic sectors. The resulting research agenda will foster development of a distinctive sport management discipline.","author":[{"dropping-particle":"","family":"Chalip","given":"Laurence","non-dropping-particle":"","parse-names":false,"suffix":""}],"container-title":"Journal of Sport Management","id":"ITEM-1","issue":"1","issued":{"date-parts":[["2006","1"]]},"page":"1-21","title":"Toward a Distinctive Sport Management Discipline","type":"article-journal","volume":"20"},"uris":["http://www.mendeley.com/documents/?uuid=79204b34-495d-49b0-a83c-af10e1f45bca"]}],"mendeley":{"formattedCitation":"[3]","plainTextFormattedCitation":"[3]","previouslyFormattedCitation":"[3]"},"properties":{"noteIndex":0},"schema":"https://github.com/citation-style-language/schema/raw/master/csl-citation.json"}</w:instrText>
      </w:r>
      <w:r w:rsidR="00632180" w:rsidRPr="00644CB1">
        <w:rPr>
          <w:rFonts w:ascii="Times New Roman" w:hAnsi="Times New Roman"/>
          <w:color w:val="0D0D0D" w:themeColor="text1" w:themeTint="F2"/>
          <w:lang w:val="en-US"/>
        </w:rPr>
        <w:fldChar w:fldCharType="separate"/>
      </w:r>
      <w:r w:rsidR="00632180" w:rsidRPr="00644CB1">
        <w:rPr>
          <w:rFonts w:ascii="Times New Roman" w:hAnsi="Times New Roman"/>
          <w:noProof/>
          <w:color w:val="0D0D0D" w:themeColor="text1" w:themeTint="F2"/>
          <w:lang w:val="en-US"/>
        </w:rPr>
        <w:t>[3]</w:t>
      </w:r>
      <w:r w:rsidR="00632180"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 competencies that would otherwise be acquired only through internships or real-world work experience</w:t>
      </w:r>
      <w:r w:rsidR="00A20589" w:rsidRPr="00644CB1">
        <w:rPr>
          <w:rFonts w:ascii="Times New Roman" w:hAnsi="Times New Roman"/>
          <w:color w:val="0D0D0D" w:themeColor="text1" w:themeTint="F2"/>
          <w:lang w:val="en-US"/>
        </w:rPr>
        <w:t xml:space="preserve"> </w:t>
      </w:r>
      <w:r w:rsidR="00A20589" w:rsidRPr="00644CB1">
        <w:rPr>
          <w:rFonts w:ascii="Times New Roman" w:hAnsi="Times New Roman"/>
          <w:color w:val="0D0D0D" w:themeColor="text1" w:themeTint="F2"/>
          <w:lang w:val="en-US"/>
        </w:rPr>
        <w:fldChar w:fldCharType="begin" w:fldLock="1"/>
      </w:r>
      <w:r w:rsidR="00A25EA9" w:rsidRPr="00644CB1">
        <w:rPr>
          <w:rFonts w:ascii="Times New Roman" w:hAnsi="Times New Roman"/>
          <w:color w:val="0D0D0D" w:themeColor="text1" w:themeTint="F2"/>
          <w:lang w:val="en-US"/>
        </w:rPr>
        <w:instrText>ADDIN CSL_CITATION {"citationItems":[{"id":"ITEM-1","itemData":{"author":[{"dropping-particle":"","family":"Afthinos","given":"Yanni","non-dropping-particle":"","parse-names":false,"suffix":""}],"id":"ITEM-1","issued":{"date-parts":[["2017"]]},"publisher":"Sport Option","publisher-place":"Athens","title":"Sport administration: The structure and functioning of sports organizations. [Αθλητική διοίκηση: Η διάρθρωση και λειτουργία των αθλητικών οργανισμών]","type":"book"},"uris":["http://www.mendeley.com/documents/?uuid=06770066-e0f8-4905-a5b8-31252a0f735c"]}],"mendeley":{"formattedCitation":"[14]","plainTextFormattedCitation":"[14]","previouslyFormattedCitation":"[14]"},"properties":{"noteIndex":0},"schema":"https://github.com/citation-style-language/schema/raw/master/csl-citation.json"}</w:instrText>
      </w:r>
      <w:r w:rsidR="00A20589" w:rsidRPr="00644CB1">
        <w:rPr>
          <w:rFonts w:ascii="Times New Roman" w:hAnsi="Times New Roman"/>
          <w:color w:val="0D0D0D" w:themeColor="text1" w:themeTint="F2"/>
          <w:lang w:val="en-US"/>
        </w:rPr>
        <w:fldChar w:fldCharType="separate"/>
      </w:r>
      <w:r w:rsidR="00A20589" w:rsidRPr="00644CB1">
        <w:rPr>
          <w:rFonts w:ascii="Times New Roman" w:hAnsi="Times New Roman"/>
          <w:noProof/>
          <w:color w:val="0D0D0D" w:themeColor="text1" w:themeTint="F2"/>
          <w:lang w:val="en-US"/>
        </w:rPr>
        <w:t>[14]</w:t>
      </w:r>
      <w:r w:rsidR="00A20589"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w:t>
      </w:r>
    </w:p>
    <w:p w14:paraId="4B91E083" w14:textId="77777777" w:rsidR="008F328D" w:rsidRPr="00644CB1" w:rsidRDefault="008F328D" w:rsidP="0010246C">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To address this identified gap, this study introduces a novel hybrid educational approach that integrates the commercial serious game Top Eleven into sport event management curriculum through the establishment of a Virtual Intramural Football Tournament (VIFT). This innovative framework involves two distinct groups: a) students enrolled in a Sport Event Management course, responsible for planning, organizing, executing, and evaluating the VIFT (referred to as «organizers»), and b) first-year students, participating as managers of their virtual teams within the tournament (referred to as «participants»). </w:t>
      </w:r>
    </w:p>
    <w:p w14:paraId="365EF162" w14:textId="77777777" w:rsidR="008F328D" w:rsidRPr="00644CB1" w:rsidRDefault="008F328D" w:rsidP="0010246C">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The uniqueness of this approach lies in its combination of a commercially available game with structured academic curriculum, creating a hybrid learning environment that provides both theoretical knowledge acquisition and practical managerial experience.</w:t>
      </w:r>
    </w:p>
    <w:p w14:paraId="735F16BD" w14:textId="77AA3E54" w:rsidR="008F328D" w:rsidRPr="00644CB1" w:rsidRDefault="008F328D" w:rsidP="0010246C">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Furthermore, following the recommendation of </w:t>
      </w:r>
      <w:proofErr w:type="spellStart"/>
      <w:r w:rsidRPr="00644CB1">
        <w:rPr>
          <w:rFonts w:ascii="Times New Roman" w:hAnsi="Times New Roman"/>
          <w:color w:val="0D0D0D" w:themeColor="text1" w:themeTint="F2"/>
          <w:lang w:val="en-US"/>
        </w:rPr>
        <w:t>Afthinos</w:t>
      </w:r>
      <w:proofErr w:type="spellEnd"/>
      <w:r w:rsidRPr="00644CB1">
        <w:rPr>
          <w:rFonts w:ascii="Times New Roman" w:hAnsi="Times New Roman"/>
          <w:color w:val="0D0D0D" w:themeColor="text1" w:themeTint="F2"/>
          <w:lang w:val="en-US"/>
        </w:rPr>
        <w:t xml:space="preserve">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 </w:t>
      </w:r>
      <w:r w:rsidR="00A25EA9" w:rsidRPr="00644CB1">
        <w:rPr>
          <w:rFonts w:ascii="Times New Roman" w:hAnsi="Times New Roman"/>
          <w:color w:val="0D0D0D" w:themeColor="text1" w:themeTint="F2"/>
          <w:lang w:val="en-US"/>
        </w:rPr>
        <w:fldChar w:fldCharType="begin" w:fldLock="1"/>
      </w:r>
      <w:r w:rsidR="00DF005A" w:rsidRPr="00644CB1">
        <w:rPr>
          <w:rFonts w:ascii="Times New Roman" w:hAnsi="Times New Roman"/>
          <w:color w:val="0D0D0D" w:themeColor="text1" w:themeTint="F2"/>
          <w:lang w:val="en-US"/>
        </w:rPr>
        <w:instrText>ADDIN CSL_CITATION {"citationItems":[{"id":"ITEM-1","itemData":{"DOI":"10.1007/s10758-021-09573-8","ISBN":"0123456789","ISSN":"22111670","abstract":"The aim of this study is to examine whether students of a sport management undergraduate course can gain knowledge in the management of a professional soccer club, by participating in a commercial serious game. Serious is considered the cyber game that its purpose exceeds entertainment. For this case study, the serious sport club management game was “Top Eleven”. The theoretical model that this study was based on, is Misfeldt’s “scenarios based learning” for the transformation of a serious game into an educational means. It includes dimensions that cover part of the sport management class content in the National and Kapodistrian University of Athens, School of Physical Education and Sport Science. The transformation consisted of educational scenarios vested to the serious game, in order to add educational parameters to its basic elements with the purpose to relate further to the sport management class. The application showed that Top Eleven covers adequately Misfeldt’s model dimensions; therefore it can be used as an educational tool. Furthermore, an evaluation of the class gamification was conducted by the participating students (n = 62). The data collected showed that the majority of the students (f = 61, 98.4%) agreed that the participation in the serious game was “helpful” to their sport management class education process. They further agreed that they gained “very” or “very much” knowledge related to the management of a professional soccer club (f = 41, 66.1%) and that 59.7% (f = 37) of them would choose to work in a position of “sport club manager” as a result of the experience they gained by participating in the serious game.","author":[{"dropping-particle":"","family":"Afthinos","given":"Yanni","non-dropping-particle":"","parse-names":false,"suffix":""},{"dropping-particle":"","family":"Kiaffas","given":"Zacharias","non-dropping-particle":"","parse-names":false,"suffix":""},{"dropping-particle":"","family":"Afthinos","given":"Theofilos","non-dropping-particle":"","parse-names":false,"suffix":""}],"container-title":"Technology, Knowledge and Learning","id":"ITEM-1","issue":"1","issued":{"date-parts":[["2022"]]},"page":"255-273","publisher":"Springer Netherlands","title":"The Serious Game “Top Eleven” as an Educational Simulation Platform for Acquiring Knowledge and Skills in the Management of Sports Clubs","type":"article-journal","volume":"27"},"uris":["http://www.mendeley.com/documents/?uuid=30dcf59c-a82e-4fef-8228-412cc63cdcc0"]}],"mendeley":{"formattedCitation":"[10]","plainTextFormattedCitation":"[10]","previouslyFormattedCitation":"[10]"},"properties":{"noteIndex":0},"schema":"https://github.com/citation-style-language/schema/raw/master/csl-citation.json"}</w:instrText>
      </w:r>
      <w:r w:rsidR="00A25EA9" w:rsidRPr="00644CB1">
        <w:rPr>
          <w:rFonts w:ascii="Times New Roman" w:hAnsi="Times New Roman"/>
          <w:color w:val="0D0D0D" w:themeColor="text1" w:themeTint="F2"/>
          <w:lang w:val="en-US"/>
        </w:rPr>
        <w:fldChar w:fldCharType="separate"/>
      </w:r>
      <w:r w:rsidR="00A25EA9" w:rsidRPr="00644CB1">
        <w:rPr>
          <w:rFonts w:ascii="Times New Roman" w:hAnsi="Times New Roman"/>
          <w:noProof/>
          <w:color w:val="0D0D0D" w:themeColor="text1" w:themeTint="F2"/>
          <w:lang w:val="en-US"/>
        </w:rPr>
        <w:t>[10]</w:t>
      </w:r>
      <w:r w:rsidR="00A25EA9" w:rsidRPr="00644CB1">
        <w:rPr>
          <w:rFonts w:ascii="Times New Roman" w:hAnsi="Times New Roman"/>
          <w:color w:val="0D0D0D" w:themeColor="text1" w:themeTint="F2"/>
          <w:lang w:val="en-US"/>
        </w:rPr>
        <w:fldChar w:fldCharType="end"/>
      </w:r>
      <w:r w:rsidR="00A25EA9"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for further research on the use of Top Eleven in sport management education, this study provides the first empirical evidence demonstrating its potential transformation into an auxiliary learning tool specifically for sport event management education.</w:t>
      </w:r>
    </w:p>
    <w:p w14:paraId="1C8AE138" w14:textId="2D657768" w:rsidR="008F328D" w:rsidRPr="00644CB1" w:rsidRDefault="008F328D" w:rsidP="0010246C">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Building on these considerations, this study aims to address the following research question: Can a Serious Game serve as an auxiliary educational tool for acquiring theoretical knowledge and gaining practical experience in sport event management through a hybrid learning approach? The objectives are: (a) to examine </w:t>
      </w:r>
      <w:r w:rsidR="00AC6193">
        <w:rPr>
          <w:rFonts w:ascii="Times New Roman" w:hAnsi="Times New Roman"/>
          <w:color w:val="0D0D0D" w:themeColor="text1" w:themeTint="F2"/>
          <w:lang w:val="en-US"/>
        </w:rPr>
        <w:t>whether</w:t>
      </w:r>
      <w:r w:rsidRPr="00644CB1">
        <w:rPr>
          <w:rFonts w:ascii="Times New Roman" w:hAnsi="Times New Roman"/>
          <w:color w:val="0D0D0D" w:themeColor="text1" w:themeTint="F2"/>
          <w:lang w:val="en-US"/>
        </w:rPr>
        <w:t xml:space="preserve"> a Serious Game </w:t>
      </w:r>
      <w:r w:rsidR="00AC6193">
        <w:rPr>
          <w:rFonts w:ascii="Times New Roman" w:hAnsi="Times New Roman"/>
          <w:color w:val="0D0D0D" w:themeColor="text1" w:themeTint="F2"/>
          <w:lang w:val="en-US"/>
        </w:rPr>
        <w:t>can facilitate</w:t>
      </w:r>
      <w:r w:rsidRPr="00644CB1">
        <w:rPr>
          <w:rFonts w:ascii="Times New Roman" w:hAnsi="Times New Roman"/>
          <w:color w:val="0D0D0D" w:themeColor="text1" w:themeTint="F2"/>
          <w:lang w:val="en-US"/>
        </w:rPr>
        <w:t xml:space="preserve"> the acquisition of theoretical knowledge and the development of relevant skills in sport event management; (b) to investigate the extent to which the Serious Game supports practical learning experiences within a hybrid educational framework.</w:t>
      </w:r>
    </w:p>
    <w:p w14:paraId="343C27C7" w14:textId="18E71F3A" w:rsidR="008516C2" w:rsidRPr="0045754D" w:rsidRDefault="008516C2" w:rsidP="008516C2">
      <w:pPr>
        <w:pStyle w:val="1"/>
        <w:numPr>
          <w:ilvl w:val="0"/>
          <w:numId w:val="7"/>
        </w:numPr>
        <w:ind w:left="357" w:hanging="357"/>
        <w:rPr>
          <w:color w:val="5B9BD5" w:themeColor="accent1"/>
        </w:rPr>
      </w:pPr>
      <w:r w:rsidRPr="0045754D">
        <w:rPr>
          <w:color w:val="5B9BD5" w:themeColor="accent1"/>
        </w:rPr>
        <w:t>Literature review</w:t>
      </w:r>
    </w:p>
    <w:p w14:paraId="7F543932" w14:textId="4AC36A9F" w:rsidR="00D908D2" w:rsidRPr="00644CB1" w:rsidRDefault="73E6831A" w:rsidP="73E6831A">
      <w:pPr>
        <w:pStyle w:val="2"/>
        <w:numPr>
          <w:ilvl w:val="1"/>
          <w:numId w:val="7"/>
        </w:numPr>
        <w:ind w:left="540" w:hanging="540"/>
        <w:rPr>
          <w:color w:val="0D0D0D" w:themeColor="text1" w:themeTint="F2"/>
          <w:lang w:val="it-IT"/>
        </w:rPr>
      </w:pPr>
      <w:r w:rsidRPr="00644CB1">
        <w:rPr>
          <w:color w:val="0D0D0D" w:themeColor="text1" w:themeTint="F2"/>
          <w:lang w:val="it-IT"/>
        </w:rPr>
        <w:t>Digital games in education</w:t>
      </w:r>
    </w:p>
    <w:p w14:paraId="649AFBC6" w14:textId="564AB08C" w:rsidR="00E75EB2" w:rsidRPr="00644CB1" w:rsidRDefault="00E75EB2" w:rsidP="00B50AF3">
      <w:pPr>
        <w:spacing w:line="264" w:lineRule="auto"/>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Digital games first emerged in the late 20th century and have since become ubiquitous in students' daily lives, accessible through smartphones, tablets, and laptops </w:t>
      </w:r>
      <w:r w:rsidR="00DF005A" w:rsidRPr="00644CB1">
        <w:rPr>
          <w:rFonts w:ascii="Times New Roman" w:hAnsi="Times New Roman"/>
          <w:color w:val="0D0D0D" w:themeColor="text1" w:themeTint="F2"/>
          <w:lang w:val="en-US"/>
        </w:rPr>
        <w:fldChar w:fldCharType="begin" w:fldLock="1"/>
      </w:r>
      <w:r w:rsidR="00105072" w:rsidRPr="00644CB1">
        <w:rPr>
          <w:rFonts w:ascii="Times New Roman" w:hAnsi="Times New Roman"/>
          <w:color w:val="0D0D0D" w:themeColor="text1" w:themeTint="F2"/>
          <w:lang w:val="en-US"/>
        </w:rPr>
        <w:instrText>ADDIN CSL_CITATION {"citationItems":[{"id":"ITEM-1","itemData":{"DOI":"10.17083/ijsg.v2i4.88","abstract":"This study sought to determine if playing a digital math game could increase student number sense (mathematical proficiency in numeracy). We used a pre- and post-assessment to measure the number sense of two groups of third grade students with the same mathematics teacher. One group played the game Wuzzit Trouble and the other did not. Overall, the group who played Wuzzit Trouble showed a significant increase in number sense between the pre- and post-assessment, compared to the other group who did not. A qualitative analysis of a novel problem revealed differences between the treatment and comparison groups from pre- to post-. A discussion of these findings and features of the game are addressed. Namely, two features inherent in Wuzzit Trouble are associated with the learners’ increased number sense. First, Wuzzit Trouble promoted mathematical proficiency by requiring learners to attend to several mathematical constraints at once. Second, the game engaged learners in an iterative process of decision-making by calling for students to try, check, and revise their strategy as they played.","author":[{"dropping-particle":"","family":"Pope","given":"Holly","non-dropping-particle":"","parse-names":false,"suffix":""},{"dropping-particle":"","family":"Mangram","given":"Charmaine","non-dropping-particle":"","parse-names":false,"suffix":""}],"container-title":"International Journal of Serious Games","id":"ITEM-1","issue":"4","issued":{"date-parts":[["2015"]]},"page":"5-21","title":"Wuzzit Trouble: The Influence of a Digital Math Game on Student Number Sense","type":"article-journal","volume":"2"},"uris":["http://www.mendeley.com/documents/?uuid=02ccd02c-fbdb-4d19-93d1-1b61de560669"]}],"mendeley":{"formattedCitation":"[15]","plainTextFormattedCitation":"[15]","previouslyFormattedCitation":"[15]"},"properties":{"noteIndex":0},"schema":"https://github.com/citation-style-language/schema/raw/master/csl-citation.json"}</w:instrText>
      </w:r>
      <w:r w:rsidR="00DF005A" w:rsidRPr="00644CB1">
        <w:rPr>
          <w:rFonts w:ascii="Times New Roman" w:hAnsi="Times New Roman"/>
          <w:color w:val="0D0D0D" w:themeColor="text1" w:themeTint="F2"/>
          <w:lang w:val="en-US"/>
        </w:rPr>
        <w:fldChar w:fldCharType="separate"/>
      </w:r>
      <w:r w:rsidR="00DF005A" w:rsidRPr="00644CB1">
        <w:rPr>
          <w:rFonts w:ascii="Times New Roman" w:hAnsi="Times New Roman"/>
          <w:noProof/>
          <w:color w:val="0D0D0D" w:themeColor="text1" w:themeTint="F2"/>
          <w:lang w:val="en-US"/>
        </w:rPr>
        <w:t>[15]</w:t>
      </w:r>
      <w:r w:rsidR="00DF005A"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Today, thousands of digital games are played by hundreds of millions of people worldwide, with most of them operating via internet connectivity. The proliferation of home internet access and mobile technology has contributed to the rise of a «digital society» </w:t>
      </w:r>
      <w:r w:rsidR="00105072" w:rsidRPr="00644CB1">
        <w:rPr>
          <w:rFonts w:ascii="Times New Roman" w:hAnsi="Times New Roman"/>
          <w:color w:val="0D0D0D" w:themeColor="text1" w:themeTint="F2"/>
          <w:lang w:val="en-US"/>
        </w:rPr>
        <w:fldChar w:fldCharType="begin" w:fldLock="1"/>
      </w:r>
      <w:r w:rsidR="00F4324B" w:rsidRPr="00644CB1">
        <w:rPr>
          <w:rFonts w:ascii="Times New Roman" w:hAnsi="Times New Roman"/>
          <w:color w:val="0D0D0D" w:themeColor="text1" w:themeTint="F2"/>
          <w:lang w:val="en-US"/>
        </w:rPr>
        <w:instrText>ADDIN CSL_CITATION {"citationItems":[{"id":"ITEM-1","itemData":{"ISBN":"9780991556700","abstract":"Our team has undertaken a study designed to explore the context and content of IT identity in a digital society. The work involves conducting semi-structured, reflective interviews—based on the results of a 20 Statements exercise—and analysis based on grounded theory. Our initial findings indicate that our participants have complex relationships with a range of IT that has become embedded in their daily lives, and provide evidence in support of IT’s role as a medium, determinant, and consequent of identity. Further, we see the emergence of weak and strong IT identities and the emergence of a weak anti-IT identity. By iterating on our processes and reflecting on our results, we have been able to tune our methods and inform future recruitment goals. Moving forward, we expect that expanding the diversity in our group of participants will reveal greater insights into the ways that participation in a digital society influences the formation and expression of one’s role, group, personal, and IT (or anti-IT) identities.","author":[{"dropping-particle":"","family":"Carter","given":"Michelle","non-dropping-particle":"","parse-names":false,"suffix":""},{"dropping-particle":"","family":"Compeau","given":"Deborah","non-dropping-particle":"","parse-names":false,"suffix":""},{"dropping-particle":"","family":"Kennedy","given":"Michael Ian Lawrence","non-dropping-particle":"","parse-names":false,"suffix":""},{"dropping-particle":"","family":"Schmalz","given":"Marc","non-dropping-particle":"","parse-names":false,"suffix":""}],"container-title":"Proceedings of the 25th European Conference on Information Systems, ECIS 2017","id":"ITEM-1","issued":{"date-parts":[["2017"]]},"page":"3245-3254","title":"The content and context of identity in a digital society","type":"article-journal","volume":"2017"},"uris":["http://www.mendeley.com/documents/?uuid=f831defd-ead5-4e49-9104-9eddc915882c"]}],"mendeley":{"formattedCitation":"[16]","plainTextFormattedCitation":"[16]","previouslyFormattedCitation":"[16]"},"properties":{"noteIndex":0},"schema":"https://github.com/citation-style-language/schema/raw/master/csl-citation.json"}</w:instrText>
      </w:r>
      <w:r w:rsidR="00105072" w:rsidRPr="00644CB1">
        <w:rPr>
          <w:rFonts w:ascii="Times New Roman" w:hAnsi="Times New Roman"/>
          <w:color w:val="0D0D0D" w:themeColor="text1" w:themeTint="F2"/>
          <w:lang w:val="en-US"/>
        </w:rPr>
        <w:fldChar w:fldCharType="separate"/>
      </w:r>
      <w:r w:rsidR="00105072" w:rsidRPr="00644CB1">
        <w:rPr>
          <w:rFonts w:ascii="Times New Roman" w:hAnsi="Times New Roman"/>
          <w:noProof/>
          <w:color w:val="0D0D0D" w:themeColor="text1" w:themeTint="F2"/>
          <w:lang w:val="en-US"/>
        </w:rPr>
        <w:t>[16]</w:t>
      </w:r>
      <w:r w:rsidR="00105072"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where gaming has become an integral part of youth culture. Reflecting this growth, the global market for SGs expanded from €2.35 billion in 2012 </w:t>
      </w:r>
      <w:r w:rsidR="00F4324B" w:rsidRPr="00644CB1">
        <w:rPr>
          <w:rFonts w:ascii="Times New Roman" w:hAnsi="Times New Roman"/>
          <w:color w:val="0D0D0D" w:themeColor="text1" w:themeTint="F2"/>
          <w:lang w:val="en-US"/>
        </w:rPr>
        <w:fldChar w:fldCharType="begin" w:fldLock="1"/>
      </w:r>
      <w:r w:rsidR="00B97A96" w:rsidRPr="00644CB1">
        <w:rPr>
          <w:rFonts w:ascii="Times New Roman" w:hAnsi="Times New Roman"/>
          <w:color w:val="0D0D0D" w:themeColor="text1" w:themeTint="F2"/>
          <w:lang w:val="en-US"/>
        </w:rPr>
        <w:instrText>ADDIN CSL_CITATION {"citationItems":[{"id":"ITEM-1","itemData":{"DOI":"10.17083/ijsg.v1i1.11","abstract":"Serious Games (SGs) are gaining an ever increasing interest for education and traning. Exploiting the latest simulation and visualization technologies, SGs are able to contextualize the player’s experience in challenging, realistic environments, supporting situated cognition. However, we still miss methods and tools for effectively and deeply infusing pedagogy and instruction inside digital games. After presenting an overview of the state of the art of the SG taxonomies, the paper introduces the pedagogical theories and models most relevant to SGs and their implications on SG design.  We also present a schema for a proper integration of games in education, supporting different goals in different steps of a formal education process. By analyzing a set of well-established SGs and formats, the paper presents the main mechanics and models that are being used in SG designs, with a particular focus on assessment, feedback and learning analytics. An overview of tools and models for SG design is also presented. Finally, based on the performed analysis, indications for future research in the field are provided.","author":[{"dropping-particle":"","family":"Gloria","given":"Alessandro","non-dropping-particle":"De","parse-names":false,"suffix":""},{"dropping-particle":"","family":"Bellotti","given":"Francesco","non-dropping-particle":"","parse-names":false,"suffix":""},{"dropping-particle":"","family":"Berta","given":"Riccardo","non-dropping-particle":"","parse-names":false,"suffix":""}],"container-title":"International Journal of Serious Games","id":"ITEM-1","issue":"1","issued":{"date-parts":[["2014"]]},"title":"Serious Games for education and training","type":"article-journal","volume":"1"},"uris":["http://www.mendeley.com/documents/?uuid=d17d2f3a-e23d-441e-b226-ce69b8175b63"]}],"mendeley":{"formattedCitation":"[17]","plainTextFormattedCitation":"[17]","previouslyFormattedCitation":"[17]"},"properties":{"noteIndex":0},"schema":"https://github.com/citation-style-language/schema/raw/master/csl-citation.json"}</w:instrText>
      </w:r>
      <w:r w:rsidR="00F4324B" w:rsidRPr="00644CB1">
        <w:rPr>
          <w:rFonts w:ascii="Times New Roman" w:hAnsi="Times New Roman"/>
          <w:color w:val="0D0D0D" w:themeColor="text1" w:themeTint="F2"/>
          <w:lang w:val="en-US"/>
        </w:rPr>
        <w:fldChar w:fldCharType="separate"/>
      </w:r>
      <w:r w:rsidR="00F4324B" w:rsidRPr="00644CB1">
        <w:rPr>
          <w:rFonts w:ascii="Times New Roman" w:hAnsi="Times New Roman"/>
          <w:noProof/>
          <w:color w:val="0D0D0D" w:themeColor="text1" w:themeTint="F2"/>
          <w:lang w:val="en-US"/>
        </w:rPr>
        <w:t>[17]</w:t>
      </w:r>
      <w:r w:rsidR="00F4324B"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to €83.8 billion in 2021 </w:t>
      </w:r>
      <w:r w:rsidR="00B97A96" w:rsidRPr="00644CB1">
        <w:rPr>
          <w:rFonts w:ascii="Times New Roman" w:hAnsi="Times New Roman"/>
          <w:color w:val="0D0D0D" w:themeColor="text1" w:themeTint="F2"/>
          <w:lang w:val="en-US"/>
        </w:rPr>
        <w:fldChar w:fldCharType="begin" w:fldLock="1"/>
      </w:r>
      <w:r w:rsidR="00001DAC" w:rsidRPr="00644CB1">
        <w:rPr>
          <w:rFonts w:ascii="Times New Roman" w:hAnsi="Times New Roman"/>
          <w:color w:val="0D0D0D" w:themeColor="text1" w:themeTint="F2"/>
          <w:lang w:val="en-US"/>
        </w:rPr>
        <w:instrText>ADDIN CSL_CITATION {"citationItems":[{"id":"ITEM-1","itemData":{"DOI":"10.1109/TEM.2023.3287570","ISSN":"0018-9391","author":[{"dropping-particle":"","family":"Qu","given":"Jiali","non-dropping-particle":"","parse-names":false,"suffix":""},{"dropping-particle":"","family":"Hu","given":"Benyong","non-dropping-particle":"","parse-names":false,"suffix":""},{"dropping-particle":"","family":"Wu","given":"Zhenjie","non-dropping-particle":"","parse-names":false,"suffix":""},{"dropping-particle":"","family":"Meng","given":"Chao","non-dropping-particle":"","parse-names":false,"suffix":""}],"container-title":"IEEE Transactions on Engineering Management","id":"ITEM-1","issued":{"date-parts":[["2024"]]},"page":"7207-7226","title":"Market Development and Revenue-Sharing Contract Design for Mobile Game Supply Chains","type":"article-journal","volume":"71"},"uris":["http://www.mendeley.com/documents/?uuid=1e040462-22e8-49ec-9174-1a211406cc81"]}],"mendeley":{"formattedCitation":"[18]","plainTextFormattedCitation":"[18]","previouslyFormattedCitation":"[18]"},"properties":{"noteIndex":0},"schema":"https://github.com/citation-style-language/schema/raw/master/csl-citation.json"}</w:instrText>
      </w:r>
      <w:r w:rsidR="00B97A96" w:rsidRPr="00644CB1">
        <w:rPr>
          <w:rFonts w:ascii="Times New Roman" w:hAnsi="Times New Roman"/>
          <w:color w:val="0D0D0D" w:themeColor="text1" w:themeTint="F2"/>
          <w:lang w:val="en-US"/>
        </w:rPr>
        <w:fldChar w:fldCharType="separate"/>
      </w:r>
      <w:r w:rsidR="00B97A96" w:rsidRPr="00644CB1">
        <w:rPr>
          <w:rFonts w:ascii="Times New Roman" w:hAnsi="Times New Roman"/>
          <w:noProof/>
          <w:color w:val="0D0D0D" w:themeColor="text1" w:themeTint="F2"/>
          <w:lang w:val="en-US"/>
        </w:rPr>
        <w:t>[18]</w:t>
      </w:r>
      <w:r w:rsidR="00B97A96"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with projections indicating further growth to €172.8 billion by 2024, reflecting a +2.1% year-on-year increase. According to Aldrich </w:t>
      </w:r>
      <w:r w:rsidR="00001DAC" w:rsidRPr="00644CB1">
        <w:rPr>
          <w:rFonts w:ascii="Times New Roman" w:hAnsi="Times New Roman"/>
          <w:color w:val="0D0D0D" w:themeColor="text1" w:themeTint="F2"/>
          <w:lang w:val="en-US"/>
        </w:rPr>
        <w:fldChar w:fldCharType="begin" w:fldLock="1"/>
      </w:r>
      <w:r w:rsidR="004C14D5" w:rsidRPr="00644CB1">
        <w:rPr>
          <w:rFonts w:ascii="Times New Roman" w:hAnsi="Times New Roman"/>
          <w:color w:val="0D0D0D" w:themeColor="text1" w:themeTint="F2"/>
          <w:lang w:val="en-US"/>
        </w:rPr>
        <w:instrText>ADDIN CSL_CITATION {"citationItems":[{"id":"ITEM-1","itemData":{"DOI":"https://doi.org/10.1145/1644136.1658938","author":[{"dropping-particle":"","family":"Aldrich","given":"C.","non-dropping-particle":"","parse-names":false,"suffix":""}],"id":"ITEM-1","issued":{"date-parts":[["2009"]]},"publisher":"Pfeiffer","publisher-place":"San Francisco","title":"The complete guide to simulations and serious games","type":"book"},"uris":["http://www.mendeley.com/documents/?uuid=402efb0e-c994-4533-a77e-82826a181497"]}],"mendeley":{"formattedCitation":"[19]","plainTextFormattedCitation":"[19]","previouslyFormattedCitation":"[19]"},"properties":{"noteIndex":0},"schema":"https://github.com/citation-style-language/schema/raw/master/csl-citation.json"}</w:instrText>
      </w:r>
      <w:r w:rsidR="00001DAC" w:rsidRPr="00644CB1">
        <w:rPr>
          <w:rFonts w:ascii="Times New Roman" w:hAnsi="Times New Roman"/>
          <w:color w:val="0D0D0D" w:themeColor="text1" w:themeTint="F2"/>
          <w:lang w:val="en-US"/>
        </w:rPr>
        <w:fldChar w:fldCharType="separate"/>
      </w:r>
      <w:r w:rsidR="00001DAC" w:rsidRPr="00644CB1">
        <w:rPr>
          <w:rFonts w:ascii="Times New Roman" w:hAnsi="Times New Roman"/>
          <w:noProof/>
          <w:color w:val="0D0D0D" w:themeColor="text1" w:themeTint="F2"/>
          <w:lang w:val="en-US"/>
        </w:rPr>
        <w:t>[19]</w:t>
      </w:r>
      <w:r w:rsidR="00001DAC"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digital games can be categorized into three main types: (a) video games, (b) serious games, and (c) educational simulations.</w:t>
      </w:r>
    </w:p>
    <w:p w14:paraId="28B9BDD7" w14:textId="0A0AF387" w:rsidR="00E75EB2" w:rsidRPr="00644CB1" w:rsidRDefault="00E75EB2" w:rsidP="00B50AF3">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Digital games are designed to run on multiple platforms, including PCs, laptops, tablets, consoles, and mobile devices. While early digital games were primarily developed for entertainment, contemporary electronic games increasingly serve pedagogical, educational, and learning-oriented purposes. Games designed with an explicit educational goal are classified as Serious Games (SGs) </w:t>
      </w:r>
      <w:r w:rsidR="004C14D5" w:rsidRPr="00644CB1">
        <w:rPr>
          <w:rFonts w:ascii="Times New Roman" w:hAnsi="Times New Roman"/>
          <w:color w:val="0D0D0D" w:themeColor="text1" w:themeTint="F2"/>
          <w:lang w:val="en-US"/>
        </w:rPr>
        <w:fldChar w:fldCharType="begin" w:fldLock="1"/>
      </w:r>
      <w:r w:rsidR="00B62165" w:rsidRPr="00644CB1">
        <w:rPr>
          <w:rFonts w:ascii="Times New Roman" w:hAnsi="Times New Roman"/>
          <w:color w:val="0D0D0D" w:themeColor="text1" w:themeTint="F2"/>
          <w:lang w:val="en-US"/>
        </w:rPr>
        <w:instrText>ADDIN CSL_CITATION {"citationItems":[{"id":"ITEM-1","itemData":{"DOI":"10.1080/10872981.2018.1438718","ISSN":"10872981","PMID":"29457760","abstract":"Introduction: The literature shows an optimistic landscape for the effectiveness of games in medical education. Nevertheless, games are not considered mainstream material in medical teaching. Two research questions that arise are the following: What pedagogical strategies do developers use when creating games for medical education? And what is the quality of the evidence on the effectiveness of games? Methods: A systematic review was made by a multi-disciplinary team of researchers following the Cochrane Collaboration Guidelines. We included peer-reviewed journal articles which described or assessed the use of serious games or gamified apps in medical education. We used the Medical Education Research Study Quality Instrument (MERSQI) to assess the quality of evidence in the use of games. We also evaluated the pedagogical perspectives of such articles. Results: Even though game developers claim that games are useful pedagogical tools, the evidence on their effectiveness is moderate, as assessed by the MERSQI score. Behaviourism and cognitivism continue to be the predominant pedagogical strategies, and games are complementary devices that do not replace traditional medical teaching tools. Medical educators prefer simulations and quizzes focused on knowledge retention and skill development through repetition and do not demand the use of sophisticated games in their classrooms. Moreover, public access to medical games is limited. Discussion: Our aim was to put the pedagogical strategy into dialogue with the evidence on the effectiveness of the use of medical games. This makes sense since the practical use of games depends on the quality of the evidence about their effectiveness. Moreover, recognition of said pedagogical strategy would allow game developers to design more robust games which would greatly contribute to the learning process.","author":[{"dropping-particle":"","family":"Gorbanev","given":"Iouri","non-dropping-particle":"","parse-names":false,"suffix":""},{"dropping-particle":"","family":"Agudelo-Londoño","given":"Sandra","non-dropping-particle":"","parse-names":false,"suffix":""},{"dropping-particle":"","family":"González","given":"Rafael A.","non-dropping-particle":"","parse-names":false,"suffix":""},{"dropping-particle":"","family":"Cortes","given":"Ariel","non-dropping-particle":"","parse-names":false,"suffix":""},{"dropping-particle":"","family":"Pomares","given":"Alexandra","non-dropping-particle":"","parse-names":false,"suffix":""},{"dropping-particle":"","family":"Delgadillo","given":"Vivian","non-dropping-particle":"","parse-names":false,"suffix":""},{"dropping-particle":"","family":"Yepes","given":"Francisco J.","non-dropping-particle":"","parse-names":false,"suffix":""},{"dropping-particle":"","family":"Muñoz","given":"Óscar","non-dropping-particle":"","parse-names":false,"suffix":""}],"container-title":"Medical Education Online","id":"ITEM-1","issue":"1","issued":{"date-parts":[["2018"]]},"publisher":"Taylor &amp; Francis","title":"A systematic review of serious games in medical education: quality of evidence and pedagogical strategy","type":"article-journal","volume":"23"},"uris":["http://www.mendeley.com/documents/?uuid=91928530-271a-420d-9d41-ee0b3a86db53"]}],"mendeley":{"formattedCitation":"[20]","plainTextFormattedCitation":"[20]","previouslyFormattedCitation":"[20]"},"properties":{"noteIndex":0},"schema":"https://github.com/citation-style-language/schema/raw/master/csl-citation.json"}</w:instrText>
      </w:r>
      <w:r w:rsidR="004C14D5" w:rsidRPr="00644CB1">
        <w:rPr>
          <w:rFonts w:ascii="Times New Roman" w:hAnsi="Times New Roman"/>
          <w:color w:val="0D0D0D" w:themeColor="text1" w:themeTint="F2"/>
          <w:lang w:val="en-US"/>
        </w:rPr>
        <w:fldChar w:fldCharType="separate"/>
      </w:r>
      <w:r w:rsidR="004C14D5" w:rsidRPr="00644CB1">
        <w:rPr>
          <w:rFonts w:ascii="Times New Roman" w:hAnsi="Times New Roman"/>
          <w:noProof/>
          <w:color w:val="0D0D0D" w:themeColor="text1" w:themeTint="F2"/>
          <w:lang w:val="en-US"/>
        </w:rPr>
        <w:t>[20]</w:t>
      </w:r>
      <w:r w:rsidR="004C14D5"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According to Sawyer </w:t>
      </w:r>
      <w:r w:rsidR="00B62165" w:rsidRPr="00644CB1">
        <w:rPr>
          <w:rFonts w:ascii="Times New Roman" w:hAnsi="Times New Roman"/>
          <w:color w:val="0D0D0D" w:themeColor="text1" w:themeTint="F2"/>
          <w:lang w:val="en-US"/>
        </w:rPr>
        <w:fldChar w:fldCharType="begin" w:fldLock="1"/>
      </w:r>
      <w:r w:rsidR="00B62165" w:rsidRPr="00644CB1">
        <w:rPr>
          <w:rFonts w:ascii="Times New Roman" w:hAnsi="Times New Roman"/>
          <w:color w:val="0D0D0D" w:themeColor="text1" w:themeTint="F2"/>
          <w:lang w:val="en-US"/>
        </w:rPr>
        <w:instrText>ADDIN CSL_CITATION {"citationItems":[{"id":"ITEM-1","itemData":{"author":[{"dropping-particle":"","family":"Sawyer","given":"B.","non-dropping-particle":"","parse-names":false,"suffix":""}],"id":"ITEM-1","issued":{"date-parts":[["2022"]]},"publisher":"Woodrow Wilson International Center for Scholars.","publisher-place":"USA","title":"Serious games: Improving public policy through game-based learning and simulation","type":"book"},"uris":["http://www.mendeley.com/documents/?uuid=b2b306b7-864e-4e8f-b2b1-25f716147cfd"]}],"mendeley":{"formattedCitation":"[21]","plainTextFormattedCitation":"[21]","previouslyFormattedCitation":"[21]"},"properties":{"noteIndex":0},"schema":"https://github.com/citation-style-language/schema/raw/master/csl-citation.json"}</w:instrText>
      </w:r>
      <w:r w:rsidR="00B62165" w:rsidRPr="00644CB1">
        <w:rPr>
          <w:rFonts w:ascii="Times New Roman" w:hAnsi="Times New Roman"/>
          <w:color w:val="0D0D0D" w:themeColor="text1" w:themeTint="F2"/>
          <w:lang w:val="en-US"/>
        </w:rPr>
        <w:fldChar w:fldCharType="separate"/>
      </w:r>
      <w:r w:rsidR="00B62165" w:rsidRPr="00644CB1">
        <w:rPr>
          <w:rFonts w:ascii="Times New Roman" w:hAnsi="Times New Roman"/>
          <w:noProof/>
          <w:color w:val="0D0D0D" w:themeColor="text1" w:themeTint="F2"/>
          <w:lang w:val="en-US"/>
        </w:rPr>
        <w:t>[21]</w:t>
      </w:r>
      <w:r w:rsidR="00B62165"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SGs are defined by their substantial connection to knowledge acquisition, while Zyda </w:t>
      </w:r>
      <w:r w:rsidR="00B62165" w:rsidRPr="00644CB1">
        <w:rPr>
          <w:rFonts w:ascii="Times New Roman" w:hAnsi="Times New Roman"/>
          <w:color w:val="0D0D0D" w:themeColor="text1" w:themeTint="F2"/>
          <w:lang w:val="en-US"/>
        </w:rPr>
        <w:fldChar w:fldCharType="begin" w:fldLock="1"/>
      </w:r>
      <w:r w:rsidR="00F51510" w:rsidRPr="00644CB1">
        <w:rPr>
          <w:rFonts w:ascii="Times New Roman" w:hAnsi="Times New Roman"/>
          <w:color w:val="0D0D0D" w:themeColor="text1" w:themeTint="F2"/>
          <w:lang w:val="en-US"/>
        </w:rPr>
        <w:instrText>ADDIN CSL_CITATION {"citationItems":[{"id":"ITEM-1","itemData":{"DOI":"10.1109/MC.2005.297","ISSN":"00189162","abstract":"The virtual reality field is transitioning into work influenced by video games and thus now influences that industry as well. Because much of the research and development being conducted in the games community parallels the VR community's efforts, it has the potential to affect a greater audience. Given these trends, VR researchers who want their wor k to remain relevant must realign to focus on game research and development. Research in the games arena affects not just the entertainment industry but also the government and corporate organizations that could benefit from the training, simulation, and education opportunities that serious games provide.","author":[{"dropping-particle":"","family":"Zyda","given":"Michael","non-dropping-particle":"","parse-names":false,"suffix":""}],"container-title":"Computer","id":"ITEM-1","issue":"9","issued":{"date-parts":[["2005"]]},"page":"25-32","title":"From visual simulation to virtual reality to games","type":"article-journal","volume":"38"},"uris":["http://www.mendeley.com/documents/?uuid=ee0c7733-faca-42f3-87b6-6fe9b246ccda"]}],"mendeley":{"formattedCitation":"[22]","plainTextFormattedCitation":"[22]","previouslyFormattedCitation":"[22]"},"properties":{"noteIndex":0},"schema":"https://github.com/citation-style-language/schema/raw/master/csl-citation.json"}</w:instrText>
      </w:r>
      <w:r w:rsidR="00B62165" w:rsidRPr="00644CB1">
        <w:rPr>
          <w:rFonts w:ascii="Times New Roman" w:hAnsi="Times New Roman"/>
          <w:color w:val="0D0D0D" w:themeColor="text1" w:themeTint="F2"/>
          <w:lang w:val="en-US"/>
        </w:rPr>
        <w:fldChar w:fldCharType="separate"/>
      </w:r>
      <w:r w:rsidR="00B62165" w:rsidRPr="00644CB1">
        <w:rPr>
          <w:rFonts w:ascii="Times New Roman" w:hAnsi="Times New Roman"/>
          <w:noProof/>
          <w:color w:val="0D0D0D" w:themeColor="text1" w:themeTint="F2"/>
          <w:lang w:val="en-US"/>
        </w:rPr>
        <w:t>[22]</w:t>
      </w:r>
      <w:r w:rsidR="00B62165"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emphasizes that SGs differ from conventional video games in that their primary purpose is not entertainment, but educational outcomes.</w:t>
      </w:r>
    </w:p>
    <w:p w14:paraId="78B49939" w14:textId="3AABEF85" w:rsidR="00E75EB2" w:rsidRPr="00644CB1" w:rsidRDefault="00E75EB2" w:rsidP="00B50AF3">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Both digital SGs and educational simulations can generate effective learning outcomes; however, they differ in their learning environments. As </w:t>
      </w:r>
      <w:proofErr w:type="spellStart"/>
      <w:r w:rsidRPr="00644CB1">
        <w:rPr>
          <w:rFonts w:ascii="Times New Roman" w:hAnsi="Times New Roman"/>
          <w:color w:val="0D0D0D" w:themeColor="text1" w:themeTint="F2"/>
          <w:lang w:val="en-US"/>
        </w:rPr>
        <w:t>Afthinos</w:t>
      </w:r>
      <w:proofErr w:type="spellEnd"/>
      <w:r w:rsidRPr="00644CB1">
        <w:rPr>
          <w:rFonts w:ascii="Times New Roman" w:hAnsi="Times New Roman"/>
          <w:color w:val="0D0D0D" w:themeColor="text1" w:themeTint="F2"/>
          <w:lang w:val="en-US"/>
        </w:rPr>
        <w:t xml:space="preserve">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 </w:t>
      </w:r>
      <w:r w:rsidR="00F51510" w:rsidRPr="00644CB1">
        <w:rPr>
          <w:rFonts w:ascii="Times New Roman" w:hAnsi="Times New Roman"/>
          <w:color w:val="0D0D0D" w:themeColor="text1" w:themeTint="F2"/>
          <w:lang w:val="en-US"/>
        </w:rPr>
        <w:fldChar w:fldCharType="begin" w:fldLock="1"/>
      </w:r>
      <w:r w:rsidR="00FC660B" w:rsidRPr="00644CB1">
        <w:rPr>
          <w:rFonts w:ascii="Times New Roman" w:hAnsi="Times New Roman"/>
          <w:color w:val="0D0D0D" w:themeColor="text1" w:themeTint="F2"/>
          <w:lang w:val="en-US"/>
        </w:rPr>
        <w:instrText>ADDIN CSL_CITATION {"citationItems":[{"id":"ITEM-1","itemData":{"DOI":"10.1007/s10758-021-09573-8","ISBN":"0123456789","ISSN":"22111670","abstract":"The aim of this study is to examine whether students of a sport management undergraduate course can gain knowledge in the management of a professional soccer club, by participating in a commercial serious game. Serious is considered the cyber game that its purpose exceeds entertainment. For this case study, the serious sport club management game was “Top Eleven”. The theoretical model that this study was based on, is Misfeldt’s “scenarios based learning” for the transformation of a serious game into an educational means. It includes dimensions that cover part of the sport management class content in the National and Kapodistrian University of Athens, School of Physical Education and Sport Science. The transformation consisted of educational scenarios vested to the serious game, in order to add educational parameters to its basic elements with the purpose to relate further to the sport management class. The application showed that Top Eleven covers adequately Misfeldt’s model dimensions; therefore it can be used as an educational tool. Furthermore, an evaluation of the class gamification was conducted by the participating students (n = 62). The data collected showed that the majority of the students (f = 61, 98.4%) agreed that the participation in the serious game was “helpful” to their sport management class education process. They further agreed that they gained “very” or “very much” knowledge related to the management of a professional soccer club (f = 41, 66.1%) and that 59.7% (f = 37) of them would choose to work in a position of “sport club manager” as a result of the experience they gained by participating in the serious game.","author":[{"dropping-particle":"","family":"Afthinos","given":"Yanni","non-dropping-particle":"","parse-names":false,"suffix":""},{"dropping-particle":"","family":"Kiaffas","given":"Zacharias","non-dropping-particle":"","parse-names":false,"suffix":""},{"dropping-particle":"","family":"Afthinos","given":"Theofilos","non-dropping-particle":"","parse-names":false,"suffix":""}],"container-title":"Technology, Knowledge and Learning","id":"ITEM-1","issue":"1","issued":{"date-parts":[["2022"]]},"page":"255-273","publisher":"Springer Netherlands","title":"The Serious Game “Top Eleven” as an Educational Simulation Platform for Acquiring Knowledge and Skills in the Management of Sports Clubs","type":"article-journal","volume":"27"},"locator":"4","suppress-author":1,"uris":["http://www.mendeley.com/documents/?uuid=30dcf59c-a82e-4fef-8228-412cc63cdcc0"]}],"mendeley":{"formattedCitation":"[10, p. 4]","plainTextFormattedCitation":"[10, p. 4]","previouslyFormattedCitation":"[10, p. 4]"},"properties":{"noteIndex":0},"schema":"https://github.com/citation-style-language/schema/raw/master/csl-citation.json"}</w:instrText>
      </w:r>
      <w:r w:rsidR="00F51510" w:rsidRPr="00644CB1">
        <w:rPr>
          <w:rFonts w:ascii="Times New Roman" w:hAnsi="Times New Roman"/>
          <w:color w:val="0D0D0D" w:themeColor="text1" w:themeTint="F2"/>
          <w:lang w:val="en-US"/>
        </w:rPr>
        <w:fldChar w:fldCharType="separate"/>
      </w:r>
      <w:r w:rsidR="00F51510" w:rsidRPr="00644CB1">
        <w:rPr>
          <w:rFonts w:ascii="Times New Roman" w:hAnsi="Times New Roman"/>
          <w:noProof/>
          <w:color w:val="0D0D0D" w:themeColor="text1" w:themeTint="F2"/>
          <w:lang w:val="en-US"/>
        </w:rPr>
        <w:t>[10, p. 4]</w:t>
      </w:r>
      <w:r w:rsidR="00F51510"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noted, "</w:t>
      </w:r>
      <w:r w:rsidRPr="00644CB1">
        <w:rPr>
          <w:rFonts w:ascii="Times New Roman" w:hAnsi="Times New Roman"/>
          <w:i/>
          <w:color w:val="0D0D0D" w:themeColor="text1" w:themeTint="F2"/>
          <w:lang w:val="en-US"/>
        </w:rPr>
        <w:t xml:space="preserve">serious games combine both the environment of video games and the complexity of a legal organization; therefore, they produce learning objectives in a user-friendly environment that does not exist in </w:t>
      </w:r>
      <w:r w:rsidRPr="00644CB1">
        <w:rPr>
          <w:rFonts w:ascii="Times New Roman" w:hAnsi="Times New Roman"/>
          <w:i/>
          <w:color w:val="0D0D0D" w:themeColor="text1" w:themeTint="F2"/>
          <w:lang w:val="en-US"/>
        </w:rPr>
        <w:lastRenderedPageBreak/>
        <w:t>educational simulators</w:t>
      </w:r>
      <w:r w:rsidRPr="00644CB1">
        <w:rPr>
          <w:rFonts w:ascii="Times New Roman" w:hAnsi="Times New Roman"/>
          <w:color w:val="0D0D0D" w:themeColor="text1" w:themeTint="F2"/>
          <w:lang w:val="en-US"/>
        </w:rPr>
        <w:t xml:space="preserve">." This distinction suggests that SGs may be preferable in certain educational settings, such as for children, students, and adult learners, where engagement and motivation are critical. Several studies have demonstrated that SGs are effective educational tools with notable benefits in student motivation and engagement </w:t>
      </w:r>
      <w:r w:rsidR="00FC660B" w:rsidRPr="00644CB1">
        <w:rPr>
          <w:rFonts w:ascii="Times New Roman" w:hAnsi="Times New Roman"/>
          <w:color w:val="0D0D0D" w:themeColor="text1" w:themeTint="F2"/>
          <w:lang w:val="en-US"/>
        </w:rPr>
        <w:fldChar w:fldCharType="begin" w:fldLock="1"/>
      </w:r>
      <w:r w:rsidR="00FC660B" w:rsidRPr="00644CB1">
        <w:rPr>
          <w:rFonts w:ascii="Times New Roman" w:hAnsi="Times New Roman"/>
          <w:color w:val="0D0D0D" w:themeColor="text1" w:themeTint="F2"/>
          <w:lang w:val="en-US"/>
        </w:rPr>
        <w:instrText>ADDIN CSL_CITATION {"citationItems":[{"id":"ITEM-1","itemData":{"DOI":"10.17083/ijsg.v3i3.123","abstract":"This paper presents serious games developed for the science subject in elementary and middle schools, specifically on the three topics of “Force and Motion,” “State Change of Water,” and “Earth and Moon.” The PC game “Force and Motion” implemented frictional/gravitational/magnetic force simulations, in the mobile game “State Change of Water,” particle-based fluid simulations were implemented, and in the PC- and mobile-based multi-platform game “Earth and Moon,” a solar system simulation was implemented. In order</w:instrText>
      </w:r>
      <w:r w:rsidR="00FC660B" w:rsidRPr="00DA1082">
        <w:rPr>
          <w:rFonts w:ascii="Times New Roman" w:hAnsi="Times New Roman"/>
          <w:color w:val="0D0D0D" w:themeColor="text1" w:themeTint="F2"/>
          <w:lang w:val="pt-PT"/>
        </w:rPr>
        <w:instrText xml:space="preserve"> to find out the essential components for the science educational games, the components of each topic were thoroughly analyzed, and then a game-based curriculum was developed for the components classified as having high- or mid-level difficulties in both teaching and learning. Based on the curriculum, the three games were created. The games were evaluated by elementary and middle school teachers, and the evaluation results showed that simulation-based serious games are promising tools for improving learning effects in science-related subjects.","author":[{"dropping-particle":"","family":"Baek","given":"Seungho","non-dropping-particle":"","parse-names":false,"suffix":""},{"dropping-particle":"","family":"Park","given":"Ji-Young","no</w:instrText>
      </w:r>
      <w:r w:rsidR="00FC660B" w:rsidRPr="00644CB1">
        <w:rPr>
          <w:rFonts w:ascii="Times New Roman" w:hAnsi="Times New Roman"/>
          <w:color w:val="0D0D0D" w:themeColor="text1" w:themeTint="F2"/>
          <w:lang w:val="pt-PT"/>
        </w:rPr>
        <w:instrText>n-dropping-particle":"","parse-names":false,"suffix":""},{"dropping-particle":"","family":"Han","given":"JungHyun","non-dropping-particle":"","parse-names":false,"suffix":""}],"container-title":"International Journal of Serious Games","id":"ITEM-1","issue":"3","issued":{"date-parts":[["2016"]]},"page":"59-66","title":"Simulation-based Serious Games for Science Education and teacher assessment","type":"article-journal","volume":"3"},"uris":["http://www.mendeley.com/documents/?uuid=4d7b7e70-65f0-40b0-948c-53098ef59959"]}],"mendeley":{"formattedCitation":"[23]","plainTextFormattedCitation":"[23]","previouslyFormattedCitation":"[23]"},"properties":{"noteIndex":0},"schema":"https://github.com/citation-style-language/schema/raw/master/csl-citation.json"}</w:instrText>
      </w:r>
      <w:r w:rsidR="00FC660B" w:rsidRPr="00644CB1">
        <w:rPr>
          <w:rFonts w:ascii="Times New Roman" w:hAnsi="Times New Roman"/>
          <w:color w:val="0D0D0D" w:themeColor="text1" w:themeTint="F2"/>
          <w:lang w:val="en-US"/>
        </w:rPr>
        <w:fldChar w:fldCharType="separate"/>
      </w:r>
      <w:r w:rsidR="00FC660B" w:rsidRPr="00644CB1">
        <w:rPr>
          <w:rFonts w:ascii="Times New Roman" w:hAnsi="Times New Roman"/>
          <w:noProof/>
          <w:color w:val="0D0D0D" w:themeColor="text1" w:themeTint="F2"/>
          <w:lang w:val="pt-PT"/>
        </w:rPr>
        <w:t>[23]</w:t>
      </w:r>
      <w:r w:rsidR="00FC660B"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pt-PT"/>
        </w:rPr>
        <w:t xml:space="preserve">. </w:t>
      </w:r>
      <w:r w:rsidRPr="004152EE">
        <w:rPr>
          <w:rFonts w:ascii="Times New Roman" w:hAnsi="Times New Roman"/>
          <w:color w:val="0D0D0D" w:themeColor="text1" w:themeTint="F2"/>
          <w:lang w:val="pt-PT"/>
        </w:rPr>
        <w:t xml:space="preserve">Petridis </w:t>
      </w:r>
      <w:r w:rsidR="00E12378" w:rsidRPr="004152EE">
        <w:rPr>
          <w:rFonts w:ascii="Times New Roman" w:hAnsi="Times New Roman"/>
          <w:i/>
          <w:color w:val="0D0D0D" w:themeColor="text1" w:themeTint="F2"/>
          <w:lang w:val="pt-PT"/>
        </w:rPr>
        <w:t>et al.</w:t>
      </w:r>
      <w:r w:rsidRPr="004152EE">
        <w:rPr>
          <w:rFonts w:ascii="Times New Roman" w:hAnsi="Times New Roman"/>
          <w:color w:val="0D0D0D" w:themeColor="text1" w:themeTint="F2"/>
          <w:lang w:val="pt-PT"/>
        </w:rPr>
        <w:t xml:space="preserve"> </w:t>
      </w:r>
      <w:r w:rsidR="00FC660B" w:rsidRPr="00644CB1">
        <w:rPr>
          <w:rFonts w:ascii="Times New Roman" w:hAnsi="Times New Roman"/>
          <w:color w:val="0D0D0D" w:themeColor="text1" w:themeTint="F2"/>
          <w:lang w:val="en-US"/>
        </w:rPr>
        <w:fldChar w:fldCharType="begin" w:fldLock="1"/>
      </w:r>
      <w:r w:rsidR="00FC660B" w:rsidRPr="00DA1082">
        <w:rPr>
          <w:rFonts w:ascii="Times New Roman" w:hAnsi="Times New Roman"/>
          <w:color w:val="0D0D0D" w:themeColor="text1" w:themeTint="F2"/>
          <w:lang w:val="pt-PT"/>
        </w:rPr>
        <w:instrText>ADDIN CSL_CITATION {"citationItems":[{"id":"ITEM-1","itemData":{"DOI":"10.17083/ijsg.v2i1.54","ISSN":"2384-8766","abstract":"The use of digital games and gamification has demonstrated potential to improve many aspects of how businesses provide training to staff, and communicate with consumers. However, there is still a need for better understanding of how the adoption of games and gasification would influence the process of decision-making in organisations across different industry. This article provides a structured review of existing literature on the use of games in the business environment, and seeks to consolidate findings to address research questions regarding their perception, proven efficacy, and identifies key areas for future work. The findings highlight that serious games can have positive and effective impacts in multiple areas of a business, including training, decision-support, and consumer outreach. They also emphasise the challenges and pitfalls of applying serious games and gamification principles within a business context, and discuss the implications of development and evaluation methodologies on the success of a game-based solution.","author":[{"dropping-particle":"","family":"Petridis","given":"Panagiotis","non-dropping-particle":"","parse-names":false,"suffix":""},{"dropping-particle":"","family":"Hadjicosta","given":"Kyriaki","non-dropping-particle":"","parse-names":false,"suffix":""},{"dropping-particle":"","family":"Shi Guang","given":"Victor","non-dropping-particle":"","parse-names":false,"suffix":""},{"dropping-particle":"","family":"Dunwell","given":"Ian","non-dropping-particle":"","parse-names":false,"suffix":""},{"dropping-particle":"","family":"Baines","given":"Tim","non-dropping-particle":"","parse-names":false,"suffix":""},{"dropping-particle":"","family":"Bigdeli","given":"Ali","non-dropping-particle":"","parse-names":false,"suffix":""},{"dropping-particle":"","family":"Bustinza","given":"Oscar F","non-dropping-particle":"","parse-names":false,"suffix":""},{"dropping-particle":"","family":"Uren","given":"Victoria","non-dropping-particle":"","parse-names":false,"suffix":""}],"container-title":"International Journal of Serious Games","id":"ITEM-1","issue":"1","issued":{"date-parts":[["2015","2","11"]]},"page":"55-69","title":"State-of-the-art in Business Games","type":"article-journal","volume":"2"},"uris":["http://www.mendeley.com/documents/?uuid=aa0fc83d-1405-4f6a-8dc0-56906266ef1f"]}],"mendeley":{"formattedCitation":"[24]","plainTextFormattedCitation":"[24]","previouslyFormattedCitation":"[24]"},"properties":{"noteIndex":0},"schema":"https://github.com/citation-style-language/schema/raw/master/csl-citation.json"}</w:instrText>
      </w:r>
      <w:r w:rsidR="00FC660B" w:rsidRPr="00644CB1">
        <w:rPr>
          <w:rFonts w:ascii="Times New Roman" w:hAnsi="Times New Roman"/>
          <w:color w:val="0D0D0D" w:themeColor="text1" w:themeTint="F2"/>
          <w:lang w:val="en-US"/>
        </w:rPr>
        <w:fldChar w:fldCharType="separate"/>
      </w:r>
      <w:r w:rsidR="00FC660B" w:rsidRPr="00DA1082">
        <w:rPr>
          <w:rFonts w:ascii="Times New Roman" w:hAnsi="Times New Roman"/>
          <w:noProof/>
          <w:color w:val="0D0D0D" w:themeColor="text1" w:themeTint="F2"/>
          <w:lang w:val="pt-PT"/>
        </w:rPr>
        <w:t>[24]</w:t>
      </w:r>
      <w:r w:rsidR="00FC660B" w:rsidRPr="00644CB1">
        <w:rPr>
          <w:rFonts w:ascii="Times New Roman" w:hAnsi="Times New Roman"/>
          <w:color w:val="0D0D0D" w:themeColor="text1" w:themeTint="F2"/>
          <w:lang w:val="en-US"/>
        </w:rPr>
        <w:fldChar w:fldCharType="end"/>
      </w:r>
      <w:r w:rsidRPr="00DA1082">
        <w:rPr>
          <w:rFonts w:ascii="Times New Roman" w:hAnsi="Times New Roman"/>
          <w:color w:val="0D0D0D" w:themeColor="text1" w:themeTint="F2"/>
          <w:lang w:val="pt-PT"/>
        </w:rPr>
        <w:t xml:space="preserve"> argue that addressing modern educational challenges requires a broad spectrum of knowledge and skills, emphasizing the need for innovative learning tools such as serious games and gamification applications. </w:t>
      </w:r>
      <w:r w:rsidRPr="00644CB1">
        <w:rPr>
          <w:rFonts w:ascii="Times New Roman" w:hAnsi="Times New Roman"/>
          <w:color w:val="0D0D0D" w:themeColor="text1" w:themeTint="F2"/>
          <w:lang w:val="en-US"/>
        </w:rPr>
        <w:t xml:space="preserve">The integration of mobile learning into education has further reinforced the impact of SGs, offering advantages such as increased motivation, enhanced learner autonomy, and improved assessment of learning progress </w:t>
      </w:r>
      <w:r w:rsidR="00FC660B" w:rsidRPr="00644CB1">
        <w:rPr>
          <w:rFonts w:ascii="Times New Roman" w:hAnsi="Times New Roman"/>
          <w:color w:val="0D0D0D" w:themeColor="text1" w:themeTint="F2"/>
          <w:lang w:val="en-US"/>
        </w:rPr>
        <w:fldChar w:fldCharType="begin" w:fldLock="1"/>
      </w:r>
      <w:r w:rsidR="00EB580E" w:rsidRPr="00644CB1">
        <w:rPr>
          <w:rFonts w:ascii="Times New Roman" w:hAnsi="Times New Roman"/>
          <w:color w:val="0D0D0D" w:themeColor="text1" w:themeTint="F2"/>
          <w:lang w:val="en-US"/>
        </w:rPr>
        <w:instrText>ADDIN CSL_CITATION {"citationItems":[{"id":"ITEM-1","itemData":{"DOI":"10.17083/ijsg.v2i2.66","abstract":"This qualitative research is part of a learning effort to better understand how serious games are exploited in a science education context. The research team examined this issue by focusing on augmented reality as a technological innovation imbedded on a tablet. Given the current state of knowledge related to serious games and augmented reality, and given the fact that its use in the context of teaching/learning is not extended, this paper focuses on an initial exploration of how a new teaching practice involving a serious game based on an interactive augmented reality solution would impact on students in a physics class. A Design Based Research methodology was applied in a real‑world context within a college‑level physics class. Two conceptual tests containing ten questions on spatial notions regarding electromagnetic fields were administered to two control groups and two groups using the proposed serious game. The latter groups were administrated a game evaluation questionnaire as well. Thematic interpretation of students written responses to the evaluation questionnaire as well as the lessons and observations we derived from the in-class experimentation are provided and discussed in the paper.","author":[{"dropping-particle":"","family":"Barma","given":"Sylvie","non-dropping-particle":"","parse-names":false,"suffix":""},{"dropping-particle":"","family":"Daniel","given":"Sylvie","non-dropping-particle":"","parse-names":false,"suffix":""},{"dropping-particle":"","family":"Bacon","given":"Nathalie","non-dropping-particle":"","parse-names":false,"suffix":""},{"dropping-particle":"","family":"Gingras","given":"Marie-Andrée","non-dropping-particle":"","parse-names":false,"suffix":""},{"dropping-particle":"","family":"Fortin","given":"Mathieu","non-dropping-particle":"","parse-names":false,"suffix":""}],"container-title":"International Journal of Serious Games","id":"ITEM-1","issue":"2","issued":{"date-parts":[["2015"]]},"title":"Observation and analysis of a classroom teaching and learning practice based on augmented reality and serious games on mobile platforms","type":"article-journal","volume":"2"},"uris":["http://www.mendeley.com/documents/?uuid=fc9dcde1-07c1-476b-b1ad-7d550be3695d"]}],"mendeley":{"formattedCitation":"[25]","plainTextFormattedCitation":"[25]","previouslyFormattedCitation":"[25]"},"properties":{"noteIndex":0},"schema":"https://github.com/citation-style-language/schema/raw/master/csl-citation.json"}</w:instrText>
      </w:r>
      <w:r w:rsidR="00FC660B" w:rsidRPr="00644CB1">
        <w:rPr>
          <w:rFonts w:ascii="Times New Roman" w:hAnsi="Times New Roman"/>
          <w:color w:val="0D0D0D" w:themeColor="text1" w:themeTint="F2"/>
          <w:lang w:val="en-US"/>
        </w:rPr>
        <w:fldChar w:fldCharType="separate"/>
      </w:r>
      <w:r w:rsidR="00FC660B" w:rsidRPr="00644CB1">
        <w:rPr>
          <w:rFonts w:ascii="Times New Roman" w:hAnsi="Times New Roman"/>
          <w:noProof/>
          <w:color w:val="0D0D0D" w:themeColor="text1" w:themeTint="F2"/>
          <w:lang w:val="en-US"/>
        </w:rPr>
        <w:t>[25]</w:t>
      </w:r>
      <w:r w:rsidR="00FC660B"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w:t>
      </w:r>
    </w:p>
    <w:p w14:paraId="436721C8" w14:textId="17E95A2B" w:rsidR="00E75EB2" w:rsidRPr="00644CB1" w:rsidRDefault="00E75EB2" w:rsidP="00296A3F">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According to </w:t>
      </w:r>
      <w:proofErr w:type="spellStart"/>
      <w:r w:rsidRPr="00644CB1">
        <w:rPr>
          <w:rFonts w:ascii="Times New Roman" w:hAnsi="Times New Roman"/>
          <w:color w:val="0D0D0D" w:themeColor="text1" w:themeTint="F2"/>
          <w:lang w:val="en-US"/>
        </w:rPr>
        <w:t>Kotsopoulos</w:t>
      </w:r>
      <w:proofErr w:type="spellEnd"/>
      <w:r w:rsidRPr="00644CB1">
        <w:rPr>
          <w:rFonts w:ascii="Times New Roman" w:hAnsi="Times New Roman"/>
          <w:color w:val="0D0D0D" w:themeColor="text1" w:themeTint="F2"/>
          <w:lang w:val="en-US"/>
        </w:rPr>
        <w:t xml:space="preserve">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 </w:t>
      </w:r>
      <w:r w:rsidR="00EB580E" w:rsidRPr="00644CB1">
        <w:rPr>
          <w:rFonts w:ascii="Times New Roman" w:hAnsi="Times New Roman"/>
          <w:color w:val="0D0D0D" w:themeColor="text1" w:themeTint="F2"/>
          <w:lang w:val="en-US"/>
        </w:rPr>
        <w:fldChar w:fldCharType="begin" w:fldLock="1"/>
      </w:r>
      <w:r w:rsidR="00EB580E" w:rsidRPr="00644CB1">
        <w:rPr>
          <w:rFonts w:ascii="Times New Roman" w:hAnsi="Times New Roman"/>
          <w:color w:val="0D0D0D" w:themeColor="text1" w:themeTint="F2"/>
          <w:lang w:val="en-US"/>
        </w:rPr>
        <w:instrText>ADDIN CSL_CITATION {"citationItems":[{"id":"ITEM-1","itemData":{"DOI":"10.17083/ijsg.v5i2.225","abstract":"Gamification can be used to effect positive behavioral change in various fields, including energy conservation. This paper reports on a survey we conducted to formulate a holistic view of users’ profiles and preferences in an Internet of Things (IoT)-enabled gamified mobile application that provides personalized energy-saving recommendation tips to employees, towards conserving energy and adopting a more green behavior at the workplace. The collected insight dictates that a gamified app promoting energy saving at the workplace may become a daily habit for its users if it at least includes three game design elements: progression, levels and points. Additionally, we complement existing design guidelines about the requirements of each HEXAD gamification user type (Philanthropist, Socializer, Free Spirit, Achiever, Disruptor, Player) in game elements, specifically for energy efficiency applications. Thus, we apply and validate the HEXAD gamification user typology in a new context – multicultural workplaces – as well as domain – energy-saving. Moreover, the collected insight inspired us to devise a modular, rule-based mechanism for formulating personalized energy-saving recommendation tips tailored to the users’ profiles and game design choices. This research may assist researchers, as well as practitioners, in designing personalized gamified behavioral interventions, especially towards energy conservation in workplaces.","author":[{"dropping-particle":"","family":"Kotsopoulos","given":"Dimosthenis","non-dropping-particle":"","parse-names":false,"suffix":""},{"dropping-particle":"","family":"Bardaki","given":"Cleopatra","non-dropping-particle":"","parse-names":false,"suffix":""},{"dropping-particle":"","family":"Lounis","given":"Stavros","non-dropping-particle":"","parse-names":false,"suffix":""},{"dropping-particle":"","family":"Pramatari","given":"Katerina","non-dropping-particle":"","parse-names":false,"suffix":""}],"container-title":"International Journal of Serious Games","id":"ITEM-1","issue":"2","issued":{"date-parts":[["2018"]]},"page":"65-85","title":"Employee Profiles and Preferences towards IoT-enabled Gamification for Energy Conservation","type":"article-journal","volume":"5"},"uris":["http://www.mendeley.com/documents/?uuid=cc833e6f-a9dc-46ee-a2aa-aefc0a52e84f"]}],"mendeley":{"formattedCitation":"[26]","plainTextFormattedCitation":"[26]","previouslyFormattedCitation":"[26]"},"properties":{"noteIndex":0},"schema":"https://github.com/citation-style-language/schema/raw/master/csl-citation.json"}</w:instrText>
      </w:r>
      <w:r w:rsidR="00EB580E" w:rsidRPr="00644CB1">
        <w:rPr>
          <w:rFonts w:ascii="Times New Roman" w:hAnsi="Times New Roman"/>
          <w:color w:val="0D0D0D" w:themeColor="text1" w:themeTint="F2"/>
          <w:lang w:val="en-US"/>
        </w:rPr>
        <w:fldChar w:fldCharType="separate"/>
      </w:r>
      <w:r w:rsidR="00EB580E" w:rsidRPr="00644CB1">
        <w:rPr>
          <w:rFonts w:ascii="Times New Roman" w:hAnsi="Times New Roman"/>
          <w:noProof/>
          <w:color w:val="0D0D0D" w:themeColor="text1" w:themeTint="F2"/>
          <w:lang w:val="en-US"/>
        </w:rPr>
        <w:t>[26]</w:t>
      </w:r>
      <w:r w:rsidR="00EB580E"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SGs and gamification promote behavioral and attitudinal change, enhance student participation, and improve academic performance. Empirical research has demonstrated that SGs develop cognitive skills by engaging users in structured learning activities </w:t>
      </w:r>
      <w:r w:rsidR="00EB580E" w:rsidRPr="00644CB1">
        <w:rPr>
          <w:rFonts w:ascii="Times New Roman" w:hAnsi="Times New Roman"/>
          <w:color w:val="0D0D0D" w:themeColor="text1" w:themeTint="F2"/>
          <w:lang w:val="en-US"/>
        </w:rPr>
        <w:fldChar w:fldCharType="begin" w:fldLock="1"/>
      </w:r>
      <w:r w:rsidR="00883CF0" w:rsidRPr="00644CB1">
        <w:rPr>
          <w:rFonts w:ascii="Times New Roman" w:hAnsi="Times New Roman"/>
          <w:color w:val="0D0D0D" w:themeColor="text1" w:themeTint="F2"/>
          <w:lang w:val="en-US"/>
        </w:rPr>
        <w:instrText>ADDIN CSL_CITATION {"citationItems":[{"id":"ITEM-1","itemData":{"DOI":"10.17083/ijsg.v1i3.12","abstract":"There is growing interest in the employment of serious video games in science education, but there are no clear design principles. After surveying previous work in serious video game design, we highlighted the following design principles: 1) engage the students with narrative (hero, story), 2) employ familiar gameplay mechanics from popular video games, 3) engage students into constructive trial and error game-play and 4) situate collaborative learning. As illustrated examples we designed two math video games targeted to primary education students. The gameplay of the math video games embeds addition operations in a seamless way, which has been inspired by that of classic platform games. In this way, the students are adding numbers as part of popular gameplay mechanics and as a means to reach the video game objective, rather than as an end in itself. The employment of well-defined principles in the design of math video games should facilitate the evaluation of learning effectiveness by researchers. Moreover, educators can deploy alternative versions of the games in order to engage students with diverse learning styles. For example, some students might be motived and benefited by narrative, while others by collaboration, because it is unlikely that one type of serious video game might fit all learning styles. The proposed principles are not meant to be an exhaustive list, but a starting point for extending the list and applying them in other cases of serious video games beyond mathematics and learning.","author":[{"dropping-particle":"","family":"Chorianopoulos","given":"Konstantinos","non-dropping-particle":"","parse-names":false,"suffix":""},{"dropping-particle":"","family":"Giannakos","given":"Michail","non-dropping-particle":"","parse-names":false,"suffix":""}],"container-title":"International Journal of Serious Games","id":"ITEM-1","issue":"3","issued":{"date-parts":[["2014"]]},"page":"51-59","title":"Design Principles for Serious Video Games in Mathematics Education: From Theory to Practice","type":"article-journal","volume":"1"},"uris":["http://www.mendeley.com/documents/?uuid=99941d4f-8f64-4d39-a2a3-0d340d8e9e87"]}],"mendeley":{"formattedCitation":"[27]","plainTextFormattedCitation":"[27]","previouslyFormattedCitation":"[27]"},"properties":{"noteIndex":0},"schema":"https://github.com/citation-style-language/schema/raw/master/csl-citation.json"}</w:instrText>
      </w:r>
      <w:r w:rsidR="00EB580E" w:rsidRPr="00644CB1">
        <w:rPr>
          <w:rFonts w:ascii="Times New Roman" w:hAnsi="Times New Roman"/>
          <w:color w:val="0D0D0D" w:themeColor="text1" w:themeTint="F2"/>
          <w:lang w:val="en-US"/>
        </w:rPr>
        <w:fldChar w:fldCharType="separate"/>
      </w:r>
      <w:r w:rsidR="00EB580E" w:rsidRPr="00644CB1">
        <w:rPr>
          <w:rFonts w:ascii="Times New Roman" w:hAnsi="Times New Roman"/>
          <w:noProof/>
          <w:color w:val="0D0D0D" w:themeColor="text1" w:themeTint="F2"/>
          <w:lang w:val="en-US"/>
        </w:rPr>
        <w:t>[27]</w:t>
      </w:r>
      <w:r w:rsidR="00EB580E"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while also fostering self-awareness through goal-setting and periodic feedback mechanisms </w:t>
      </w:r>
      <w:r w:rsidR="00883CF0" w:rsidRPr="00644CB1">
        <w:rPr>
          <w:rFonts w:ascii="Times New Roman" w:hAnsi="Times New Roman"/>
          <w:color w:val="0D0D0D" w:themeColor="text1" w:themeTint="F2"/>
          <w:lang w:val="en-US"/>
        </w:rPr>
        <w:fldChar w:fldCharType="begin" w:fldLock="1"/>
      </w:r>
      <w:r w:rsidR="00DE6482" w:rsidRPr="00644CB1">
        <w:rPr>
          <w:rFonts w:ascii="Times New Roman" w:hAnsi="Times New Roman"/>
          <w:color w:val="0D0D0D" w:themeColor="text1" w:themeTint="F2"/>
          <w:lang w:val="en-US"/>
        </w:rPr>
        <w:instrText>ADDIN CSL_CITATION {"citationItems":[{"id":"ITEM-1","itemData":{"DOI":"10.17083/ijsg.v4i4.152","abstract":"The pressing problems of climate change and energy insecurity can both, to a degree, be addressed by improving efficiency and conservation of energy use. A key driver of energy conservation is the consumer market, illustrating the important need to educate citizens towards adopting more sustainable practices. This form of education has several requirements: it must be cost-efficient, scalable, optional or non-intrusive, and self-motivating. We argue that one format that meets these requirements is serious social online games. We describe one such game, Green My Place, which was deployed in the context of the energy-efficiency promotion EU project SAVE ENERGY. We describe two studies evaluating the game, which showed limited positive effects. Analysing the results, we argue that although observable effects might be limited, the format bonuses such as low cost and scalability imply the value of serious social online games, given a large enough population.","author":[{"dropping-particle":"","family":"Cowley","given":"Benjamin Ultan","non-dropping-particle":"","parse-names":false,"suffix":""},{"dropping-particle":"","family":"Bateman","given":"Chris","non-dropping-particle":"","parse-names":false,"suffix":""}],"container-title":"International Journal of Serious Games","id":"ITEM-1","issue":"4","issued":{"date-parts":[["2017"]]},"page":"71-90","title":"Green My Place: Evaluation of a Serious Social Online Game Designed to Promote Energy Efficient Behaviour Change","type":"article-journal","volume":"4"},"uris":["http://www.mendeley.com/documents/?uuid=a0216401-8cce-4eee-938f-b4c8731ba4f3"]}],"mendeley":{"formattedCitation":"[28]","plainTextFormattedCitation":"[28]","previouslyFormattedCitation":"[28]"},"properties":{"noteIndex":0},"schema":"https://github.com/citation-style-language/schema/raw/master/csl-citation.json"}</w:instrText>
      </w:r>
      <w:r w:rsidR="00883CF0" w:rsidRPr="00644CB1">
        <w:rPr>
          <w:rFonts w:ascii="Times New Roman" w:hAnsi="Times New Roman"/>
          <w:color w:val="0D0D0D" w:themeColor="text1" w:themeTint="F2"/>
          <w:lang w:val="en-US"/>
        </w:rPr>
        <w:fldChar w:fldCharType="separate"/>
      </w:r>
      <w:r w:rsidR="00883CF0" w:rsidRPr="00644CB1">
        <w:rPr>
          <w:rFonts w:ascii="Times New Roman" w:hAnsi="Times New Roman"/>
          <w:noProof/>
          <w:color w:val="0D0D0D" w:themeColor="text1" w:themeTint="F2"/>
          <w:lang w:val="en-US"/>
        </w:rPr>
        <w:t>[28]</w:t>
      </w:r>
      <w:r w:rsidR="00883CF0"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Hellström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 </w:t>
      </w:r>
      <w:r w:rsidR="00DE6482" w:rsidRPr="00644CB1">
        <w:rPr>
          <w:rFonts w:ascii="Times New Roman" w:hAnsi="Times New Roman"/>
          <w:color w:val="0D0D0D" w:themeColor="text1" w:themeTint="F2"/>
          <w:lang w:val="en-US"/>
        </w:rPr>
        <w:fldChar w:fldCharType="begin" w:fldLock="1"/>
      </w:r>
      <w:r w:rsidR="006A5DE3" w:rsidRPr="00644CB1">
        <w:rPr>
          <w:rFonts w:ascii="Times New Roman" w:hAnsi="Times New Roman"/>
          <w:color w:val="0D0D0D" w:themeColor="text1" w:themeTint="F2"/>
          <w:lang w:val="en-US"/>
        </w:rPr>
        <w:instrText>ADDIN CSL_CITATION {"citationItems":[{"id":"ITEM-1","itemData":{"DOI":"10.17083/ijsg.v10i2.630","ISSN":"23848766","abstract":"Project management education is well suited for active learning through serious games, and a lot of research has been published on the use of serious games for project management education. Earlier reviews have focused on the content and features of project management serious games. But the objectives for using those serious games have been less reviewed. The aim of this study was to conduct a systematic review to better understand the objectives of using serious games in project management education, with the following research question: Why are project management serious games used in higher education? A systematic review was performed using the Preferred Reporting Items for Systematic Reviews and Meta-Analyses (PRISMA). A systematic search enabled us to identify 175 articles, of which forty-three met the eligibility criteria. An inductive content analysis of those articles showed that project management serious games are used for pedagogical and practical reasons. From a pedagogical perspective, serious games are mainly used to develop specific skills that are difficult to acquire in classic ex-cathedra lectures, such as practical competencies and soft skills. From a practical perspective, serious games are mainly used for proposing a risk-free trial environment. Based on our analysis, we propose a taxonomy of reasons for using PM games in higher education. Our research also reveals that few studies assess whether serious games meet all their objectives, and that more research is needed on how to implement them into a coherent pedagogical scenario.","author":[{"dropping-particle":"","family":"Hellström","given":"Magnus Mikael","non-dropping-particle":"","parse-names":false,"suffix":""},{"dropping-particle":"","family":"Jaccard","given":"Dominique","non-dropping-particle":"","parse-names":false,"suffix":""},{"dropping-particle":"","family":"Bonnier","given":"Knut Erik","non-dropping-particle":"","parse-names":false,"suffix":""}],"container-title":"International Journal of Serious Games","id":"ITEM-1","issue":"2","issued":{"date-parts":[["2023"]]},"page":"3-24","title":"A systematic review on the use of serious games in project management education","type":"article-journal","volume":"10"},"locator":"1","suppress-author":1,"uris":["http://www.mendeley.com/documents/?uuid=f780fb5b-0808-43e1-a2f8-59c6075ad49b"]}],"mendeley":{"formattedCitation":"[29, p. 1]","plainTextFormattedCitation":"[29, p. 1]","previouslyFormattedCitation":"[29, p. 1]"},"properties":{"noteIndex":0},"schema":"https://github.com/citation-style-language/schema/raw/master/csl-citation.json"}</w:instrText>
      </w:r>
      <w:r w:rsidR="00DE6482" w:rsidRPr="00644CB1">
        <w:rPr>
          <w:rFonts w:ascii="Times New Roman" w:hAnsi="Times New Roman"/>
          <w:color w:val="0D0D0D" w:themeColor="text1" w:themeTint="F2"/>
          <w:lang w:val="en-US"/>
        </w:rPr>
        <w:fldChar w:fldCharType="separate"/>
      </w:r>
      <w:r w:rsidR="00DE6482" w:rsidRPr="00644CB1">
        <w:rPr>
          <w:rFonts w:ascii="Times New Roman" w:hAnsi="Times New Roman"/>
          <w:noProof/>
          <w:color w:val="0D0D0D" w:themeColor="text1" w:themeTint="F2"/>
          <w:lang w:val="en-US"/>
        </w:rPr>
        <w:t>[29, p. 1]</w:t>
      </w:r>
      <w:r w:rsidR="00DE6482"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highlight that SGs facilitate the transition from passive to active learning and support the development of both practical competencies and soft skills. Moreover, SGs can be instrumental in applying real-world knowledge, improving learning impact, and implementing experimental learning approaches to increase student engagement.</w:t>
      </w:r>
    </w:p>
    <w:p w14:paraId="6687DC15" w14:textId="32C1D796" w:rsidR="00E75EB2" w:rsidRPr="00644CB1" w:rsidRDefault="00E75EB2" w:rsidP="00296A3F">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A growing body of research highlights the significant role of SGs in knowledge acquisition and professional skill development</w:t>
      </w:r>
      <w:r w:rsidR="006A5DE3" w:rsidRPr="00644CB1">
        <w:rPr>
          <w:rFonts w:ascii="Times New Roman" w:hAnsi="Times New Roman"/>
          <w:color w:val="0D0D0D" w:themeColor="text1" w:themeTint="F2"/>
          <w:lang w:val="en-US"/>
        </w:rPr>
        <w:t xml:space="preserve"> </w:t>
      </w:r>
      <w:r w:rsidR="006A5DE3" w:rsidRPr="00644CB1">
        <w:rPr>
          <w:rFonts w:ascii="Times New Roman" w:hAnsi="Times New Roman"/>
          <w:color w:val="0D0D0D" w:themeColor="text1" w:themeTint="F2"/>
          <w:lang w:val="en-US"/>
        </w:rPr>
        <w:fldChar w:fldCharType="begin" w:fldLock="1"/>
      </w:r>
      <w:r w:rsidR="00DC1728" w:rsidRPr="00644CB1">
        <w:rPr>
          <w:rFonts w:ascii="Times New Roman" w:hAnsi="Times New Roman"/>
          <w:color w:val="0D0D0D" w:themeColor="text1" w:themeTint="F2"/>
          <w:lang w:val="en-US"/>
        </w:rPr>
        <w:instrText>ADDIN CSL_CITATION {"citationItems":[{"id":"ITEM-1","itemData":{"DOI":"10.17083/ijsg.v10i2.630","ISSN":"23848766","abstract":"Project management education is well suited for active learning through serious games, and a lot of research has been published on the use of serious games for project management education. Earlier reviews have focused on the content and features of project management serious games. But the objectives for using those serious games have been less reviewed. The aim of this study was to conduct a systematic review to better understand the objectives of using serious games in project management education, with the following research question: Why are project management serious games used in higher education? A systematic review was performed using the Preferred Reporting Items for Systematic Reviews and Meta-Analyses (PRISMA). A systematic search enabled us to identify 175 articles, of which forty-three met the eligibility criteria. An inductive content analysis of those articles showed that project management serious games are used for pedagogical and practical reasons. From a pedagogical perspective, serious games are mainly used to develop specific skills that are difficult to acquire in classic ex-cathedra lectures, such as practical competencies and soft skills. From a practical perspective, serious games are mainly used for proposing a risk-free trial environment. Based on our analysis, we propose a taxonomy of reasons for using PM games in higher education. Our research also reveals that few studies assess whether serious games meet all their objectives, and that more research is needed on how to implement them into a coherent pedagogical scenario.","author":[{"dropping-particle":"","family":"Hellström","given":"Magnus Mikael","non-dropping-particle":"","parse-names":false,"suffix":""},{"dropping-particle":"","family":"Jaccard","given":"Dominique","non-dropping-particle":"","parse-names":false,"suffix":""},{"dropping-particle":"","family":"Bonnier","given":"Knut Erik","non-dropping-particle":"","parse-names":false,"suffix":""}],"container-title":"International Journal of Serious Games","id":"ITEM-1","issue":"2","issued":{"date-parts":[["2023"]]},"page":"3-24","title":"A systematic review on the use of serious games in project management education","type":"article-journal","volume":"10"},"uris":["http://www.mendeley.com/documents/?uuid=f780fb5b-0808-43e1-a2f8-59c6075ad49b"]},{"id":"ITEM-2","itemData":{"ISBN":"9783943024050","abstract":"This paper arises from work ongoing in the GALA (Games and Learning Alliance Network of Excellence for Serious Games). As part of GALA, a comprehensive state of the art analysis of existing serious games for the business and industry domain (loosely defined) was undertaken. A categorisation of the identified serious games was developed in order to analyse the characteristics of the serious games the aspects they covered and those they do not cover. Of primary importance were the simulation level, topic and skills mediated by the identified serious games. The simulation level means the level or amount of the world that is simulated in the simulation or serious game. This is a hierarchy starting with the World/ God/ Universe in which level whole worlds are simulated, for example, in games such as Civilization. The hierarchy then proceeds downwards from nation, industry, inter-organisational, business/ organisation, intra-organisational/ processes, group/ team, discipline, techniques to games addressing the individual. Second the skills to be transferred by the serious game were also analysed. From this an analysis of the gaps in coverage of serious games was carried out, leading to identifying opportunities for, and recommendations of, serious games to be developed for the business and industry domain. © 2011 Research Institute for Ope.","author":[{"dropping-particle":"","family":"Riedel","given":"Johann C.K.H.","non-dropping-particle":"","parse-names":false,"suffix":""},{"dropping-particle":"","family":"Hauge","given":"Jannicke Baalsrud","non-dropping-particle":"","parse-names":false,"suffix":""}],"container-title":"2011 17th International Conference on Concurrent Enterprising, ICE 2011 - Conference Proceedings","id":"ITEM-2","issue":"January","issued":{"date-parts":[["2011"]]},"title":"State of the art of serious games for business and industry","type":"article-journal"},"uris":["http://www.mendeley.com/documents/?uuid=8f88349e-ee28-4923-b043-c96294642baa"]},{"id":"ITEM-3","itemData":{"DOI":"10.1111/j.1365-2729.2012.00489.x","ISSN":"02664909","abstract":"Computer-assisted learning is known to be an effective tool for improving learning in both adults and children. Recent years have seen the emergence of the so-called 'serious games (SGs)' that are flooding the educational games market. In this paper, the term 'serious games' is used to refer to video games (VGs) intended to serve a useful purpose. The objective was to review the results of experimental studies designed to examine the effectiveness of VGs and SGs on players' learning and engagement. After pointing out the varied nature of the obtained results and the impossibility of reaching any reliable conclusion concerning the effectiveness of VGs and SGs in learning, we stress the limitations of the existing literature and make a number of suggestions for future studies. © 2012 Blackwell Publishing Ltd.","author":[{"dropping-particle":"","family":"Girard","given":"C.","non-dropping-particle":"","parse-names":false,"suffix":""},{"dropping-particle":"","family":"Ecalle","given":"J.","non-dropping-particle":"","parse-names":false,"suffix":""},{"dropping-particle":"","family":"Magnan","given":"A.","non-dropping-particle":"","parse-names":false,"suffix":""}],"container-title":"Journal of Computer Assisted Learning","id":"ITEM-3","issue":"3","issued":{"date-parts":[["2013"]]},"page":"207-219","title":"Serious games as new educational tools: How effective are they? A meta-analysis of recent studies","type":"article-journal","volume":"29"},"uris":["http://www.mendeley.com/documents/?uuid=f92bca89-b5b0-43a7-84e5-9bdd8a5a6ab2"]},{"id":"ITEM-4","itemData":{"DOI":"10.1037/a0031311","ISSN":"00220663","abstract":"It is assumed that serious games influences learning in 2 ways, by changing cognitive processes and by affecting motivation. However, until now research has shown little evidence for these assumptions. We used meta-analytic techniques to investigate whether serious games are more effective in terms of learning and more motivating than conventional instruction methods (learning: k 77, N 5,547; motivation: k 31, N 2,216). Consistent with our hypotheses, seriousgames were found to be more effective in terms of learning (d 0.29, p &lt;.01) and retention (d 0.36, p &lt;.01), but they were not more motivating (d 0.26, p &gt;.05) than conventional instruction methods. Additional moderator analyses on the learning effects revealed that learners in serious games learned more, relative to those taught with conventional instruction methods, when the game was supplemented with other instruction methods, when multiple training sessions were involved, and when players worked in groups. ©2013 American Psychological Association.","author":[{"dropping-particle":"","family":"Wouters","given":"Pieter","non-dropping-particle":"","parse-names":false,"suffix":""},{"dropping-particle":"","family":"Nimwegen","given":"Christof","non-dropping-particle":"van","parse-names":false,"suffix":""},{"dropping-particle":"","family":"Oostendorp","given":"Herre","non-dropping-particle":"van","parse-names":false,"suffix":""},{"dropping-particle":"","family":"Spek","given":"Erik D.","non-dropping-particle":"van Der","parse-names":false,"suffix":""}],"container-title":"Journal of Educational Psychology","id":"ITEM-4","issue":"2","issued":{"date-parts":[["2013"]]},"page":"249-265","title":"A meta-analysis of the cognitive and motivational effects of serious games","type":"article-journal","volume":"105"},"uris":["http://www.mendeley.com/documents/?uuid=d966e4ec-db84-487c-94cf-e39302c3c449"]},{"id":"ITEM-5","itemData":{"DOI":"10.1016/j.compedu.2015.11.003","ISSN":"03601315","abstract":"Continuing interest in digital games indicated that it would be useful to update Connolly et al.'s (2012) systematic literature review of empirical evidence about the positive impacts and outcomes of games. Since a large number of papers was identified in the period from 2009 to 2014, the current review focused on 143 papers that provided higher quality evidence about the positive outcomes of games. Connolly et al.'s multidimensional analysis of games and their outcomes provided a useful framework for organising the varied research in this area. The most frequently occurring outcome reported for games for learning was knowledge acquisition, while entertainment games addressed a broader range of affective, behaviour change, perceptual and cognitive and physiological outcomes. Games for learning were found across varied topics with STEM subjects and health the most popular. Future research on digital games would benefit from a systematic programme of experimental work, examining in detail which game features are most effective in promoting engagement and supporting learning.","author":[{"dropping-particle":"","family":"Boyle","given":"Elizabeth A.","non-dropping-particle":"","parse-names":false,"suffix":""},{"dropping-particle":"","family":"Hainey","given":"Thomas","non-dropping-particle":"","parse-names":false,"suffix":""},{"dropping-particle":"","family":"Connolly","given":"Thomas M.","non-dropping-particle":"","parse-names":false,"suffix":""},{"dropping-particle":"","family":"Gray","given":"Grant","non-dropping-particle":"","parse-names":false,"suffix":""},{"dropping-particle":"","family":"Earp","given":"Jeffrey","non-dropping-particle":"","parse-names":false,"suffix":""},{"dropping-particle":"","family":"Ott","given":"Michela","non-dropping-particle":"","parse-names":false,"suffix":""},{"dropping-particle":"","family":"Lim","given":"Theodore","non-dropping-particle":"","parse-names":false,"suffix":""},{"dropping-particle":"","family":"Ninaus","given":"Manuel","non-dropping-particle":"","parse-names":false,"suffix":""},{"dropping-particle":"","family":"Ribeiro","given":"Claudia","non-dropping-particle":"","parse-names":false,"suffix":""},{"dropping-particle":"","family":"Pereira","given":"João","non-dropping-particle":"","parse-names":false,"suffix":""}],"container-title":"Computers and Education","id":"ITEM-5","issued":{"date-parts":[["2016"]]},"page":"178-192","title":"An update to the systematic literature review of empirical evidence of the impacts and outcomes of computer games and serious games","type":"article","volume":"94"},"uris":["http://www.mendeley.com/documents/?uuid=f247e709-672b-4f52-b50b-1db790a15263"]},{"id":"ITEM-6","itemData":{"DOI":"10.1016/j.ijme.2021.100517","ISSN":"14728117","abstract":"Training is a key resource for fostering knowledge as a competitive asset. As in other fields, in learning, innovation emerges with disruptive methods such as gamification. Serious games are a proven efficient training method based on the incorporation of traditional elements of games, such as entertainment, into learning. But as with any other innovation, people must be willing to use the new method. The use of even a proven serious game will not have any positive effect if students do not accept it. It is thus essential to analyze the intention to use serious games in management training contexts. This research uses an adapted CAN (Cognitive-Affective-Normative) model to explore the intention to use a serious game – Lego© Serious Play© – in a sample of higher-education students in their capacity as future professionals. The results show that the</w:instrText>
      </w:r>
      <w:r w:rsidR="00DC1728" w:rsidRPr="00644CB1">
        <w:rPr>
          <w:rFonts w:ascii="Times New Roman" w:hAnsi="Times New Roman"/>
          <w:color w:val="0D0D0D" w:themeColor="text1" w:themeTint="F2"/>
          <w:lang w:val="pt-PT"/>
        </w:rPr>
        <w:instrText xml:space="preserve"> most critical factor influencing the intention to use serious games is expected learning performance. The proposed model opens a new methodology for studying the behavioral intention to use other innovative management-training methods and to enrich the deployment of serious game training strategies in management education.","author":[{"dropping-particle":"","family":"López","given":"Fernando Rodríguez","non-dropping-particle":"","parse-names":false,"suffix":""},{"dropping-particle":"","family":"Arias-Oliva","given":"Mario","non-dropping-particle":"","parse-names":false,"suffix":""},{"dropping-particle":"","family":"Pelegrín-Borondo","given":"Jorge","non-dropping-particle":"","parse-names":false,"suffix":""},{"dropping-particle":"","family":"Marín-Vinuesa","given":"Luz María","non-dropping-particle":"","parse-names":false,"suffix":""}],"container-title":"International Journal of Management Education","id":"ITEM-6","issue":"3","issued":{"date-parts":[["2021"]]},"title":"Serious games in management education: An acceptance analysis","type":"article-journal","volume":"19"},"uris":["http://www.mendeley.com/documents/?uuid=45da2e57-ead2-47a7-b23b-3d155eae067a"]}],"mendeley":{"formattedCitation":"[29], [30], [31], [32], [33], [34]","plainTextFormattedCitation":"[29], [30], [31], [32], [33], [34]","previouslyFormattedCitation":"[29], [30], [31], [32], [33], [34]"},"properties":{"noteIndex":0},"schema":"https://github.com/citation-style-language/schema/raw/master/csl-citation.json"}</w:instrText>
      </w:r>
      <w:r w:rsidR="006A5DE3" w:rsidRPr="00644CB1">
        <w:rPr>
          <w:rFonts w:ascii="Times New Roman" w:hAnsi="Times New Roman"/>
          <w:color w:val="0D0D0D" w:themeColor="text1" w:themeTint="F2"/>
          <w:lang w:val="en-US"/>
        </w:rPr>
        <w:fldChar w:fldCharType="separate"/>
      </w:r>
      <w:r w:rsidR="007E6B56" w:rsidRPr="00644CB1">
        <w:rPr>
          <w:rFonts w:ascii="Times New Roman" w:hAnsi="Times New Roman"/>
          <w:noProof/>
          <w:color w:val="0D0D0D" w:themeColor="text1" w:themeTint="F2"/>
          <w:lang w:val="pt-PT"/>
        </w:rPr>
        <w:t>[29], [30], [31], [32], [33], [34]</w:t>
      </w:r>
      <w:r w:rsidR="006A5DE3"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pt-PT"/>
        </w:rPr>
        <w:t xml:space="preserve">. </w:t>
      </w:r>
      <w:r w:rsidRPr="00DA1082">
        <w:rPr>
          <w:rFonts w:ascii="Times New Roman" w:hAnsi="Times New Roman"/>
          <w:color w:val="0D0D0D" w:themeColor="text1" w:themeTint="F2"/>
          <w:lang w:val="pt-PT"/>
        </w:rPr>
        <w:t xml:space="preserve">López </w:t>
      </w:r>
      <w:r w:rsidR="00E12378" w:rsidRPr="00DA1082">
        <w:rPr>
          <w:rFonts w:ascii="Times New Roman" w:hAnsi="Times New Roman"/>
          <w:i/>
          <w:color w:val="0D0D0D" w:themeColor="text1" w:themeTint="F2"/>
          <w:lang w:val="pt-PT"/>
        </w:rPr>
        <w:t>et al.</w:t>
      </w:r>
      <w:r w:rsidRPr="00DA1082">
        <w:rPr>
          <w:rFonts w:ascii="Times New Roman" w:hAnsi="Times New Roman"/>
          <w:color w:val="0D0D0D" w:themeColor="text1" w:themeTint="F2"/>
          <w:lang w:val="pt-PT"/>
        </w:rPr>
        <w:t xml:space="preserve"> </w:t>
      </w:r>
      <w:r w:rsidR="00DC1728" w:rsidRPr="00644CB1">
        <w:rPr>
          <w:rFonts w:ascii="Times New Roman" w:hAnsi="Times New Roman"/>
          <w:color w:val="0D0D0D" w:themeColor="text1" w:themeTint="F2"/>
          <w:lang w:val="en-US"/>
        </w:rPr>
        <w:fldChar w:fldCharType="begin" w:fldLock="1"/>
      </w:r>
      <w:r w:rsidR="00DC1728" w:rsidRPr="00DA1082">
        <w:rPr>
          <w:rFonts w:ascii="Times New Roman" w:hAnsi="Times New Roman"/>
          <w:color w:val="0D0D0D" w:themeColor="text1" w:themeTint="F2"/>
          <w:lang w:val="pt-PT"/>
        </w:rPr>
        <w:instrText>ADDIN CSL_CITATION {"citationItems":[{"id":"ITEM-1","itemData":{"DOI":"10.1016/j.ijme.2021.100517","ISSN":"14728117","abstract":"Training is a key resource for fostering knowledge as a competitive asset. As in other fields, in learning, innovation emerges with disruptive methods such as gamification. Serious games are a proven efficient training method based on the incorporation of traditional elements of games, such as entertainment, into learning. But as with any other innovation, people must be willing to use the new method. The use of even a proven serious game will not have any positive effect if students do not accept it. It is thus essential to analyze the intention to use serious games in management training contexts. This research uses an adapted CAN (Cognitive-Affective-Normative) model to explore the intention to use a serious game – Lego© Serious Play© – in a sample of higher-education students in their capacity as future professionals. The results show that the most critical factor influencing the intention to use serious games is expected learning performance. The proposed model opens a new methodology for studying the behavioral intention to use other innovative management-training methods and to enrich the deployment of serious game training strategies in management education.","author":[{"dropping-particle":"","family":"López","given":"Fernando Rodríguez","non-dropping-particle":"","parse-names":false,"suffix":""},{"dropping-particle":"","family":"Arias-Oliva","given":"Mario","non-dropping-particle":"","parse-names":false,"suffix":""},{"dropping-particle":"","family":"Pelegrín-Borondo","given":"Jorge","non-dropping-particle":"","parse-names":false,"suffix":""},{"dropping-particle":"","family":"Marín-Vinuesa","given":"Luz María","non-dropping-particle":"","parse-names":false,"suffix":""}],"container-title":"International Journal of Management Education","id":"ITEM-1","issue":"3","issued":{"date-parts":[["2021"]]},"title":"Serious games in management education: An acceptance analysis","type":"article-journal","volume":"19"},"uris":["http://www.mendeley.com/documents/?uuid=45da2e57-ead2-47a7-b23b-3d155eae067a"]}],"mendeley":{"formattedCitation":"[34]","plainTextFormattedCitation":"[34]","previouslyFormattedCitation":"[34]"},"properties":{"noteIndex":0},"schema":"https://github.com/citation-style-language/schema/raw/master/csl-citation.json"}</w:instrText>
      </w:r>
      <w:r w:rsidR="00DC1728" w:rsidRPr="00644CB1">
        <w:rPr>
          <w:rFonts w:ascii="Times New Roman" w:hAnsi="Times New Roman"/>
          <w:color w:val="0D0D0D" w:themeColor="text1" w:themeTint="F2"/>
          <w:lang w:val="en-US"/>
        </w:rPr>
        <w:fldChar w:fldCharType="separate"/>
      </w:r>
      <w:r w:rsidR="00DC1728" w:rsidRPr="00DA1082">
        <w:rPr>
          <w:rFonts w:ascii="Times New Roman" w:hAnsi="Times New Roman"/>
          <w:noProof/>
          <w:color w:val="0D0D0D" w:themeColor="text1" w:themeTint="F2"/>
          <w:lang w:val="pt-PT"/>
        </w:rPr>
        <w:t>[34]</w:t>
      </w:r>
      <w:r w:rsidR="00DC1728" w:rsidRPr="00644CB1">
        <w:rPr>
          <w:rFonts w:ascii="Times New Roman" w:hAnsi="Times New Roman"/>
          <w:color w:val="0D0D0D" w:themeColor="text1" w:themeTint="F2"/>
          <w:lang w:val="en-US"/>
        </w:rPr>
        <w:fldChar w:fldCharType="end"/>
      </w:r>
      <w:r w:rsidRPr="00DA1082">
        <w:rPr>
          <w:rFonts w:ascii="Times New Roman" w:hAnsi="Times New Roman"/>
          <w:color w:val="0D0D0D" w:themeColor="text1" w:themeTint="F2"/>
          <w:lang w:val="pt-PT"/>
        </w:rPr>
        <w:t xml:space="preserve"> emphasize the educational potential of SGs, suggesting that gamification enhances learning effectiveness. </w:t>
      </w:r>
      <w:r w:rsidRPr="00644CB1">
        <w:rPr>
          <w:rFonts w:ascii="Times New Roman" w:hAnsi="Times New Roman"/>
          <w:color w:val="0D0D0D" w:themeColor="text1" w:themeTint="F2"/>
          <w:lang w:val="en-US"/>
        </w:rPr>
        <w:t>Similarly, Riedel and Hauge</w:t>
      </w:r>
      <w:r w:rsidR="00DC1728" w:rsidRPr="00644CB1">
        <w:rPr>
          <w:rFonts w:ascii="Times New Roman" w:hAnsi="Times New Roman"/>
          <w:color w:val="0D0D0D" w:themeColor="text1" w:themeTint="F2"/>
          <w:lang w:val="en-US"/>
        </w:rPr>
        <w:t xml:space="preserve"> </w:t>
      </w:r>
      <w:r w:rsidR="00DC1728" w:rsidRPr="00644CB1">
        <w:rPr>
          <w:rFonts w:ascii="Times New Roman" w:hAnsi="Times New Roman"/>
          <w:color w:val="0D0D0D" w:themeColor="text1" w:themeTint="F2"/>
          <w:lang w:val="en-US"/>
        </w:rPr>
        <w:fldChar w:fldCharType="begin" w:fldLock="1"/>
      </w:r>
      <w:r w:rsidR="001C281E" w:rsidRPr="00644CB1">
        <w:rPr>
          <w:rFonts w:ascii="Times New Roman" w:hAnsi="Times New Roman"/>
          <w:color w:val="0D0D0D" w:themeColor="text1" w:themeTint="F2"/>
          <w:lang w:val="en-US"/>
        </w:rPr>
        <w:instrText>ADDIN CSL_CITATION {"citationItems":[{"id":"ITEM-1","itemData":{"ISBN":"9783943024050","abstract":"This paper arises from work ongoing in the GALA (Games and Learning Alliance Network of Excellence for Serious Games). As part of GALA, a comprehensive state of the art analysis of existing serious games for the business and industry domain (loosely defined) was undertaken. A categorisation of the identified serious games was developed in order to analyse the characteristics of the serious games the aspects they covered and those they do not cover. Of primary importance were the simulation level, topic and skills mediated by the identified serious games. The simulation level means the level or amount of the world that is simulated in the simulation or serious game. This is a hierarchy starting with the World/ God/ Universe in which level whole worlds are simulated, for example, in games such as Civilization. The hierarchy then proceeds downwards from nation, industry, inter-organisational, business/ organisation, intra-organisational/ processes, group/ team, discipline, techniques to games addressing the individual. Second the skills to be transferred by the serious game were also analysed. From this an analysis of the gaps in coverage of serious games was carried out, leading to identifying opportunities for, and recommendations of, serious games to be developed for the business and industry domain. © 2011 Research Institute for Ope.","author":[{"dropping-particle":"","family":"Riedel","given":"Johann C.K.H.","non-dropping-particle":"","parse-names":false,"suffix":""},{"dropping-particle":"","family":"Hauge","given":"Jannicke Baalsrud","non-dropping-particle":"","parse-names":false,"suffix":""}],"container-title":"2011 17th International Conference on Concurrent Enterprising, ICE 2011 - Conference Proceedings","id":"ITEM-1","issue":"January","issued":{"date-parts":[["2011"]]},"title":"State of the art of serious games for business and industry","type":"article-journal"},"uris":["http://www.mendeley.com/documents/?uuid=8f88349e-ee28-4923-b043-c96294642baa"]}],"mendeley":{"formattedCitation":"[30]","plainTextFormattedCitation":"[30]","previouslyFormattedCitation":"[30]"},"properties":{"noteIndex":0},"schema":"https://github.com/citation-style-language/schema/raw/master/csl-citation.json"}</w:instrText>
      </w:r>
      <w:r w:rsidR="00DC1728" w:rsidRPr="00644CB1">
        <w:rPr>
          <w:rFonts w:ascii="Times New Roman" w:hAnsi="Times New Roman"/>
          <w:color w:val="0D0D0D" w:themeColor="text1" w:themeTint="F2"/>
          <w:lang w:val="en-US"/>
        </w:rPr>
        <w:fldChar w:fldCharType="separate"/>
      </w:r>
      <w:r w:rsidR="00DC1728" w:rsidRPr="00644CB1">
        <w:rPr>
          <w:rFonts w:ascii="Times New Roman" w:hAnsi="Times New Roman"/>
          <w:noProof/>
          <w:color w:val="0D0D0D" w:themeColor="text1" w:themeTint="F2"/>
          <w:lang w:val="en-US"/>
        </w:rPr>
        <w:t>[30]</w:t>
      </w:r>
      <w:r w:rsidR="00DC1728"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argue that SGs serve as a bridge for developing professional skills, while Boyle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 </w:t>
      </w:r>
      <w:r w:rsidR="001C281E" w:rsidRPr="00644CB1">
        <w:rPr>
          <w:rFonts w:ascii="Times New Roman" w:hAnsi="Times New Roman"/>
          <w:color w:val="0D0D0D" w:themeColor="text1" w:themeTint="F2"/>
          <w:lang w:val="en-US"/>
        </w:rPr>
        <w:fldChar w:fldCharType="begin" w:fldLock="1"/>
      </w:r>
      <w:r w:rsidR="00527313" w:rsidRPr="00644CB1">
        <w:rPr>
          <w:rFonts w:ascii="Times New Roman" w:hAnsi="Times New Roman"/>
          <w:color w:val="0D0D0D" w:themeColor="text1" w:themeTint="F2"/>
          <w:lang w:val="en-US"/>
        </w:rPr>
        <w:instrText>ADDIN CSL_CITATION {"citationItems":[{"id":"ITEM-1","itemData":{"DOI":"10.1016/j.compedu.2015.11.003","ISSN":"03601315","abstract":"Continuing interest in digital games indicated that it would be useful to update Connolly et al.'s (2012) systematic literature review of empirical evidence about the positive impacts and outcomes of games. Since a large number of papers was identified in the period from 2009 to 2014, the current review focused on 143 papers that provided higher quality evidence about the positive outcomes of games. Connolly et al.'s multidimensional analysis of games and their outcomes provided a useful framework for organising the varied research in this area. The most frequently occurring outcome reported for games for learning was knowledge acquisition, while entertainment games addressed a broader range of affective, behaviour change, perceptual and cognitive and physiological outcomes. Games for learning were found across varied topics with STEM subjects and health the most popular. Future research on digital games would benefit from a systematic programme of experimental work, examining in detail which game features are most effective in promoting engagement and supporting learning.","author":[{"dropping-particle":"","family":"Boyle","given":"Elizabeth A.","non-dropping-particle":"","parse-names":false,"suffix":""},{"dropping-particle":"","family":"Hainey","given":"Thomas","non-dropping-particle":"","parse-names":false,"suffix":""},{"dropping-particle":"","family":"Connolly","given":"Thomas M.","non-dropping-particle":"","parse-names":false,"suffix":""},{"dropping-particle":"","family":"Gray","given":"Grant","non-dropping-particle":"","parse-names":false,"suffix":""},{"dropping-particle":"","family":"Earp","given":"Jeffrey","non-dropping-particle":"","parse-names":false,"suffix":""},{"dropping-particle":"","family":"Ott","given":"Michela","non-dropping-particle":"","parse-names":false,"suffix":""},{"dropping-particle":"","family":"Lim","given":"Theodore","non-dropping-particle":"","parse-names":false,"suffix":""},{"dropping-particle":"","family":"Ninaus","given":"Manuel","non-dropping-particle":"","parse-names":false,"suffix":""},{"dropping-particle":"","family":"Ribeiro","given":"Claudia","non-dropping-particle":"","parse-names":false,"suffix":""},{"dropping-particle":"","family":"Pereira","given":"João","non-dropping-particle":"","parse-names":false,"suffix":""}],"container-title":"Computers and Education","id":"ITEM-1","issued":{"date-parts":[["2016"]]},"page":"178-192","title":"An update to the systematic literature review of empirical evidence of the impacts and outcomes of computer games and serious games","type":"article","volume":"94"},"uris":["http://www.mendeley.com/documents/?uuid=f247e709-672b-4f52-b50b-1db790a15263"]}],"mendeley":{"formattedCitation":"[33]","plainTextFormattedCitation":"[33]","previouslyFormattedCitation":"[33]"},"properties":{"noteIndex":0},"schema":"https://github.com/citation-style-language/schema/raw/master/csl-citation.json"}</w:instrText>
      </w:r>
      <w:r w:rsidR="001C281E" w:rsidRPr="00644CB1">
        <w:rPr>
          <w:rFonts w:ascii="Times New Roman" w:hAnsi="Times New Roman"/>
          <w:color w:val="0D0D0D" w:themeColor="text1" w:themeTint="F2"/>
          <w:lang w:val="en-US"/>
        </w:rPr>
        <w:fldChar w:fldCharType="separate"/>
      </w:r>
      <w:r w:rsidR="001C281E" w:rsidRPr="00644CB1">
        <w:rPr>
          <w:rFonts w:ascii="Times New Roman" w:hAnsi="Times New Roman"/>
          <w:noProof/>
          <w:color w:val="0D0D0D" w:themeColor="text1" w:themeTint="F2"/>
          <w:lang w:val="en-US"/>
        </w:rPr>
        <w:t>[33]</w:t>
      </w:r>
      <w:r w:rsidR="001C281E"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found that knowledge acquisition is the most common learning outcome, followed by cognitive, emotional, and behavioral changes.</w:t>
      </w:r>
    </w:p>
    <w:p w14:paraId="0512F716" w14:textId="28A2A3BB" w:rsidR="00E75EB2" w:rsidRPr="00644CB1" w:rsidRDefault="00E75EB2" w:rsidP="00296A3F">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SGs have been recognized as </w:t>
      </w:r>
      <w:r w:rsidR="009744A4">
        <w:rPr>
          <w:rFonts w:ascii="Times New Roman" w:hAnsi="Times New Roman"/>
          <w:color w:val="0D0D0D" w:themeColor="text1" w:themeTint="F2"/>
          <w:lang w:val="en-US"/>
        </w:rPr>
        <w:t>valuable</w:t>
      </w:r>
      <w:r w:rsidR="009744A4"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 xml:space="preserve">educational tools for providing practical experience in a controlled, risk-free environment. This advantage is well-supported by established learning theories. According to Experiential Learning Theory </w:t>
      </w:r>
      <w:r w:rsidR="00527313" w:rsidRPr="00644CB1">
        <w:rPr>
          <w:rFonts w:ascii="Times New Roman" w:hAnsi="Times New Roman"/>
          <w:color w:val="0D0D0D" w:themeColor="text1" w:themeTint="F2"/>
          <w:lang w:val="en-US"/>
        </w:rPr>
        <w:fldChar w:fldCharType="begin" w:fldLock="1"/>
      </w:r>
      <w:r w:rsidR="00615BC9" w:rsidRPr="00644CB1">
        <w:rPr>
          <w:rFonts w:ascii="Times New Roman" w:hAnsi="Times New Roman"/>
          <w:color w:val="0D0D0D" w:themeColor="text1" w:themeTint="F2"/>
          <w:lang w:val="en-US"/>
        </w:rPr>
        <w:instrText>ADDIN CSL_CITATION {"citationItems":[{"id":"ITEM-1","itemData":{"DOI":"10.4324/9781410605986","ISBN":"9781410605986","author":[{"dropping-particle":"","family":"Kolb","given":"David A","non-dropping-particle":"","parse-names":false,"suffix":""},{"dropping-particle":"","family":"Boyatzis","given":"Richard E","non-dropping-particle":"","parse-names":false,"suffix":""},{"dropping-particle":"","family":"Mainemelis","given":"Charalampos","non-dropping-particle":"","parse-names":false,"suffix":""}],"container-title":"Perspectives on thinking, learning, and cognitive styles","editor":[{"dropping-particle":"","family":"Sternberg","given":"Robert J.","non-dropping-particle":"","parse-names":false,"suffix":""},{"dropping-particle":"","family":"Zhang","given":"Li-fang","non-dropping-particle":"","parse-names":false,"suffix":""}],"id":"ITEM-1","issued":{"date-parts":[["2014","4","8"]]},"number-of-pages":"227-247","publisher":"Routledge","publisher-place":"Mahwah","title":"Perspectives on Thinking, Learning, and Cognitive Styles","type":"book"},"uris":["http://www.mendeley.com/documents/?uuid=53f93a60-8301-4ea2-80dd-05ceb5a12ba9"]}],"mendeley":{"formattedCitation":"[35]","plainTextFormattedCitation":"[35]","previouslyFormattedCitation":"[35]"},"properties":{"noteIndex":0},"schema":"https://github.com/citation-style-language/schema/raw/master/csl-citation.json"}</w:instrText>
      </w:r>
      <w:r w:rsidR="00527313" w:rsidRPr="00644CB1">
        <w:rPr>
          <w:rFonts w:ascii="Times New Roman" w:hAnsi="Times New Roman"/>
          <w:color w:val="0D0D0D" w:themeColor="text1" w:themeTint="F2"/>
          <w:lang w:val="en-US"/>
        </w:rPr>
        <w:fldChar w:fldCharType="separate"/>
      </w:r>
      <w:r w:rsidR="00527313" w:rsidRPr="00644CB1">
        <w:rPr>
          <w:rFonts w:ascii="Times New Roman" w:hAnsi="Times New Roman"/>
          <w:noProof/>
          <w:color w:val="0D0D0D" w:themeColor="text1" w:themeTint="F2"/>
          <w:lang w:val="en-US"/>
        </w:rPr>
        <w:t>[35]</w:t>
      </w:r>
      <w:r w:rsidR="00527313"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knowledge is constructed through concrete experiences and reflective observation, processes that SG effectively simulate through interactive scenarios. Furthermore, Constructivist Learning Theory </w:t>
      </w:r>
      <w:r w:rsidR="00615BC9" w:rsidRPr="00644CB1">
        <w:rPr>
          <w:rFonts w:ascii="Times New Roman" w:hAnsi="Times New Roman"/>
          <w:color w:val="0D0D0D" w:themeColor="text1" w:themeTint="F2"/>
          <w:lang w:val="en-US"/>
        </w:rPr>
        <w:fldChar w:fldCharType="begin" w:fldLock="1"/>
      </w:r>
      <w:r w:rsidR="00615BC9" w:rsidRPr="00644CB1">
        <w:rPr>
          <w:rFonts w:ascii="Times New Roman" w:hAnsi="Times New Roman"/>
          <w:color w:val="0D0D0D" w:themeColor="text1" w:themeTint="F2"/>
          <w:lang w:val="en-US"/>
        </w:rPr>
        <w:instrText>ADDIN CSL_CITATION {"citationItems":[{"id":"ITEM-1","itemData":{"DOI":"10.9790/7388-05616670","abstract":"Constructivism represents one of the big ideas in education. Its implications for how teachers teach and learn to teach are enormous. If our efforts in reforming education for all students are to succeed, then we must focus on students. To date, a focus on student-centered learning may well be the most important contribution of constructivism. This article, therefore, discusses constructivism learning theory as a paradigm for teaching and learning. Constructivism is a learning theory found in psychology which explains how people might acquire knowledge and learn. It therefore has direct application to education. The theory suggests that humans construct knowledge and meaning from their experiences. Conceptual understanding of the theory was discussed as well as basic characteristics of constructivists learning environment. Seven pedagogical goals of constructivist learning environments and six benefits of constructivism were outlined in this article. Significant differences between traditional classroom and constructivist classroom were spelt out in a tabular form. Furthermore,principles of constructivism and several implications of constructivism for teaching and learningwere reviewed. The study, therefore, concluded that teachers need to reflect on their practice in order to apply these ideas to their work and that constructivist teachers encourage students to constantly assess how the activity is helping them gain understanding.","author":[{"dropping-particle":"","family":"Bada","given":"S.O.","non-dropping-particle":"","parse-names":false,"suffix":""},{"dropping-particle":"","family":"Olusegun","given":"Steve","non-dropping-particle":"","parse-names":false,"suffix":""}],"container-title":"IOSR Journal of Research &amp; Method in Education Ver. I","id":"ITEM-1","issue":"6","issued":{"date-parts":[["2015"]]},"page":"2320-7388","title":"Constructivism Learning Theory: A Paradigm for Teaching and Learning","type":"article-journal","volume":"5"},"uris":["http://www.mendeley.com/documents/?uuid=8b762976-94f4-4f83-9f1a-53c2f616ae78"]}],"mendeley":{"formattedCitation":"[36]","plainTextFormattedCitation":"[36]","previouslyFormattedCitation":"[36]"},"properties":{"noteIndex":0},"schema":"https://github.com/citation-style-language/schema/raw/master/csl-citation.json"}</w:instrText>
      </w:r>
      <w:r w:rsidR="00615BC9" w:rsidRPr="00644CB1">
        <w:rPr>
          <w:rFonts w:ascii="Times New Roman" w:hAnsi="Times New Roman"/>
          <w:color w:val="0D0D0D" w:themeColor="text1" w:themeTint="F2"/>
          <w:lang w:val="en-US"/>
        </w:rPr>
        <w:fldChar w:fldCharType="separate"/>
      </w:r>
      <w:r w:rsidR="00615BC9" w:rsidRPr="00644CB1">
        <w:rPr>
          <w:rFonts w:ascii="Times New Roman" w:hAnsi="Times New Roman"/>
          <w:noProof/>
          <w:color w:val="0D0D0D" w:themeColor="text1" w:themeTint="F2"/>
          <w:lang w:val="en-US"/>
        </w:rPr>
        <w:t>[36]</w:t>
      </w:r>
      <w:r w:rsidR="00615BC9"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posits that learners actively construct new knowledge based on prior understanding and experience, an approach inherently embedded in game-based learning frameworks. By leveraging these theoretical perspectives, Serious Games foster deeper engagement, critical thinking, and skill acquisition in sport event management education, making them an invaluable component of hybrid learning approaches.</w:t>
      </w:r>
    </w:p>
    <w:p w14:paraId="439DB838" w14:textId="29428F2F" w:rsidR="00E75EB2" w:rsidRPr="00644CB1" w:rsidRDefault="00E75EB2" w:rsidP="00296A3F">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However, fewer studies have reported improvements in physiological, soft, or social skills. Girard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 </w:t>
      </w:r>
      <w:r w:rsidR="00615BC9" w:rsidRPr="00644CB1">
        <w:rPr>
          <w:rFonts w:ascii="Times New Roman" w:hAnsi="Times New Roman"/>
          <w:color w:val="0D0D0D" w:themeColor="text1" w:themeTint="F2"/>
          <w:lang w:val="en-US"/>
        </w:rPr>
        <w:fldChar w:fldCharType="begin" w:fldLock="1"/>
      </w:r>
      <w:r w:rsidR="005D6497" w:rsidRPr="00644CB1">
        <w:rPr>
          <w:rFonts w:ascii="Times New Roman" w:hAnsi="Times New Roman"/>
          <w:color w:val="0D0D0D" w:themeColor="text1" w:themeTint="F2"/>
          <w:lang w:val="en-US"/>
        </w:rPr>
        <w:instrText>ADDIN CSL_CITATION {"citationItems":[{"id":"ITEM-1","itemData":{"DOI":"10.1111/j.1365-2729.2012.00489.x","ISSN":"02664909","abstract":"Computer-assisted learning is known to be an effective tool for improving learning in both adults and children. Recent years have seen the emergence of the so-called 'serious games (SGs)' that are flooding the educational games market. In this paper, the term 'serious games' is used to refer to video games (VGs) intended to serve a useful purpose. The objective was to review the results of experimental studies designed to examine the effectiveness of VGs and SGs on players' learning and engagement. After pointing out the varied nature of the obtained results and the impossibility of reaching any reliable conclusion concerning the effectiveness of VGs and SGs in learning, we stress the limitations of the existing literature and make a number of suggestions for future studies. © 2012 Blackwell Publishing Ltd.","author":[{"dropping-particle":"","family":"Girard","given":"C.","non-dropping-particle":"","parse-names":false,"suffix":""},{"dropping-particle":"","family":"Ecalle","given":"J.","non-dropping-particle":"","parse-names":false,"suffix":""},{"dropping-particle":"","family":"Magnan","given":"A.","non-dropping-particle":"","parse-names":false,"suffix":""}],"container-title":"Journal of Computer Assisted Learning","id":"ITEM-1","issue":"3","issued":{"date-parts":[["2013"]]},"page":"207-219","title":"Serious games as new educational tools: How effective are they? A meta-analysis of recent studies","type":"article-journal","volume":"29"},"uris":["http://www.mendeley.com/documents/?uuid=f92bca89-b5b0-43a7-84e5-9bdd8a5a6ab2"]}],"mendeley":{"formattedCitation":"[31]","plainTextFormattedCitation":"[31]","previouslyFormattedCitation":"[31]"},"properties":{"noteIndex":0},"schema":"https://github.com/citation-style-language/schema/raw/master/csl-citation.json"}</w:instrText>
      </w:r>
      <w:r w:rsidR="00615BC9" w:rsidRPr="00644CB1">
        <w:rPr>
          <w:rFonts w:ascii="Times New Roman" w:hAnsi="Times New Roman"/>
          <w:color w:val="0D0D0D" w:themeColor="text1" w:themeTint="F2"/>
          <w:lang w:val="en-US"/>
        </w:rPr>
        <w:fldChar w:fldCharType="separate"/>
      </w:r>
      <w:r w:rsidR="00615BC9" w:rsidRPr="00644CB1">
        <w:rPr>
          <w:rFonts w:ascii="Times New Roman" w:hAnsi="Times New Roman"/>
          <w:noProof/>
          <w:color w:val="0D0D0D" w:themeColor="text1" w:themeTint="F2"/>
          <w:lang w:val="en-US"/>
        </w:rPr>
        <w:t>[31]</w:t>
      </w:r>
      <w:r w:rsidR="00615BC9"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highlights that SGs promote constructive, experiential learning, allowing students to engage in interactive and immersive experiences. Meanwhile, Wouters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 </w:t>
      </w:r>
      <w:r w:rsidR="005D6497" w:rsidRPr="00644CB1">
        <w:rPr>
          <w:rFonts w:ascii="Times New Roman" w:hAnsi="Times New Roman"/>
          <w:color w:val="0D0D0D" w:themeColor="text1" w:themeTint="F2"/>
          <w:lang w:val="en-US"/>
        </w:rPr>
        <w:fldChar w:fldCharType="begin" w:fldLock="1"/>
      </w:r>
      <w:r w:rsidR="005D6497" w:rsidRPr="00644CB1">
        <w:rPr>
          <w:rFonts w:ascii="Times New Roman" w:hAnsi="Times New Roman"/>
          <w:color w:val="0D0D0D" w:themeColor="text1" w:themeTint="F2"/>
          <w:lang w:val="en-US"/>
        </w:rPr>
        <w:instrText>ADDIN CSL_CITATION {"citationItems":[{"id":"ITEM-1","itemData":{"DOI":"10.1037/a0031311","ISSN":"00220663","abstract":"It is assumed that serious games influences learning in 2 ways, by changing cognitive processes and by affecting motivation. However, until now research has shown little evidence for these assumptions. We used meta-analytic techniques to investigate whether serious games are more effective in terms of learning and more motivating than conventional instruction methods (learning: k 77, N 5,547; motivation: k 31, N 2,216). Consistent with our hypotheses, seriousgames were found to be more effective in terms of learning (d 0.29, p &lt;.01) and retention (d 0.36, p &lt;.01), but they were not more motivating (d 0.26, p &gt;.05) than conventional instruction methods. Additional moderator analyses on the learning effects revealed that learners in serious games learned more, relative to those taught with conventional instruction methods, when the game was supplemented with other instruction methods, when multiple training sessions were involved, and when players worked in groups. ©2013 American Psychological Association.","author":[{"dropping-particle":"","family":"Wouters","given":"Pieter","non-dropping-particle":"","parse-names":false,"suffix":""},{"dropping-particle":"","family":"Nimwegen","given":"Christof","non-dropping-particle":"van","parse-names":false,"suffix":""},{"dropping-particle":"","family":"Oostendorp","given":"Herre","non-dropping-particle":"van","parse-names":false,"suffix":""},{"dropping-particle":"","family":"Spek","given":"Erik D.","non-dropping-particle":"van Der","parse-names":false,"suffix":""}],"container-title":"Journal of Educational Psychology","id":"ITEM-1","issue":"2","issued":{"date-parts":[["2013"]]},"page":"249-265","title":"A meta-analysis of the cognitive and motivational effects of serious games","type":"article-journal","volume":"105"},"uris":["http://www.mendeley.com/documents/?uuid=d966e4ec-db84-487c-94cf-e39302c3c449"]}],"mendeley":{"formattedCitation":"[32]","plainTextFormattedCitation":"[32]","previouslyFormattedCitation":"[32]"},"properties":{"noteIndex":0},"schema":"https://github.com/citation-style-language/schema/raw/master/csl-citation.json"}</w:instrText>
      </w:r>
      <w:r w:rsidR="005D6497" w:rsidRPr="00644CB1">
        <w:rPr>
          <w:rFonts w:ascii="Times New Roman" w:hAnsi="Times New Roman"/>
          <w:color w:val="0D0D0D" w:themeColor="text1" w:themeTint="F2"/>
          <w:lang w:val="en-US"/>
        </w:rPr>
        <w:fldChar w:fldCharType="separate"/>
      </w:r>
      <w:r w:rsidR="005D6497" w:rsidRPr="00644CB1">
        <w:rPr>
          <w:rFonts w:ascii="Times New Roman" w:hAnsi="Times New Roman"/>
          <w:noProof/>
          <w:color w:val="0D0D0D" w:themeColor="text1" w:themeTint="F2"/>
          <w:lang w:val="en-US"/>
        </w:rPr>
        <w:t>[32]</w:t>
      </w:r>
      <w:r w:rsidR="005D6497"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suggest that SGs integrate both cognitive and emotional learning, creating personalized learning pathways that enhance motivation and engagement. In the field of management education, Hellström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 </w:t>
      </w:r>
      <w:r w:rsidR="005D6497" w:rsidRPr="00644CB1">
        <w:rPr>
          <w:rFonts w:ascii="Times New Roman" w:hAnsi="Times New Roman"/>
          <w:color w:val="0D0D0D" w:themeColor="text1" w:themeTint="F2"/>
          <w:lang w:val="en-US"/>
        </w:rPr>
        <w:fldChar w:fldCharType="begin" w:fldLock="1"/>
      </w:r>
      <w:r w:rsidR="001B0AE8" w:rsidRPr="00644CB1">
        <w:rPr>
          <w:rFonts w:ascii="Times New Roman" w:hAnsi="Times New Roman"/>
          <w:color w:val="0D0D0D" w:themeColor="text1" w:themeTint="F2"/>
          <w:lang w:val="en-US"/>
        </w:rPr>
        <w:instrText>ADDIN CSL_CITATION {"citationItems":[{"id":"ITEM-1","itemData":{"DOI":"10.17083/ijsg.v10i2.630","ISSN":"23848766","abstract":"Project management education is well suited for active learning through serious games, and a lot of research has been published on the use of serious games for project management education. Earlier reviews have focused on the content and features of project management serious games. But the objectives for using those serious games have been less reviewed. The aim of this study was to conduct a systematic review to better understand the objectives of using serious games in project management education, with the following research question: Why are project management serious games used in higher education? A systematic review was performed using the Preferred Reporting Items for Systematic Reviews and Meta-Analyses (PRISMA). A systematic search enabled us to identify 175 articles, of which forty-three met the eligibility criteria. An inductive content analysis of those articles showed that project management serious games are used for pedagogical and practical reasons. From a pedagogical perspective, serious games are mainly used to develop specific skills that are difficult to acquire in classic ex-cathedra lectures, such as practical competencies and soft skills. From a practical perspective, serious games are mainly used for proposing a risk-free trial environment. Based on our analysis, we propose a taxonomy of reasons for using PM games in higher education. Our research also reveals that few studies assess whether serious games meet all their objectives, and that more research is needed on how to implement them into a coherent pedagogical scenario.","author":[{"dropping-particle":"","family":"Hellström","given":"Magnus Mikael","non-dropping-particle":"","parse-names":false,"suffix":""},{"dropping-particle":"","family":"Jaccard","given":"Dominique","non-dropping-particle":"","parse-names":false,"suffix":""},{"dropping-particle":"","family":"Bonnier","given":"Knut Erik","non-dropping-particle":"","parse-names":false,"suffix":""}],"container-title":"International Journal of Serious Games","id":"ITEM-1","issue":"2","issued":{"date-parts":[["2023"]]},"page":"3-24","title":"A systematic review on the use of serious games in project management education","type":"article-journal","volume":"10"},"uris":["http://www.mendeley.com/documents/?uuid=f780fb5b-0808-43e1-a2f8-59c6075ad49b"]}],"mendeley":{"formattedCitation":"[29]","plainTextFormattedCitation":"[29]","previouslyFormattedCitation":"[29]"},"properties":{"noteIndex":0},"schema":"https://github.com/citation-style-language/schema/raw/master/csl-citation.json"}</w:instrText>
      </w:r>
      <w:r w:rsidR="005D6497" w:rsidRPr="00644CB1">
        <w:rPr>
          <w:rFonts w:ascii="Times New Roman" w:hAnsi="Times New Roman"/>
          <w:color w:val="0D0D0D" w:themeColor="text1" w:themeTint="F2"/>
          <w:lang w:val="en-US"/>
        </w:rPr>
        <w:fldChar w:fldCharType="separate"/>
      </w:r>
      <w:r w:rsidR="005D6497" w:rsidRPr="00644CB1">
        <w:rPr>
          <w:rFonts w:ascii="Times New Roman" w:hAnsi="Times New Roman"/>
          <w:noProof/>
          <w:color w:val="0D0D0D" w:themeColor="text1" w:themeTint="F2"/>
          <w:lang w:val="en-US"/>
        </w:rPr>
        <w:t>[29]</w:t>
      </w:r>
      <w:r w:rsidR="005D6497"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conducted an empirical study demonstrating how SGs can transform project management training, providing qualitative evidence of their effectiveness.</w:t>
      </w:r>
    </w:p>
    <w:p w14:paraId="14B12326" w14:textId="77777777" w:rsidR="00E75EB2" w:rsidRPr="00644CB1" w:rsidRDefault="00E75EB2" w:rsidP="00296A3F">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The body of literature on SGs has expanded substantially over recent decades, with scholarly publications dating from the mid-1990s to the present. A quantitative review of SG literature focused on learning applications demonstrates a consistent upward trend in the number of publications since 2011, as observed across major academic databases such as Scopus and Google Scholar. In the current study, the authors have selected a total of 34 relevant articles, with publication years ranging from 2009 to 2023.</w:t>
      </w:r>
    </w:p>
    <w:p w14:paraId="404870B8" w14:textId="026FF356" w:rsidR="004D3730" w:rsidRPr="00644CB1" w:rsidRDefault="00E75EB2" w:rsidP="00296A3F">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Despite the substantial growth in SGs research and applications across various educational domains, a notable gap exists in sport management education, particularly in sport event management. While the literature demonstrates </w:t>
      </w:r>
      <w:r w:rsidR="00942189">
        <w:rPr>
          <w:rFonts w:ascii="Times New Roman" w:hAnsi="Times New Roman"/>
          <w:color w:val="0D0D0D" w:themeColor="text1" w:themeTint="F2"/>
          <w:lang w:val="en-US"/>
        </w:rPr>
        <w:t>that</w:t>
      </w:r>
      <w:r w:rsidRPr="00644CB1">
        <w:rPr>
          <w:rFonts w:ascii="Times New Roman" w:hAnsi="Times New Roman"/>
          <w:color w:val="0D0D0D" w:themeColor="text1" w:themeTint="F2"/>
          <w:lang w:val="en-US"/>
        </w:rPr>
        <w:t xml:space="preserve"> SGs</w:t>
      </w:r>
      <w:r w:rsidR="00942189">
        <w:rPr>
          <w:rFonts w:ascii="Times New Roman" w:hAnsi="Times New Roman"/>
          <w:color w:val="0D0D0D" w:themeColor="text1" w:themeTint="F2"/>
          <w:lang w:val="en-US"/>
        </w:rPr>
        <w:t xml:space="preserve"> may be effective</w:t>
      </w:r>
      <w:r w:rsidRPr="00644CB1">
        <w:rPr>
          <w:rFonts w:ascii="Times New Roman" w:hAnsi="Times New Roman"/>
          <w:color w:val="0D0D0D" w:themeColor="text1" w:themeTint="F2"/>
          <w:lang w:val="en-US"/>
        </w:rPr>
        <w:t xml:space="preserve"> in developing cognitive skills </w:t>
      </w:r>
      <w:r w:rsidR="001B0AE8" w:rsidRPr="00644CB1">
        <w:rPr>
          <w:rFonts w:ascii="Times New Roman" w:hAnsi="Times New Roman"/>
          <w:color w:val="0D0D0D" w:themeColor="text1" w:themeTint="F2"/>
          <w:lang w:val="en-US"/>
        </w:rPr>
        <w:fldChar w:fldCharType="begin" w:fldLock="1"/>
      </w:r>
      <w:r w:rsidR="00BD52EF" w:rsidRPr="00644CB1">
        <w:rPr>
          <w:rFonts w:ascii="Times New Roman" w:hAnsi="Times New Roman"/>
          <w:color w:val="0D0D0D" w:themeColor="text1" w:themeTint="F2"/>
          <w:lang w:val="en-US"/>
        </w:rPr>
        <w:instrText>ADDIN CSL_CITATION {"citationItems":[{"id":"ITEM-1","itemData":{"DOI":"10.17083/ijsg.v1i3.12","abstract":"There is growing interest in the employment of serious video games in science education, but there are no clear design principles. After surveying previous work in serious video game design, we highlighted the following design principles: 1) engage the students with narrative (hero, story), 2) employ familiar gameplay mechanics from popular video games, 3) engage students into constructive trial and error game-play and 4) situate collaborative learning. As illustrated examples we designed two math video games targeted to primary education students. The gameplay of the math video games embeds addition operations in a seamless way, which has been inspired by that of classic platform games. In this way, the students are adding numbers as part of popular gameplay mechanics and as a means to reach the video game objective, rather than as an end in itself. The employment of well-defined principles in the design of math video games should facilitate the evaluation of learning effectiveness by researchers. Moreover, educators can deploy alternative versions of the games in order to engage students with diverse learning styles. For example, some students might be motived and benefited by narrative, while others by collaboration, because it is unlikely that one type of serious video game might fit all learning styles. The proposed principles are not meant to be an exhaustive list, but a starting point for extending the list and applying them in other cases of serious video games beyond mathematics and learning.","author":[{"dropping-particle":"","family":"Chorianopoulos","given":"Konstantinos","non-dropping-particle":"","parse-names":false,"suffix":""},{"dropping-particle":"","family":"Giannakos","given":"Michail","non-dropping-particle":"","parse-names":false,"suffix":""}],"container-title":"International Journal of Serious Games","id":"ITEM-1","issue":"3","issued":{"date-parts":[["2014"]]},"page":"51-59","title":"Design Principles for Serious Video Games in Mathematics Education: From Theory to Practice","type":"article-journal","volume":"1"},"uris":["http://www.mendeley.com/documents/?uuid=99941d4f-8f64-4d39-a2a3-0d340d8e9e87"]}],"mendeley":{"formattedCitation":"[27]","plainTextFormattedCitation":"[27]","previouslyFormattedCitation":"[27]"},"properties":{"noteIndex":0},"schema":"https://github.com/citation-style-language/schema/raw/master/csl-citation.json"}</w:instrText>
      </w:r>
      <w:r w:rsidR="001B0AE8" w:rsidRPr="00644CB1">
        <w:rPr>
          <w:rFonts w:ascii="Times New Roman" w:hAnsi="Times New Roman"/>
          <w:color w:val="0D0D0D" w:themeColor="text1" w:themeTint="F2"/>
          <w:lang w:val="en-US"/>
        </w:rPr>
        <w:fldChar w:fldCharType="separate"/>
      </w:r>
      <w:r w:rsidR="001B0AE8" w:rsidRPr="00644CB1">
        <w:rPr>
          <w:rFonts w:ascii="Times New Roman" w:hAnsi="Times New Roman"/>
          <w:noProof/>
          <w:color w:val="0D0D0D" w:themeColor="text1" w:themeTint="F2"/>
          <w:lang w:val="en-US"/>
        </w:rPr>
        <w:t>[27]</w:t>
      </w:r>
      <w:r w:rsidR="001B0AE8"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practical competencies </w:t>
      </w:r>
      <w:r w:rsidR="00BD52EF" w:rsidRPr="00644CB1">
        <w:rPr>
          <w:rFonts w:ascii="Times New Roman" w:hAnsi="Times New Roman"/>
          <w:color w:val="0D0D0D" w:themeColor="text1" w:themeTint="F2"/>
          <w:lang w:val="en-US"/>
        </w:rPr>
        <w:fldChar w:fldCharType="begin" w:fldLock="1"/>
      </w:r>
      <w:r w:rsidR="00BD52EF" w:rsidRPr="00644CB1">
        <w:rPr>
          <w:rFonts w:ascii="Times New Roman" w:hAnsi="Times New Roman"/>
          <w:color w:val="0D0D0D" w:themeColor="text1" w:themeTint="F2"/>
          <w:lang w:val="en-US"/>
        </w:rPr>
        <w:instrText>ADDIN CSL_CITATION {"citationItems":[{"id":"ITEM-1","itemData":{"DOI":"10.17083/ijsg.v10i2.630","ISSN":"23848766","abstract":"Project management education is well suited for active learning through serious games, and a lot of research has been published on the use of serious games for project management education. Earlier reviews have focused on the content and features of project management serious games. But the objectives for using those serious games have been less reviewed. The aim of this study was to conduct a systematic review to better understand the objectives of using serious games in project management education, with the following research question: Why are project management serious games used in higher education? A systematic review was performed using the Preferred Reporting Items for Systematic Reviews and Meta-Analyses (PRISMA). A systematic search enabled us to identify 175 articles, of which forty-three met the eligibility criteria. An inductive content analysis of those articles showed that project management serious games are used for pedagogical and practical reasons. From a pedagogical perspective, serious games are mainly used to develop specific skills that are difficult to acquire in classic ex-cathedra lectures, such as practical competencies and soft skills. From a practical perspective, serious games are mainly used for proposing a risk-free trial environment. Based on our analysis, we propose a taxonomy of reasons for using PM games in higher education. Our research also reveals that few studies assess whether serious games meet all their objectives, and that more research is needed on how to implement them into a coherent pedagogical scenario.","author":[{"dropping-particle":"","family":"Hellström","given":"Magnus Mikael","non-dropping-particle":"","parse-names":false,"suffix":""},{"dropping-particle":"","family":"Jaccard","given":"Dominique","non-dropping-particle":"","parse-names":false,"suffix":""},{"dropping-particle":"","family":"Bonnier","given":"Knut Erik","non-dropping-particle":"","parse-names":false,"suffix":""}],"container-title":"International Journal of Serious Games","id":"ITEM-1","issue":"2","issued":{"date-parts":[["2023"]]},"page":"3-24","title":"A systematic review on the use of serious games in project management education","type":"article-journal","volume":"10"},"uris":["http://www.mendeley.com/documents/?uuid=f780fb5b-0808-43e1-a2f8-59c6075ad49b"]}],"mendeley":{"formattedCitation":"[29]","plainTextFormattedCitation":"[29]","previouslyFormattedCitation":"[29]"},"properties":{"noteIndex":0},"schema":"https://github.com/citation-style-language/schema/raw/master/csl-citation.json"}</w:instrText>
      </w:r>
      <w:r w:rsidR="00BD52EF" w:rsidRPr="00644CB1">
        <w:rPr>
          <w:rFonts w:ascii="Times New Roman" w:hAnsi="Times New Roman"/>
          <w:color w:val="0D0D0D" w:themeColor="text1" w:themeTint="F2"/>
          <w:lang w:val="en-US"/>
        </w:rPr>
        <w:fldChar w:fldCharType="separate"/>
      </w:r>
      <w:r w:rsidR="00BD52EF" w:rsidRPr="00644CB1">
        <w:rPr>
          <w:rFonts w:ascii="Times New Roman" w:hAnsi="Times New Roman"/>
          <w:noProof/>
          <w:color w:val="0D0D0D" w:themeColor="text1" w:themeTint="F2"/>
          <w:lang w:val="en-US"/>
        </w:rPr>
        <w:t>[29]</w:t>
      </w:r>
      <w:r w:rsidR="00BD52EF"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and professional skills </w:t>
      </w:r>
      <w:r w:rsidR="00BD52EF" w:rsidRPr="00644CB1">
        <w:rPr>
          <w:rFonts w:ascii="Times New Roman" w:hAnsi="Times New Roman"/>
          <w:color w:val="0D0D0D" w:themeColor="text1" w:themeTint="F2"/>
          <w:lang w:val="en-US"/>
        </w:rPr>
        <w:fldChar w:fldCharType="begin" w:fldLock="1"/>
      </w:r>
      <w:r w:rsidR="00125D2D" w:rsidRPr="00644CB1">
        <w:rPr>
          <w:rFonts w:ascii="Times New Roman" w:hAnsi="Times New Roman"/>
          <w:color w:val="0D0D0D" w:themeColor="text1" w:themeTint="F2"/>
          <w:lang w:val="en-US"/>
        </w:rPr>
        <w:instrText>ADDIN CSL_CITATION {"citationItems":[{"id":"ITEM-1","itemData":{"ISBN":"9783943024050","abstract":"This paper arises from work ongoing in the GALA (Games and Learning Alliance Network of Excellence for Serious Games). As part of GALA, a comprehensive state of the art analysis of existing serious games for the business and industry domain (loosely defined) was undertaken. A categorisation of the identified serious games was developed in order to analyse the characteristics of the serious games the aspects they covered and those they do not cover. Of primary importance were the simulation level, topic and skills mediated by the identified serious games. The simulation level means the level or amount of the world that is simulated in the simulation or serious game. This is a hierarchy starting with the World/ God/ Universe in which level whole worlds are simulated, for example, in games such as Civilization. The hierarchy then proceeds downwards from nation, industry, inter-organisational, business/ organisation, intra-organisational/ processes, group/ team, discipline, techniques to games addressing the individual. Second the skills to be transferred by the serious game were also analysed. From this an analysis of the gaps in coverage of serious games was carried out, leading to identifying opportunities for, and recommendations of, serious games to be developed for the business and industry domain. © 2011 Research Institute for Ope.","author":[{"dropping-particle":"","family":"Riedel","given":"Johann C.K.H.","non-dropping-particle":"","parse-names":false,"suffix":""},{"dropping-particle":"","family":"Hauge","given":"Jannicke Baalsrud","non-dropping-particle":"","parse-names":false,"suffix":""}],"container-title":"2011 17th International Conference on Concurrent Enterprising, ICE 2011 - Conference Proceedings","id":"ITEM-1","issue":"January","issued":{"date-parts":[["2011"]]},"title":"State of the art of serious games for business and industry","type":"article-journal"},"uris":["http://www.mendeley.com/documents/?uuid=8f88349e-ee28-4923-b043-c96294642baa"]},{"id":"ITEM-2","itemData":{"DOI":"10.1111/j.1365-2729.2012.00489.x","ISSN":"02664909","abstract":"Computer-assisted learning is known to be an effective tool for improving learning in both adults and children. Recent years have seen the emergence of the so-called 'serious games (SGs)' that are flooding the educational games market. In this paper, the term 'serious games' is used to refer to video games (VGs) intended to serve a useful purpose. The objective was to review the results of experimental studies designed to examine the effectiveness of VGs and SGs on players' learning and engagement. After pointing out the varied nature of the obtained results and the impossibility of reaching any reliable conclusion concerning the effectiveness of VGs and SGs in learning, we stress the limitations of the existing literature and make a number of suggestions for future studies. © 2012 Blackwell Publishing Ltd.","author":[{"dropping-particle":"","family":"Girard","given":"C.","non-dropping-particle":"","parse-names":false,"suffix":""},{"dropping-particle":"","family":"Ecalle","given":"J.","non-dropping-particle":"","parse-names":false,"suffix":""},{"dropping-particle":"","family":"Magnan","given":"A.","non-dropping-particle":"","parse-names":false,"suffix":""}],"container-title":"Journal of Computer Assisted Learning","id":"ITEM-2","issue":"3","issued":{"date-parts":[["2013"]]},"page":"207-219","title":"Serious games as new educational tools: How effective are they? A meta-analysis of recent studies","type":"article-journal","volume":"29"},"uris":["http://www.mendeley.com/documents/?uuid=f92bca89-b5b0-43a7-84e5-9bdd8a5a6ab2"]}],"mendeley":{"formattedCitation":"[30], [31]","plainTextFormattedCitation":"[30], [31]","previouslyFormattedCitation":"[30], [31]"},"properties":{"noteIndex":0},"schema":"https://github.com/citation-style-language/schema/raw/master/csl-citation.json"}</w:instrText>
      </w:r>
      <w:r w:rsidR="00BD52EF" w:rsidRPr="00644CB1">
        <w:rPr>
          <w:rFonts w:ascii="Times New Roman" w:hAnsi="Times New Roman"/>
          <w:color w:val="0D0D0D" w:themeColor="text1" w:themeTint="F2"/>
          <w:lang w:val="en-US"/>
        </w:rPr>
        <w:fldChar w:fldCharType="separate"/>
      </w:r>
      <w:r w:rsidR="00BD52EF" w:rsidRPr="00644CB1">
        <w:rPr>
          <w:rFonts w:ascii="Times New Roman" w:hAnsi="Times New Roman"/>
          <w:noProof/>
          <w:color w:val="0D0D0D" w:themeColor="text1" w:themeTint="F2"/>
          <w:lang w:val="en-US"/>
        </w:rPr>
        <w:t>[30], [31]</w:t>
      </w:r>
      <w:r w:rsidR="00BD52EF"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the application of these findings to sport event management education remains largely unexplored. This gap is particularly significant given that sport event management requires both theoretical knowledge and practical </w:t>
      </w:r>
      <w:r w:rsidRPr="00644CB1">
        <w:rPr>
          <w:rFonts w:ascii="Times New Roman" w:hAnsi="Times New Roman"/>
          <w:color w:val="0D0D0D" w:themeColor="text1" w:themeTint="F2"/>
          <w:lang w:val="en-US"/>
        </w:rPr>
        <w:lastRenderedPageBreak/>
        <w:t>experience that traditional classroom instruction cannot fully provide. The absence of empirical studies specifically examining SGs applications in sport event management education represents a critical limitation in the current literature, especially considering the unique challenges of this field where event organizers have only one opportunity to execute events successfully, making simulation-based learning particularly valuable.</w:t>
      </w:r>
    </w:p>
    <w:p w14:paraId="31AC270A" w14:textId="1A8D5452" w:rsidR="00221376" w:rsidRPr="00644CB1" w:rsidRDefault="00950A5A" w:rsidP="000B65A0">
      <w:pPr>
        <w:pStyle w:val="2"/>
        <w:numPr>
          <w:ilvl w:val="1"/>
          <w:numId w:val="7"/>
        </w:numPr>
        <w:ind w:left="567" w:hanging="567"/>
        <w:rPr>
          <w:color w:val="0D0D0D" w:themeColor="text1" w:themeTint="F2"/>
        </w:rPr>
      </w:pPr>
      <w:r w:rsidRPr="00644CB1">
        <w:rPr>
          <w:color w:val="0D0D0D" w:themeColor="text1" w:themeTint="F2"/>
        </w:rPr>
        <w:t xml:space="preserve">Sport event management </w:t>
      </w:r>
      <w:r w:rsidR="00C14DF2" w:rsidRPr="00644CB1">
        <w:rPr>
          <w:color w:val="0D0D0D" w:themeColor="text1" w:themeTint="F2"/>
        </w:rPr>
        <w:t>framework</w:t>
      </w:r>
    </w:p>
    <w:p w14:paraId="369086DF" w14:textId="532BDD83" w:rsidR="001D0ADD" w:rsidRPr="00644CB1" w:rsidRDefault="001D0ADD" w:rsidP="001D0ADD">
      <w:pPr>
        <w:spacing w:line="264" w:lineRule="auto"/>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In real-life settings, the successful management of sporting events depends on various operational factors </w:t>
      </w:r>
      <w:r w:rsidR="00125D2D" w:rsidRPr="00644CB1">
        <w:rPr>
          <w:rFonts w:ascii="Times New Roman" w:hAnsi="Times New Roman"/>
          <w:color w:val="0D0D0D" w:themeColor="text1" w:themeTint="F2"/>
          <w:lang w:val="en-US"/>
        </w:rPr>
        <w:fldChar w:fldCharType="begin" w:fldLock="1"/>
      </w:r>
      <w:r w:rsidR="00DC7A93" w:rsidRPr="00644CB1">
        <w:rPr>
          <w:rFonts w:ascii="Times New Roman" w:hAnsi="Times New Roman"/>
          <w:color w:val="0D0D0D" w:themeColor="text1" w:themeTint="F2"/>
          <w:lang w:val="en-US"/>
        </w:rPr>
        <w:instrText>ADDIN CSL_CITATION {"citationItems":[{"id":"ITEM-1","itemData":{"DOI":"10.1016/j.kjss.2017.07.014","ISSN":"24523151","abstract":"This research studied factors influencing the achievements of Regional League Division 2 football tournament management. There were two groups of participants: 1) 438 people internally involved with football league tournament organization using the theory of non-probability sampling for purposive sampling, and 2) 1,068 participants related to football matches using the accidental sampling approach. This research employed two sets of questionnaires, one for each participant group, presented in the form of Likert scale and Lisrel (Linear Structure Relation) for the analysis of descriptive analysis and inferential statistics. The analysis showed that both internal and external factors of 1) Management, 2) Marketing mix, 3) Sports science, 4) Politics and government policy, 5) Player selection criteria, and 6) Performance evaluation system influenced the achievements of Regional League Division 2 football tournament management, with all at a high degree. The external factors relating to the management of the team which significantly affected the internal success of football match organization were the Performance evaluation system, Coordination, and Player selection criteria, respectively. These factors positively and significantly affected internal factors at the .01 level. The three external factors were found to indicatively determine 76 percent of the success of football match organization. The external factors relating to the team fan clubs which significantly affected the internal success of football match organization were political policies launched by the government and the processes of sports marketing, respectively. These factors positively and significantly affected internal factors at the .01 level. The two external factors could determine 65 percent of the success of football tournament organization.","author":[{"dropping-particle":"","family":"Rattanapian","given":"Piyanut","non-dropping-particle":"","parse-names":false,"suffix":""},{"dropping-particle":"","family":"Tingsabhat","given":"Juta","non-dropping-particle":"","parse-names":false,"suffix":""},{"dropping-particle":"","family":"Kanungsukkasem","given":"Vijit","non-dropping-particle":"","parse-names":false,"suffix":""}],"container-title":"Kasetsart Journal of Social Sciences","id":"ITEM-1","issue":"3","issued":{"date-parts":[["2018"]]},"page":"542-549","publisher":"Elsevier Ltd","title":"Factors influencing achievement of regional league division 2 football tournament management","type":"article-journal","volume":"39"},"uris":["http://www.mendeley.com/documents/?uuid=6a4d218d-077d-49eb-ae78-cee979f6e972"]}],"mendeley":{"formattedCitation":"[37]","plainTextFormattedCitation":"[37]","previouslyFormattedCitation":"[37]"},"properties":{"noteIndex":0},"schema":"https://github.com/citation-style-language/schema/raw/master/csl-citation.json"}</w:instrText>
      </w:r>
      <w:r w:rsidR="00125D2D" w:rsidRPr="00644CB1">
        <w:rPr>
          <w:rFonts w:ascii="Times New Roman" w:hAnsi="Times New Roman"/>
          <w:color w:val="0D0D0D" w:themeColor="text1" w:themeTint="F2"/>
          <w:lang w:val="en-US"/>
        </w:rPr>
        <w:fldChar w:fldCharType="separate"/>
      </w:r>
      <w:r w:rsidR="00125D2D" w:rsidRPr="00644CB1">
        <w:rPr>
          <w:rFonts w:ascii="Times New Roman" w:hAnsi="Times New Roman"/>
          <w:noProof/>
          <w:color w:val="0D0D0D" w:themeColor="text1" w:themeTint="F2"/>
          <w:lang w:val="en-US"/>
        </w:rPr>
        <w:t>[37]</w:t>
      </w:r>
      <w:r w:rsidR="00125D2D"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such as venue selection, accommodation, and transportation, which are not applicable in digital games. However, whether organizing a real-life or digital sports event, certain core management operations remain consistent. For instance, the management of a digital sports event involves planning, task assignment, coordination, and control </w:t>
      </w:r>
      <w:r w:rsidR="00DC7A93" w:rsidRPr="00644CB1">
        <w:rPr>
          <w:rFonts w:ascii="Times New Roman" w:hAnsi="Times New Roman"/>
          <w:color w:val="0D0D0D" w:themeColor="text1" w:themeTint="F2"/>
          <w:lang w:val="en-US"/>
        </w:rPr>
        <w:fldChar w:fldCharType="begin" w:fldLock="1"/>
      </w:r>
      <w:r w:rsidR="00DC7A93" w:rsidRPr="00644CB1">
        <w:rPr>
          <w:rFonts w:ascii="Times New Roman" w:hAnsi="Times New Roman"/>
          <w:color w:val="0D0D0D" w:themeColor="text1" w:themeTint="F2"/>
          <w:lang w:val="en-US"/>
        </w:rPr>
        <w:instrText>ADDIN CSL_CITATION {"citationItems":[{"id":"ITEM-1","itemData":{"DOI":"10.1016/j.kjss.2017.07.014","ISSN":"24523151","abstract":"This research studied factors influencing the achievements of Regional League Division 2 football tournament management. There were two groups of participants: 1) 438 people internally involved with football league tournament organization using the theory of non-probability sampling for purposive sampling, and 2) 1,068 participants related to football matches using the accidental sampling approach. This research employed two sets of questionnaires, one for each participant group, presented in the form of Likert scale and Lisrel (Linear Structure Relation) for the analysis of descriptive analysis and inferential statistics. The analysis showed that both internal and external factors of 1) Management, 2) Marketing mix, 3) Sports science, 4) Politics and government policy, 5) Player selection criteria, and 6) Performance evaluation system influenced the achievements of Regional League Division 2 football tournament management, with all at a high degree. The external factors relating to the management of the team which significantly affected the internal success of football match organization were the Performance evaluation system, Coordination, and Player selection criteria, respectively. These factors positively and significantly affected internal factors at the .01 level. The three external factors were found to indicatively determine 76 percent of the success of football match organization. The external factors relating to the team fan clubs which significantly affected the internal success of football match organization were political policies launched by the government and the processes of sports marketing, respectively. These factors positively and significantly affected internal factors at the .01 level. The two external factors could determine 65 percent of the success of football tournament organization.","author":[{"dropping-particle":"","family":"Rattanapian","given":"Piyanut","non-dropping-particle":"","parse-names":false,"suffix":""},{"dropping-particle":"","family":"Tingsabhat","given":"Juta","non-dropping-particle":"","parse-names":false,"suffix":""},{"dropping-particle":"","family":"Kanungsukkasem","given":"Vijit","non-dropping-particle":"","parse-names":false,"suffix":""}],"container-title":"Kasetsart Journal of Social Sciences","id":"ITEM-1","issue":"3","issued":{"date-parts":[["2018"]]},"page":"542-549","publisher":"Elsevier Ltd","title":"Factors influencing achievement of regional league division 2 football tournament management","type":"article-journal","volume":"39"},"uris":["http://www.mendeley.com/documents/?uuid=6a4d218d-077d-49eb-ae78-cee979f6e972"]}],"mendeley":{"formattedCitation":"[37]","plainTextFormattedCitation":"[37]","previouslyFormattedCitation":"[37]"},"properties":{"noteIndex":0},"schema":"https://github.com/citation-style-language/schema/raw/master/csl-citation.json"}</w:instrText>
      </w:r>
      <w:r w:rsidR="00DC7A93" w:rsidRPr="00644CB1">
        <w:rPr>
          <w:rFonts w:ascii="Times New Roman" w:hAnsi="Times New Roman"/>
          <w:color w:val="0D0D0D" w:themeColor="text1" w:themeTint="F2"/>
          <w:lang w:val="en-US"/>
        </w:rPr>
        <w:fldChar w:fldCharType="separate"/>
      </w:r>
      <w:r w:rsidR="00DC7A93" w:rsidRPr="00644CB1">
        <w:rPr>
          <w:rFonts w:ascii="Times New Roman" w:hAnsi="Times New Roman"/>
          <w:noProof/>
          <w:color w:val="0D0D0D" w:themeColor="text1" w:themeTint="F2"/>
          <w:lang w:val="en-US"/>
        </w:rPr>
        <w:t>[37]</w:t>
      </w:r>
      <w:r w:rsidR="00DC7A93"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w:t>
      </w:r>
    </w:p>
    <w:p w14:paraId="6192ED28" w14:textId="629158AF" w:rsidR="001D0ADD" w:rsidRPr="00644CB1" w:rsidRDefault="001D0ADD" w:rsidP="003718BE">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Salem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 </w:t>
      </w:r>
      <w:r w:rsidR="00DC7A93" w:rsidRPr="00644CB1">
        <w:rPr>
          <w:rFonts w:ascii="Times New Roman" w:hAnsi="Times New Roman"/>
          <w:color w:val="0D0D0D" w:themeColor="text1" w:themeTint="F2"/>
          <w:lang w:val="en-US"/>
        </w:rPr>
        <w:fldChar w:fldCharType="begin" w:fldLock="1"/>
      </w:r>
      <w:r w:rsidR="00E11415" w:rsidRPr="00644CB1">
        <w:rPr>
          <w:rFonts w:ascii="Times New Roman" w:hAnsi="Times New Roman"/>
          <w:color w:val="0D0D0D" w:themeColor="text1" w:themeTint="F2"/>
          <w:lang w:val="en-US"/>
        </w:rPr>
        <w:instrText>ADDIN CSL_CITATION {"citationItems":[{"id":"ITEM-1","itemData":{"ISBN":"978-0-7506-5872-0","author":[{"dropping-particle":"","family":"Salem","given":"G.","non-dropping-particle":"","parse-names":false,"suffix":""},{"dropping-particle":"","family":"Jones","given":"E.","non-dropping-particle":"","parse-names":false,"suffix":""},{"dropping-particle":"","family":"Morgan","given":"N.","non-dropping-particle":"","parse-names":false,"suffix":""}],"container-title":"Festival and events management: an international arts and culture perspective","editor":[{"dropping-particle":"","family":"Yeoman","given":"I.","non-dropping-particle":"","parse-names":false,"suffix":""},{"dropping-particle":"","family":"Robertson","given":"M.","non-dropping-particle":"","parse-names":false,"suffix":""},{"dropping-particle":"","family":"Ali-Knight","given":"J.A.","non-dropping-particle":"","parse-names":false,"suffix":""},{"dropping-particle":"","family":"Drummond","given":"S.","non-dropping-particle":"","parse-names":false,"suffix":""},{"dropping-particle":"","family":"McMahon-Beattie","given":"U.","non-dropping-particle":"","parse-names":false,"suffix":""}],"id":"ITEM-1","issued":{"date-parts":[["2014"]]},"page":"14-31","publisher":"Elsevier Butterworth-Heinemann","publisher-place":"Boston, MA","title":"An overview of events management","type":"chapter"},"uris":["http://www.mendeley.com/documents/?uuid=74ce0dc2-1ee2-4d79-8055-f405e3731374"]}],"mendeley":{"formattedCitation":"[38]","plainTextFormattedCitation":"[38]","previouslyFormattedCitation":"[38]"},"properties":{"noteIndex":0},"schema":"https://github.com/citation-style-language/schema/raw/master/csl-citation.json"}</w:instrText>
      </w:r>
      <w:r w:rsidR="00DC7A93" w:rsidRPr="00644CB1">
        <w:rPr>
          <w:rFonts w:ascii="Times New Roman" w:hAnsi="Times New Roman"/>
          <w:color w:val="0D0D0D" w:themeColor="text1" w:themeTint="F2"/>
          <w:lang w:val="en-US"/>
        </w:rPr>
        <w:fldChar w:fldCharType="separate"/>
      </w:r>
      <w:r w:rsidR="00DC7A93" w:rsidRPr="00644CB1">
        <w:rPr>
          <w:rFonts w:ascii="Times New Roman" w:hAnsi="Times New Roman"/>
          <w:noProof/>
          <w:color w:val="0D0D0D" w:themeColor="text1" w:themeTint="F2"/>
          <w:lang w:val="en-US"/>
        </w:rPr>
        <w:t>[38]</w:t>
      </w:r>
      <w:r w:rsidR="00DC7A93" w:rsidRPr="00644CB1">
        <w:rPr>
          <w:rFonts w:ascii="Times New Roman" w:hAnsi="Times New Roman"/>
          <w:color w:val="0D0D0D" w:themeColor="text1" w:themeTint="F2"/>
          <w:lang w:val="en-US"/>
        </w:rPr>
        <w:fldChar w:fldCharType="end"/>
      </w:r>
      <w:r w:rsidR="00E11415"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introduced the Unified Model of Event Management, a conceptual framework for event organization. According to this model, event management comprises four fundamental elements: (a) decision, (b) detailed planning, (c) implementation, and (d) evaluation. The decision process includes key steps such as defining aims and objectives, establishing a board of management, and conducting a feasibility study (Figure 1).</w:t>
      </w:r>
    </w:p>
    <w:p w14:paraId="5CA0F0B2" w14:textId="77777777" w:rsidR="001D0ADD" w:rsidRPr="00644CB1" w:rsidRDefault="001D0ADD" w:rsidP="0034186E">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Detailed planning includes event definition, financial analysis, marketing, human resource management, event scheduling, and venue planning and operations management. The implementation phase involves managing contingencies, monitoring progress, and overseeing the event’s closure.</w:t>
      </w:r>
    </w:p>
    <w:p w14:paraId="253EBC59" w14:textId="380B56D7" w:rsidR="001D0ADD" w:rsidRPr="00644CB1" w:rsidRDefault="001D0ADD" w:rsidP="0034186E">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The event management process concludes with the evaluation phase, which assesses the overall process, the performance of the organizers, and the outcomes of organizing a digital football tournament. Kendal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 </w:t>
      </w:r>
      <w:r w:rsidR="00E11415" w:rsidRPr="00644CB1">
        <w:rPr>
          <w:rFonts w:ascii="Times New Roman" w:hAnsi="Times New Roman"/>
          <w:color w:val="0D0D0D" w:themeColor="text1" w:themeTint="F2"/>
          <w:lang w:val="en-US"/>
        </w:rPr>
        <w:fldChar w:fldCharType="begin" w:fldLock="1"/>
      </w:r>
      <w:r w:rsidR="00CA2A25" w:rsidRPr="00644CB1">
        <w:rPr>
          <w:rFonts w:ascii="Times New Roman" w:hAnsi="Times New Roman"/>
          <w:color w:val="0D0D0D" w:themeColor="text1" w:themeTint="F2"/>
          <w:lang w:val="en-US"/>
        </w:rPr>
        <w:instrText>ADDIN CSL_CITATION {"citationItems":[{"id":"ITEM-1","itemData":{"DOI":"10.1016/j.cor.2009.05.013","ISSN":"03050548","abstract":"Sports have worldwide appeal. Professional sport leagues involve significant investments in players. Events such as the Olympics Games, the Football World Cup and the major golf and tennis tournaments generate huge worldwide television audiences and many sports are multi-million dollar industries. A key aspect of sporting events is the ability to generate schedules that optimize logistic issues and that are seen as fair to all those who have an interest. This is not just restricted to generating the fixtures, but also to other areas such as assigning officials to the games in the competitions. This paper provides an annotated bibliography for sports scheduling articles. This area can be traced back over 40 years. It is noticeable that the number of papers has risen in recent years, demonstrating that scientific interest is increasing in this area. © 2009 Elsevier Ltd. All rights reserved.","author":[{"dropping-particle":"","family":"Kendall","given":"Graham","non-dropping-particle":"","parse-names":false,"suffix":""},{"dropping-particle":"","family":"Knust","given":"Sigrid","non-dropping-particle":"","parse-names":false,"suffix":""},{"dropping-particle":"","family":"Ribeiro","given":"Celso C.","non-dropping-particle":"","parse-names":false,"suffix":""},{"dropping-particle":"","family":"Urrutia","given":"Sebastián","non-dropping-particle":"","parse-names":false,"suffix":""}],"container-title":"Computers and Operations Research","id":"ITEM-1","issue":"1","issued":{"date-parts":[["2010"]]},"page":"1-19","publisher":"Elsevier","title":"Scheduling in sports: An annotated bibliography","type":"article-journal","volume":"37"},"uris":["http://www.mendeley.com/documents/?uuid=89910123-b21c-45fc-b3ed-e9a0324e5438"]}],"mendeley":{"formattedCitation":"[39]","plainTextFormattedCitation":"[39]","previouslyFormattedCitation":"[39]"},"properties":{"noteIndex":0},"schema":"https://github.com/citation-style-language/schema/raw/master/csl-citation.json"}</w:instrText>
      </w:r>
      <w:r w:rsidR="00E11415" w:rsidRPr="00644CB1">
        <w:rPr>
          <w:rFonts w:ascii="Times New Roman" w:hAnsi="Times New Roman"/>
          <w:color w:val="0D0D0D" w:themeColor="text1" w:themeTint="F2"/>
          <w:lang w:val="en-US"/>
        </w:rPr>
        <w:fldChar w:fldCharType="separate"/>
      </w:r>
      <w:r w:rsidR="00E11415" w:rsidRPr="00644CB1">
        <w:rPr>
          <w:rFonts w:ascii="Times New Roman" w:hAnsi="Times New Roman"/>
          <w:noProof/>
          <w:color w:val="0D0D0D" w:themeColor="text1" w:themeTint="F2"/>
          <w:lang w:val="en-US"/>
        </w:rPr>
        <w:t>[39]</w:t>
      </w:r>
      <w:r w:rsidR="00E11415"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emphasize the importance of mapping out the event and structuring all relevant aspects within a comprehensive event grid. They further recommend the use of various functional tools, such as timelines, to enhance organizational efficiency. The success of an event’s planning and execution largely depends on how strictly organizers adhere to these timelines.</w:t>
      </w:r>
    </w:p>
    <w:p w14:paraId="72CC7A72" w14:textId="5E4CEBF5" w:rsidR="001D0ADD" w:rsidRPr="00644CB1" w:rsidRDefault="001D0ADD" w:rsidP="00C60083">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Similarly, Allen </w:t>
      </w:r>
      <w:r w:rsidR="00CA2A25" w:rsidRPr="00644CB1">
        <w:rPr>
          <w:rFonts w:ascii="Times New Roman" w:hAnsi="Times New Roman"/>
          <w:color w:val="0D0D0D" w:themeColor="text1" w:themeTint="F2"/>
          <w:lang w:val="en-US"/>
        </w:rPr>
        <w:fldChar w:fldCharType="begin" w:fldLock="1"/>
      </w:r>
      <w:r w:rsidR="00C833DA" w:rsidRPr="00644CB1">
        <w:rPr>
          <w:rFonts w:ascii="Times New Roman" w:hAnsi="Times New Roman"/>
          <w:color w:val="0D0D0D" w:themeColor="text1" w:themeTint="F2"/>
          <w:lang w:val="en-US"/>
        </w:rPr>
        <w:instrText>ADDIN CSL_CITATION {"citationItems":[{"id":"ITEM-1","itemData":{"author":[{"dropping-particle":"","family":"Allen","given":"J.","non-dropping-particle":"","parse-names":false,"suffix":""}],"id":"ITEM-1","issued":{"date-parts":[["2008"]]},"publisher":"John Wiley &amp; Sons Canada, Ltd","publisher-place":"Ontario","title":"Event planning: The ultimate guide to successful meetings, corporate events, fundraising galas, conferences, conventions, incentives and other special events","type":"book"},"uris":["http://www.mendeley.com/documents/?uuid=a5b5d12a-b08c-4aad-88b2-b66d13fa1c6f"]}],"mendeley":{"formattedCitation":"[40]","plainTextFormattedCitation":"[40]","previouslyFormattedCitation":"[40]"},"properties":{"noteIndex":0},"schema":"https://github.com/citation-style-language/schema/raw/master/csl-citation.json"}</w:instrText>
      </w:r>
      <w:r w:rsidR="00CA2A25" w:rsidRPr="00644CB1">
        <w:rPr>
          <w:rFonts w:ascii="Times New Roman" w:hAnsi="Times New Roman"/>
          <w:color w:val="0D0D0D" w:themeColor="text1" w:themeTint="F2"/>
          <w:lang w:val="en-US"/>
        </w:rPr>
        <w:fldChar w:fldCharType="separate"/>
      </w:r>
      <w:r w:rsidR="00CA2A25" w:rsidRPr="00644CB1">
        <w:rPr>
          <w:rFonts w:ascii="Times New Roman" w:hAnsi="Times New Roman"/>
          <w:noProof/>
          <w:color w:val="0D0D0D" w:themeColor="text1" w:themeTint="F2"/>
          <w:lang w:val="en-US"/>
        </w:rPr>
        <w:t>[40]</w:t>
      </w:r>
      <w:r w:rsidR="00CA2A25"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underscores the significance of the event overview grid, which provides critical insights into event timing and orchestration. She also highlights the value of a post-event summary, describing it as an essential planning tool that helps organizers establish a structured framework for future events.</w:t>
      </w:r>
    </w:p>
    <w:p w14:paraId="298258A2" w14:textId="7025E351" w:rsidR="001D0ADD" w:rsidRPr="00644CB1" w:rsidRDefault="001D0ADD" w:rsidP="00C60083">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When planning a project, a common approach is to first identify the initial tasks and then proceed sequentially through the required steps. Structured Task Analysis is a method used to list the necessary actions to achieve a defined goal. This approach follows a logical organizational sequence and is based on standard planning tools </w:t>
      </w:r>
      <w:r w:rsidR="00C833DA" w:rsidRPr="00644CB1">
        <w:rPr>
          <w:rFonts w:ascii="Times New Roman" w:hAnsi="Times New Roman"/>
          <w:color w:val="0D0D0D" w:themeColor="text1" w:themeTint="F2"/>
          <w:lang w:val="en-US"/>
        </w:rPr>
        <w:fldChar w:fldCharType="begin" w:fldLock="1"/>
      </w:r>
      <w:r w:rsidR="00E4225A" w:rsidRPr="00644CB1">
        <w:rPr>
          <w:rFonts w:ascii="Times New Roman" w:hAnsi="Times New Roman"/>
          <w:color w:val="0D0D0D" w:themeColor="text1" w:themeTint="F2"/>
          <w:lang w:val="en-US"/>
        </w:rPr>
        <w:instrText>ADDIN CSL_CITATION {"citationItems":[{"id":"ITEM-1","itemData":{"author":[{"dropping-particle":"","family":"Afthinos","given":"Yanni","non-dropping-particle":"","parse-names":false,"suffix":""}],"id":"ITEM-1","issued":{"date-parts":[["2015"]]},"publisher":"Sport Option","publisher-place":"Athens","title":"Sport Event Organization [Οργάνωση αθλητικών αγώνων]","type":"book"},"uris":["http://www.mendeley.com/documents/?uuid=943ea676-e5c9-41d2-a534-2671a4925099"]}],"mendeley":{"formattedCitation":"[41]","plainTextFormattedCitation":"[41]","previouslyFormattedCitation":"[41]"},"properties":{"noteIndex":0},"schema":"https://github.com/citation-style-language/schema/raw/master/csl-citation.json"}</w:instrText>
      </w:r>
      <w:r w:rsidR="00C833DA" w:rsidRPr="00644CB1">
        <w:rPr>
          <w:rFonts w:ascii="Times New Roman" w:hAnsi="Times New Roman"/>
          <w:color w:val="0D0D0D" w:themeColor="text1" w:themeTint="F2"/>
          <w:lang w:val="en-US"/>
        </w:rPr>
        <w:fldChar w:fldCharType="separate"/>
      </w:r>
      <w:r w:rsidR="00C833DA" w:rsidRPr="00644CB1">
        <w:rPr>
          <w:rFonts w:ascii="Times New Roman" w:hAnsi="Times New Roman"/>
          <w:noProof/>
          <w:color w:val="0D0D0D" w:themeColor="text1" w:themeTint="F2"/>
          <w:lang w:val="en-US"/>
        </w:rPr>
        <w:t>[41]</w:t>
      </w:r>
      <w:r w:rsidR="00C833DA"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Poorly planned projects are significantly more likely to encounter problems and inefficiencies. The present study focuses on an iterative, top-down approach to project planning, documented not only through a Gantt chart but also as a comprehensive project charter</w:t>
      </w:r>
      <w:r w:rsidR="00A85EB5" w:rsidRPr="00644CB1">
        <w:rPr>
          <w:rFonts w:ascii="Times New Roman" w:hAnsi="Times New Roman"/>
          <w:color w:val="0D0D0D" w:themeColor="text1" w:themeTint="F2"/>
          <w:lang w:val="en-US"/>
        </w:rPr>
        <w:t xml:space="preserve"> </w:t>
      </w:r>
      <w:r w:rsidR="00A85EB5" w:rsidRPr="00644CB1">
        <w:rPr>
          <w:rFonts w:ascii="Times New Roman" w:hAnsi="Times New Roman"/>
          <w:color w:val="0D0D0D" w:themeColor="text1" w:themeTint="F2"/>
          <w:lang w:val="en-US"/>
        </w:rPr>
        <w:fldChar w:fldCharType="begin" w:fldLock="1"/>
      </w:r>
      <w:r w:rsidR="00F71943" w:rsidRPr="00644CB1">
        <w:rPr>
          <w:rFonts w:ascii="Times New Roman" w:hAnsi="Times New Roman"/>
          <w:color w:val="0D0D0D" w:themeColor="text1" w:themeTint="F2"/>
          <w:lang w:val="en-US"/>
        </w:rPr>
        <w:instrText>ADDIN CSL_CITATION {"citationItems":[{"id":"ITEM-1","itemData":{"DOI":"10.1111/dsji.12176","ISSN":"15404609","abstract":"Project Management is an important skill for business students to develop. Although project-oriented activity is very common, the success rate for projects is poor. Many projects fail due to poor planning. This article describes a multipart class exercise used to teach elements of a project management methodology to undergraduate and graduate business students. Over the course of the eight-part exercise, student teams iteratively develop a project plan and Gantt chart, an initial and detailed project charter, a variance analysis model, and a status report. Students are taught an iterative top-down planning process using a technique we term the ODW (Objectives–Deliverables–Workplan) model. Students are introduced to Microsoft Project and use the tool to develop a project plan that becomes part of a more detailed Project Charter. In the final stages of the exercise, students collect results, update their plan, and produce a project status report.","author":[{"dropping-particle":"","family":"Robbins","given":"Thomas R.","non-dropping-particle":"","parse-names":false,"suffix":""}],"container-title":"Decision Sciences Journal of Innovative Education","id":"ITEM-1","issue":"2","issued":{"date-parts":[["2019"]]},"page":"104-125","title":"A Multipart Project Planning and Tracking Exercise","type":"article-journal","volume":"17"},"uris":["http://www.mendeley.com/documents/?uuid=14ae1a34-6160-44aa-97ac-74102a640f08"]}],"mendeley":{"formattedCitation":"[42]","plainTextFormattedCitation":"[42]","previouslyFormattedCitation":"[42]"},"properties":{"noteIndex":0},"schema":"https://github.com/citation-style-language/schema/raw/master/csl-citation.json"}</w:instrText>
      </w:r>
      <w:r w:rsidR="00A85EB5" w:rsidRPr="00644CB1">
        <w:rPr>
          <w:rFonts w:ascii="Times New Roman" w:hAnsi="Times New Roman"/>
          <w:color w:val="0D0D0D" w:themeColor="text1" w:themeTint="F2"/>
          <w:lang w:val="en-US"/>
        </w:rPr>
        <w:fldChar w:fldCharType="separate"/>
      </w:r>
      <w:r w:rsidR="00A85EB5" w:rsidRPr="00644CB1">
        <w:rPr>
          <w:rFonts w:ascii="Times New Roman" w:hAnsi="Times New Roman"/>
          <w:noProof/>
          <w:color w:val="0D0D0D" w:themeColor="text1" w:themeTint="F2"/>
          <w:lang w:val="en-US"/>
        </w:rPr>
        <w:t>[42]</w:t>
      </w:r>
      <w:r w:rsidR="00A85EB5"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w:t>
      </w:r>
    </w:p>
    <w:p w14:paraId="088F0404" w14:textId="1BD6D8C6" w:rsidR="001D0ADD" w:rsidRPr="00644CB1" w:rsidRDefault="001D0ADD" w:rsidP="00C60083">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Following the planning phase, the implementation </w:t>
      </w:r>
      <w:r w:rsidR="000B46C5" w:rsidRPr="00644CB1">
        <w:rPr>
          <w:rFonts w:ascii="Times New Roman" w:hAnsi="Times New Roman"/>
          <w:color w:val="0D0D0D" w:themeColor="text1" w:themeTint="F2"/>
          <w:lang w:val="en-US"/>
        </w:rPr>
        <w:t>plays</w:t>
      </w:r>
      <w:r w:rsidRPr="00644CB1">
        <w:rPr>
          <w:rFonts w:ascii="Times New Roman" w:hAnsi="Times New Roman"/>
          <w:color w:val="0D0D0D" w:themeColor="text1" w:themeTint="F2"/>
          <w:lang w:val="en-US"/>
        </w:rPr>
        <w:t xml:space="preserve"> a critical role in determining the overall effectiveness of the event. According to Pinto and Slevin </w:t>
      </w:r>
      <w:r w:rsidR="00A85EB5" w:rsidRPr="00644CB1">
        <w:rPr>
          <w:rFonts w:ascii="Times New Roman" w:hAnsi="Times New Roman"/>
          <w:color w:val="0D0D0D" w:themeColor="text1" w:themeTint="F2"/>
          <w:lang w:val="en-US"/>
        </w:rPr>
        <w:fldChar w:fldCharType="begin" w:fldLock="1"/>
      </w:r>
      <w:r w:rsidR="00F71943" w:rsidRPr="00644CB1">
        <w:rPr>
          <w:rFonts w:ascii="Times New Roman" w:hAnsi="Times New Roman"/>
          <w:color w:val="0D0D0D" w:themeColor="text1" w:themeTint="F2"/>
          <w:lang w:val="en-US"/>
        </w:rPr>
        <w:instrText>ADDIN CSL_CITATION {"citationItems":[{"id":"ITEM-1","itemData":{"DOI":"10.1109/TEM.1987.6498856","ISSN":"00189391","abstract":"A process used to determine critical success factors that are felt to be predictive of successful project management is described. Full-time managers who have had experience with projects were asked to generate critical success factors that they felt to be crucial to successful project implementation. Ten factors were discovered that relate well to previous theoretical formulations in the literature. In addition, these ten factors have been linked together in an interdependent quasi-sequential framework. The authors have provided the basis for developing a behavioral instrument to be used as a diagnostic for assessing the status of any project, as determined by the ten-factor model.","author":[{"dropping-particle":"","family":"Pinto","given":"Jeffrey K.","non-dropping-particle":"","parse-names":false,"suffix":""},{"dropping-particle":"","family":"Slevin","given":"Dennis P.","non-dropping-particle":"","parse-names":false,"suffix":""}],"container-title":"IEEE Transactions on Engineering Management","id":"ITEM-1","issue":"1","issued":{"date-parts":[["1987"]]},"page":"22-27","publisher":"IEEE","title":"Critical Factors in Successful Project Implementation.","type":"article-journal","volume":"EM-34"},"uris":["http://www.mendeley.com/documents/?uuid=c094a045-24fc-4eee-b5b8-c7ac08b43b7c"]}],"mendeley":{"formattedCitation":"[43]","plainTextFormattedCitation":"[43]","previouslyFormattedCitation":"[43]"},"properties":{"noteIndex":0},"schema":"https://github.com/citation-style-language/schema/raw/master/csl-citation.json"}</w:instrText>
      </w:r>
      <w:r w:rsidR="00A85EB5" w:rsidRPr="00644CB1">
        <w:rPr>
          <w:rFonts w:ascii="Times New Roman" w:hAnsi="Times New Roman"/>
          <w:color w:val="0D0D0D" w:themeColor="text1" w:themeTint="F2"/>
          <w:lang w:val="en-US"/>
        </w:rPr>
        <w:fldChar w:fldCharType="separate"/>
      </w:r>
      <w:r w:rsidR="00A85EB5" w:rsidRPr="00644CB1">
        <w:rPr>
          <w:rFonts w:ascii="Times New Roman" w:hAnsi="Times New Roman"/>
          <w:noProof/>
          <w:color w:val="0D0D0D" w:themeColor="text1" w:themeTint="F2"/>
          <w:lang w:val="en-US"/>
        </w:rPr>
        <w:t>[43]</w:t>
      </w:r>
      <w:r w:rsidR="00A85EB5"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continuous monitoring and participant feedback allow organizers to maintain control over the process and assess whether the event is progressing according to the initial projections.</w:t>
      </w:r>
    </w:p>
    <w:p w14:paraId="26F04643" w14:textId="77777777" w:rsidR="005814ED" w:rsidRPr="00644CB1" w:rsidRDefault="005814ED" w:rsidP="00C17C82">
      <w:pPr>
        <w:spacing w:line="264" w:lineRule="auto"/>
        <w:ind w:firstLine="284"/>
        <w:jc w:val="both"/>
        <w:rPr>
          <w:rFonts w:ascii="Times New Roman" w:hAnsi="Times New Roman"/>
          <w:color w:val="0D0D0D" w:themeColor="text1" w:themeTint="F2"/>
          <w:lang w:val="en-US"/>
        </w:rPr>
      </w:pPr>
    </w:p>
    <w:p w14:paraId="7C543A68" w14:textId="77777777" w:rsidR="00BB3775" w:rsidRPr="00644CB1" w:rsidRDefault="00BB3775" w:rsidP="005E527D">
      <w:pPr>
        <w:spacing w:line="264" w:lineRule="auto"/>
        <w:ind w:firstLine="284"/>
        <w:jc w:val="both"/>
        <w:rPr>
          <w:rFonts w:ascii="Times New Roman" w:hAnsi="Times New Roman"/>
          <w:color w:val="0D0D0D" w:themeColor="text1" w:themeTint="F2"/>
          <w:lang w:val="en-US"/>
        </w:rPr>
      </w:pPr>
      <w:r w:rsidRPr="00644CB1">
        <w:rPr>
          <w:rFonts w:ascii="Times New Roman" w:hAnsi="Times New Roman"/>
          <w:noProof/>
          <w:color w:val="0D0D0D" w:themeColor="text1" w:themeTint="F2"/>
          <w:sz w:val="24"/>
          <w:szCs w:val="24"/>
          <w:lang w:val="en-US"/>
        </w:rPr>
        <w:lastRenderedPageBreak/>
        <w:drawing>
          <wp:inline distT="0" distB="0" distL="0" distR="0" wp14:anchorId="13AB6BF1" wp14:editId="3258C502">
            <wp:extent cx="5274310" cy="7388860"/>
            <wp:effectExtent l="0" t="0" r="2540" b="2540"/>
            <wp:docPr id="89142123" name="Εικόνα 1" descr="Εικόνα που περιέχει κείμενο, διάγραμμα, στιγμιότυπο οθόνης, κύκλος&#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42123" name="Εικόνα 1" descr="Εικόνα που περιέχει κείμενο, διάγραμμα, στιγμιότυπο οθόνης, κύκλος&#10;&#10;Το περιεχόμενο που δημιουργείται από τεχνολογία AI ενδέχεται να είναι εσφαλμένο."/>
                    <pic:cNvPicPr/>
                  </pic:nvPicPr>
                  <pic:blipFill>
                    <a:blip r:embed="rId9"/>
                    <a:stretch>
                      <a:fillRect/>
                    </a:stretch>
                  </pic:blipFill>
                  <pic:spPr>
                    <a:xfrm>
                      <a:off x="0" y="0"/>
                      <a:ext cx="5274310" cy="7388860"/>
                    </a:xfrm>
                    <a:prstGeom prst="rect">
                      <a:avLst/>
                    </a:prstGeom>
                  </pic:spPr>
                </pic:pic>
              </a:graphicData>
            </a:graphic>
          </wp:inline>
        </w:drawing>
      </w:r>
    </w:p>
    <w:p w14:paraId="5C552632" w14:textId="5F54A945" w:rsidR="00BB3775" w:rsidRDefault="00BB3775" w:rsidP="00BB3775">
      <w:pPr>
        <w:pBdr>
          <w:top w:val="single" w:sz="4" w:space="1" w:color="auto"/>
        </w:pBdr>
        <w:spacing w:after="120"/>
        <w:rPr>
          <w:rFonts w:ascii="Arial" w:hAnsi="Arial" w:cs="Arial"/>
          <w:bCs/>
          <w:color w:val="0D0D0D" w:themeColor="text1" w:themeTint="F2"/>
          <w:sz w:val="18"/>
          <w:szCs w:val="18"/>
          <w:lang w:val="en-US"/>
        </w:rPr>
      </w:pPr>
      <w:r w:rsidRPr="00644CB1">
        <w:rPr>
          <w:rFonts w:ascii="Arial" w:hAnsi="Arial" w:cs="Arial"/>
          <w:b/>
          <w:color w:val="0D0D0D" w:themeColor="text1" w:themeTint="F2"/>
          <w:sz w:val="18"/>
          <w:szCs w:val="18"/>
          <w:lang w:val="en-US"/>
        </w:rPr>
        <w:t>Figure 1.</w:t>
      </w:r>
      <w:r w:rsidRPr="00644CB1">
        <w:rPr>
          <w:rFonts w:ascii="Arial" w:hAnsi="Arial" w:cs="Arial"/>
          <w:bCs/>
          <w:color w:val="0D0D0D" w:themeColor="text1" w:themeTint="F2"/>
          <w:sz w:val="18"/>
          <w:szCs w:val="18"/>
          <w:lang w:val="en-US"/>
        </w:rPr>
        <w:t xml:space="preserve"> The Unified Model of Event Management</w:t>
      </w:r>
      <w:r w:rsidR="00D54CDF" w:rsidRPr="00644CB1">
        <w:rPr>
          <w:rFonts w:ascii="Arial" w:hAnsi="Arial" w:cs="Arial"/>
          <w:bCs/>
          <w:color w:val="0D0D0D" w:themeColor="text1" w:themeTint="F2"/>
          <w:sz w:val="18"/>
          <w:szCs w:val="18"/>
          <w:lang w:val="en-US"/>
        </w:rPr>
        <w:t xml:space="preserve"> </w:t>
      </w:r>
      <w:r w:rsidR="00D54CDF" w:rsidRPr="00644CB1">
        <w:rPr>
          <w:rFonts w:ascii="Arial" w:hAnsi="Arial" w:cs="Arial"/>
          <w:bCs/>
          <w:color w:val="0D0D0D" w:themeColor="text1" w:themeTint="F2"/>
          <w:sz w:val="18"/>
          <w:szCs w:val="18"/>
          <w:lang w:val="en-US"/>
        </w:rPr>
        <w:fldChar w:fldCharType="begin" w:fldLock="1"/>
      </w:r>
      <w:r w:rsidR="00DC7A93" w:rsidRPr="00644CB1">
        <w:rPr>
          <w:rFonts w:ascii="Arial" w:hAnsi="Arial" w:cs="Arial"/>
          <w:bCs/>
          <w:color w:val="0D0D0D" w:themeColor="text1" w:themeTint="F2"/>
          <w:sz w:val="18"/>
          <w:szCs w:val="18"/>
          <w:lang w:val="en-US"/>
        </w:rPr>
        <w:instrText>ADDIN CSL_CITATION {"citationItems":[{"id":"ITEM-1","itemData":{"ISBN":"978-0-7506-5872-0","author":[{"dropping-particle":"","family":"Salem","given":"G.","non-dropping-particle":"","parse-names":false,"suffix":""},{"dropping-particle":"","family":"Jones","given":"E.","non-dropping-particle":"","parse-names":false,"suffix":""},{"dropping-particle":"","family":"Morgan","given":"N.","non-dropping-particle":"","parse-names":false,"suffix":""}],"container-title":"Festival and events management: an international arts and culture perspective","editor":[{"dropping-particle":"","family":"Yeoman","given":"I.","non-dropping-particle":"","parse-names":false,"suffix":""},{"dropping-particle":"","family":"Robertson","given":"M.","non-dropping-particle":"","parse-names":false,"suffix":""},{"dropping-particle":"","family":"Ali-Knight","given":"J.A.","non-dropping-particle":"","parse-names":false,"suffix":""},{"dropping-particle":"","family":"Drummond","given":"S.","non-dropping-particle":"","parse-names":false,"suffix":""},{"dropping-particle":"","family":"McMahon-Beattie","given":"U.","non-dropping-particle":"","parse-names":false,"suffix":""}],"id":"ITEM-1","issued":{"date-parts":[["2014"]]},"page":"14-31","publisher":"Elsevier Butterworth-Heinemann","publisher-place":"Boston, MA","title":"An overview of events management","type":"chapter"},"uris":["http://www.mendeley.com/documents/?uuid=74ce0dc2-1ee2-4d79-8055-f405e3731374"]}],"mendeley":{"formattedCitation":"[38]","plainTextFormattedCitation":"[38]","previouslyFormattedCitation":"[38]"},"properties":{"noteIndex":0},"schema":"https://github.com/citation-style-language/schema/raw/master/csl-citation.json"}</w:instrText>
      </w:r>
      <w:r w:rsidR="00D54CDF" w:rsidRPr="00644CB1">
        <w:rPr>
          <w:rFonts w:ascii="Arial" w:hAnsi="Arial" w:cs="Arial"/>
          <w:bCs/>
          <w:color w:val="0D0D0D" w:themeColor="text1" w:themeTint="F2"/>
          <w:sz w:val="18"/>
          <w:szCs w:val="18"/>
          <w:lang w:val="en-US"/>
        </w:rPr>
        <w:fldChar w:fldCharType="separate"/>
      </w:r>
      <w:r w:rsidR="00125D2D" w:rsidRPr="00644CB1">
        <w:rPr>
          <w:rFonts w:ascii="Arial" w:hAnsi="Arial" w:cs="Arial"/>
          <w:bCs/>
          <w:noProof/>
          <w:color w:val="0D0D0D" w:themeColor="text1" w:themeTint="F2"/>
          <w:sz w:val="18"/>
          <w:szCs w:val="18"/>
          <w:lang w:val="en-US"/>
        </w:rPr>
        <w:t>[38]</w:t>
      </w:r>
      <w:r w:rsidR="00D54CDF" w:rsidRPr="00644CB1">
        <w:rPr>
          <w:rFonts w:ascii="Arial" w:hAnsi="Arial" w:cs="Arial"/>
          <w:bCs/>
          <w:color w:val="0D0D0D" w:themeColor="text1" w:themeTint="F2"/>
          <w:sz w:val="18"/>
          <w:szCs w:val="18"/>
          <w:lang w:val="en-US"/>
        </w:rPr>
        <w:fldChar w:fldCharType="end"/>
      </w:r>
    </w:p>
    <w:p w14:paraId="7405B337" w14:textId="77777777" w:rsidR="0048445E" w:rsidRPr="00644CB1" w:rsidRDefault="0048445E" w:rsidP="0048445E">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The final phase, evaluation, as defined in the framework of Salem </w:t>
      </w:r>
      <w:r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fldChar w:fldCharType="begin" w:fldLock="1"/>
      </w:r>
      <w:r w:rsidRPr="00644CB1">
        <w:rPr>
          <w:rFonts w:ascii="Times New Roman" w:hAnsi="Times New Roman"/>
          <w:color w:val="0D0D0D" w:themeColor="text1" w:themeTint="F2"/>
          <w:lang w:val="en-US"/>
        </w:rPr>
        <w:instrText>ADDIN CSL_CITATION {"citationItems":[{"id":"ITEM-1","itemData":{"ISBN":"978-0-7506-5872-0","author":[{"dropping-particle":"","family":"Salem","given":"G.","non-dropping-particle":"","parse-names":false,"suffix":""},{"dropping-particle":"","family":"Jones","given":"E.","non-dropping-particle":"","parse-names":false,"suffix":""},{"dropping-particle":"","family":"Morgan","given":"N.","non-dropping-particle":"","parse-names":false,"suffix":""}],"container-title":"Festival and events management: an international arts and culture perspective","editor":[{"dropping-particle":"","family":"Yeoman","given":"I.","non-dropping-particle":"","parse-names":false,"suffix":""},{"dropping-particle":"","family":"Robertson","given":"M.","non-dropping-particle":"","parse-names":false,"suffix":""},{"dropping-particle":"","family":"Ali-Knight","given":"J.A.","non-dropping-particle":"","parse-names":false,"suffix":""},{"dropping-particle":"","family":"Drummond","given":"S.","non-dropping-particle":"","parse-names":false,"suffix":""},{"dropping-particle":"","family":"McMahon-Beattie","given":"U.","non-dropping-particle":"","parse-names":false,"suffix":""}],"id":"ITEM-1","issued":{"date-parts":[["2014"]]},"page":"14-31","publisher":"Elsevier Butterworth-Heinemann","publisher-place":"Boston, MA","title":"An overview of events management","type":"chapter"},"uris":["http://www.mendeley.com/documents/?uuid=74ce0dc2-1ee2-4d79-8055-f405e3731374"]}],"mendeley":{"formattedCitation":"[38]","plainTextFormattedCitation":"[38]","previouslyFormattedCitation":"[38]"},"properties":{"noteIndex":0},"schema":"https://github.com/citation-style-language/schema/raw/master/csl-citation.json"}</w:instrText>
      </w:r>
      <w:r w:rsidRPr="00644CB1">
        <w:rPr>
          <w:rFonts w:ascii="Times New Roman" w:hAnsi="Times New Roman"/>
          <w:color w:val="0D0D0D" w:themeColor="text1" w:themeTint="F2"/>
          <w:lang w:val="en-US"/>
        </w:rPr>
        <w:fldChar w:fldCharType="separate"/>
      </w:r>
      <w:r w:rsidRPr="00644CB1">
        <w:rPr>
          <w:rFonts w:ascii="Times New Roman" w:hAnsi="Times New Roman"/>
          <w:noProof/>
          <w:color w:val="0D0D0D" w:themeColor="text1" w:themeTint="F2"/>
          <w:lang w:val="en-US"/>
        </w:rPr>
        <w:t>[38]</w:t>
      </w:r>
      <w:r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involves a systematic assessment of the event’s impact, effectiveness, and overall value. This process includes the collection and analysis of relevant data to generate meaningful feedback for future improvements </w:t>
      </w:r>
      <w:r w:rsidRPr="00644CB1">
        <w:rPr>
          <w:rFonts w:ascii="Times New Roman" w:hAnsi="Times New Roman"/>
          <w:color w:val="0D0D0D" w:themeColor="text1" w:themeTint="F2"/>
          <w:lang w:val="en-US"/>
        </w:rPr>
        <w:fldChar w:fldCharType="begin" w:fldLock="1"/>
      </w:r>
      <w:r w:rsidRPr="00644CB1">
        <w:rPr>
          <w:rFonts w:ascii="Times New Roman" w:hAnsi="Times New Roman"/>
          <w:color w:val="0D0D0D" w:themeColor="text1" w:themeTint="F2"/>
          <w:lang w:val="en-US"/>
        </w:rPr>
        <w:instrText>ADDIN CSL_CITATION {"citationItems":[{"id":"ITEM-1","itemData":{"DOI":"10.1108/IJEFM-03-2015-0014","ISSN":"17582962","abstract":"Purpose – The purpose of this paper is to define event evaluation, develop a conceptual model of its process and elements, review pertinent literature, and draw conclusions pertaining both to the discourse on evaluation and its praxis. Design/methodology/approach – General review of literature and development of a conceptual model of the evaluation process. Findings – The review suggests that impact assessments have dominated, but are only one type of evaluation; research and papers on evaluating the worth of events has been minimal, while those on the evaluation of various management and marketing functions is fragmented. Research limitations/implications – It is concluded that little has been written about evaluation paradigms and systems, although the discourse on sustainability and triple bottom line accountability has led to a greater emphasis on non-economic considerations. Originality/value – The conceptual model of the evaluation process and its components offers a systematic approach to shaping evaluation discourse and methods. Conclusions are drawn on how to advance evaluation research and methods applied to events.","author":[{"dropping-particle":"","family":"Brown","given":"Steve","non-dropping-particle":"","parse-names":false,"suffix":""},{"dropping-particle":"","family":"Getz","given":"Donald","non-dropping-particle":"","parse-names":false,"suffix":""},{"dropping-particle":"","family":"Pettersson","given":"Robert","non-dropping-particle":"","parse-names":false,"suffix":""},{"dropping-particle":"","family":"Wallstam","given":"Martin","non-dropping-particle":"","parse-names":false,"suffix":""}],"container-title":"International Journal of Event and Festival Management","id":"ITEM-1","issue":"2","issued":{"date-parts":[["2015"]]},"page":"135-157","title":"Event evaluation: Definitions, concepts and a state of the art review","type":"article-journal","volume":"6"},"uris":["http://www.mendeley.com/documents/?uuid=e160619a-94a6-4111-9686-74bb902b4634"]}],"mendeley":{"formattedCitation":"[44]","plainTextFormattedCitation":"[44]","previouslyFormattedCitation":"[44]"},"properties":{"noteIndex":0},"schema":"https://github.com/citation-style-language/schema/raw/master/csl-citation.json"}</w:instrText>
      </w:r>
      <w:r w:rsidRPr="00644CB1">
        <w:rPr>
          <w:rFonts w:ascii="Times New Roman" w:hAnsi="Times New Roman"/>
          <w:color w:val="0D0D0D" w:themeColor="text1" w:themeTint="F2"/>
          <w:lang w:val="en-US"/>
        </w:rPr>
        <w:fldChar w:fldCharType="separate"/>
      </w:r>
      <w:r w:rsidRPr="00644CB1">
        <w:rPr>
          <w:rFonts w:ascii="Times New Roman" w:hAnsi="Times New Roman"/>
          <w:noProof/>
          <w:color w:val="0D0D0D" w:themeColor="text1" w:themeTint="F2"/>
          <w:lang w:val="en-US"/>
        </w:rPr>
        <w:t>[44]</w:t>
      </w:r>
      <w:r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w:t>
      </w:r>
    </w:p>
    <w:p w14:paraId="20170EBC" w14:textId="07089855" w:rsidR="00C2220C" w:rsidRPr="00644CB1" w:rsidRDefault="00C2220C" w:rsidP="00C2220C">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While the Unified Model of Event Management </w:t>
      </w:r>
      <w:r w:rsidRPr="00644CB1">
        <w:rPr>
          <w:rFonts w:ascii="Times New Roman" w:hAnsi="Times New Roman"/>
          <w:color w:val="0D0D0D" w:themeColor="text1" w:themeTint="F2"/>
          <w:lang w:val="en-US"/>
        </w:rPr>
        <w:fldChar w:fldCharType="begin" w:fldLock="1"/>
      </w:r>
      <w:r w:rsidRPr="00644CB1">
        <w:rPr>
          <w:rFonts w:ascii="Times New Roman" w:hAnsi="Times New Roman"/>
          <w:color w:val="0D0D0D" w:themeColor="text1" w:themeTint="F2"/>
          <w:lang w:val="en-US"/>
        </w:rPr>
        <w:instrText>ADDIN CSL_CITATION {"citationItems":[{"id":"ITEM-1","itemData":{"ISBN":"978-0-7506-5872-0","author":[{"dropping-particle":"","family":"Salem","given":"G.","non-dropping-particle":"","parse-names":false,"suffix":""},{"dropping-particle":"","family":"Jones","given":"E.","non-dropping-particle":"","parse-names":false,"suffix":""},{"dropping-particle":"","family":"Morgan","given":"N.","non-dropping-particle":"","parse-names":false,"suffix":""}],"container-title":"Festival and events management: an international arts and culture perspective","editor":[{"dropping-particle":"","family":"Yeoman","given":"I.","non-dropping-particle":"","parse-names":false,"suffix":""},{"dropping-particle":"","family":"Robertson","given":"M.","non-dropping-particle":"","parse-names":false,"suffix":""},{"dropping-particle":"","family":"Ali-Knight","given":"J.A.","non-dropping-particle":"","parse-names":false,"suffix":""},{"dropping-particle":"","family":"Drummond","given":"S.","non-dropping-particle":"","parse-names":false,"suffix":""},{"dropping-particle":"","family":"McMahon-Beattie","given":"U.","non-dropping-particle":"","parse-names":false,"suffix":""}],"id":"ITEM-1","issued":{"date-parts":[["2014"]]},"page":"14-31","publisher":"Elsevier Butterworth-Heinemann","publisher-place":"Boston, MA","title":"An overview of events management","type":"chapter"},"uris":["http://www.mendeley.com/documents/?uuid=74ce0dc2-1ee2-4d79-8055-f405e3731374"]}],"mendeley":{"formattedCitation":"[38]","plainTextFormattedCitation":"[38]","previouslyFormattedCitation":"[38]"},"properties":{"noteIndex":0},"schema":"https://github.com/citation-style-language/schema/raw/master/csl-citation.json"}</w:instrText>
      </w:r>
      <w:r w:rsidRPr="00644CB1">
        <w:rPr>
          <w:rFonts w:ascii="Times New Roman" w:hAnsi="Times New Roman"/>
          <w:color w:val="0D0D0D" w:themeColor="text1" w:themeTint="F2"/>
          <w:lang w:val="en-US"/>
        </w:rPr>
        <w:fldChar w:fldCharType="separate"/>
      </w:r>
      <w:r w:rsidRPr="00644CB1">
        <w:rPr>
          <w:rFonts w:ascii="Times New Roman" w:hAnsi="Times New Roman"/>
          <w:noProof/>
          <w:color w:val="0D0D0D" w:themeColor="text1" w:themeTint="F2"/>
          <w:lang w:val="en-US"/>
        </w:rPr>
        <w:t>[38]</w:t>
      </w:r>
      <w:r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provides a comprehensive framework for understanding event organization processes, the literature lacks empirical evidence on how these management principles can be effectively taught and learned through digital simulation environments. Traditional sport event management education relies heavily on theoretical </w:t>
      </w:r>
      <w:r w:rsidRPr="00644CB1">
        <w:rPr>
          <w:rFonts w:ascii="Times New Roman" w:hAnsi="Times New Roman"/>
          <w:color w:val="0D0D0D" w:themeColor="text1" w:themeTint="F2"/>
          <w:lang w:val="en-US"/>
        </w:rPr>
        <w:lastRenderedPageBreak/>
        <w:t xml:space="preserve">instruction and limited real-world opportunities, creating a pedagogical gap between conceptual understanding and practical application. This gap becomes more pronounced when considering that the complex, multi-phase nature of event management - from decision-making through evaluation - aligns perfectly with the structured, goal-oriented environment that SGs provide </w:t>
      </w:r>
      <w:r w:rsidRPr="00644CB1">
        <w:rPr>
          <w:rFonts w:ascii="Times New Roman" w:hAnsi="Times New Roman"/>
          <w:color w:val="0D0D0D" w:themeColor="text1" w:themeTint="F2"/>
          <w:lang w:val="en-US"/>
        </w:rPr>
        <w:fldChar w:fldCharType="begin" w:fldLock="1"/>
      </w:r>
      <w:r w:rsidRPr="00644CB1">
        <w:rPr>
          <w:rFonts w:ascii="Times New Roman" w:hAnsi="Times New Roman"/>
          <w:color w:val="0D0D0D" w:themeColor="text1" w:themeTint="F2"/>
          <w:lang w:val="en-US"/>
        </w:rPr>
        <w:instrText>ADDIN CSL_CITATION {"citationItems":[{"id":"ITEM-1","itemData":{"ISBN":"1101467150","author":[{"dropping-particle":"","family":"McGonigal","given":"Jane","non-dropping-particle":"","parse-names":false,"suffix":""}],"id":"ITEM-1","issued":{"date-parts":[["2011"]]},"publisher":"The Penguin Press","publisher-place":"New York","title":"Reality is broken: Why games make us better and how they can change the world","type":"book"},"uris":["http://www.mendeley.com/documents/?uuid=2ad91220-421a-42af-9223-6a8323d93d82"]}],"mendeley":{"formattedCitation":"[6]","plainTextFormattedCitation":"[6]","previouslyFormattedCitation":"[6]"},"properties":{"noteIndex":0},"schema":"https://github.com/citation-style-language/schema/raw/master/csl-citation.json"}</w:instrText>
      </w:r>
      <w:r w:rsidRPr="00644CB1">
        <w:rPr>
          <w:rFonts w:ascii="Times New Roman" w:hAnsi="Times New Roman"/>
          <w:color w:val="0D0D0D" w:themeColor="text1" w:themeTint="F2"/>
          <w:lang w:val="en-US"/>
        </w:rPr>
        <w:fldChar w:fldCharType="separate"/>
      </w:r>
      <w:r w:rsidRPr="00644CB1">
        <w:rPr>
          <w:rFonts w:ascii="Times New Roman" w:hAnsi="Times New Roman"/>
          <w:noProof/>
          <w:color w:val="0D0D0D" w:themeColor="text1" w:themeTint="F2"/>
          <w:lang w:val="en-US"/>
        </w:rPr>
        <w:t>[6]</w:t>
      </w:r>
      <w:r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However, no studies have systematically examined how commercial serious games can be integrated with established event management frameworks to create effective hybrid learning experiences.</w:t>
      </w:r>
    </w:p>
    <w:p w14:paraId="23EE7FA9" w14:textId="18AA1BC5" w:rsidR="00886A02" w:rsidRPr="00644CB1" w:rsidRDefault="73E6831A" w:rsidP="002935B1">
      <w:pPr>
        <w:pStyle w:val="2"/>
        <w:numPr>
          <w:ilvl w:val="1"/>
          <w:numId w:val="7"/>
        </w:numPr>
        <w:ind w:left="567" w:hanging="567"/>
        <w:rPr>
          <w:color w:val="0D0D0D" w:themeColor="text1" w:themeTint="F2"/>
        </w:rPr>
      </w:pPr>
      <w:r w:rsidRPr="00644CB1">
        <w:rPr>
          <w:color w:val="0D0D0D" w:themeColor="text1" w:themeTint="F2"/>
          <w:lang w:val="it-IT"/>
        </w:rPr>
        <w:t>Scenario based education framework</w:t>
      </w:r>
    </w:p>
    <w:p w14:paraId="0F20AB00" w14:textId="3F7E936F" w:rsidR="00AD141D" w:rsidRPr="00644CB1" w:rsidRDefault="00C27D27" w:rsidP="00AD141D">
      <w:pPr>
        <w:spacing w:line="264" w:lineRule="auto"/>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According </w:t>
      </w:r>
      <w:r w:rsidR="00E25220" w:rsidRPr="00644CB1">
        <w:rPr>
          <w:rFonts w:ascii="Times New Roman" w:hAnsi="Times New Roman"/>
          <w:color w:val="0D0D0D" w:themeColor="text1" w:themeTint="F2"/>
          <w:lang w:val="en-US"/>
        </w:rPr>
        <w:t xml:space="preserve">to the Scenario-Based Education Framework, developed by Misfeldt </w:t>
      </w:r>
      <w:r w:rsidR="007942BB" w:rsidRPr="00644CB1">
        <w:rPr>
          <w:rFonts w:ascii="Times New Roman" w:hAnsi="Times New Roman"/>
          <w:color w:val="0D0D0D" w:themeColor="text1" w:themeTint="F2"/>
          <w:lang w:val="en-US"/>
        </w:rPr>
        <w:fldChar w:fldCharType="begin" w:fldLock="1"/>
      </w:r>
      <w:r w:rsidR="00142EF1" w:rsidRPr="00644CB1">
        <w:rPr>
          <w:rFonts w:ascii="Times New Roman" w:hAnsi="Times New Roman"/>
          <w:color w:val="0D0D0D" w:themeColor="text1" w:themeTint="F2"/>
          <w:lang w:val="en-US"/>
        </w:rPr>
        <w:instrText>ADDIN CSL_CITATION {"citationItems":[{"id":"ITEM-1","itemData":{"ISSN":"14794403","abstract":"In this paper I describe s how students use a project management simulation game based on an attack-defense mechanism where two teams of players compete by challenging each other’s projects. The project management simulation game is intended to be played by pre-service construction workers and engineers. The gameplay has two parts: a planning part, where the player make managerial decisions about his construction site, and a challenge part where the player chooses between typical problems to occur on the opponent’s construction site. Playing the game involves analyzing both your own and you opponent’s building project for weak spots. The intention of the project management simulation game, is to provide students with an increased sensitivity towards the relation between planning and reality in complex construction projects. The project management simulation game can be interpreted both as a competitive game and as a simulation. Both of these views are meaningful and can be seen as supporting learning. Emphasizing the simulation aspect let us explain how students learn by being immersed into a simulated world, where the players identify with specific roles, live out specific situations, and experiment with relevant parameters. Emphasizing the competition game aspect we can see how play and competition allow players to experience intrinsic motivation and engagement, as well as thinking strategically about their choices, and hence put attention towards all the things that can go wrong in construction work. The goal of the paper is to investigate empirically how these two understandings influence game experience and learning outcome. This question is approached by qualitative post-game interviews about the experienced fun, competition and realism. Specific attention is given to how the understandings of the experience (for instance as a game and as a simulation) is entangled when the students describe their experience. Using the concepts frame and domain it is analyzed how the students conceptualize and make meaning of the particular educational scenario manifested by the project management simulation game. We take as an outset that students interpret the situations in the project management simulation game as relating to one or several domains, especially the domains competition and simulation. Results suggest that the views of the scenario as a competition and as a simulation do coexist, and that these views merge in a subtle way. The players consider the…","author":[{"dropping-particle":"","family":"Misfeldt","given":"Morten","non-dropping-particle":"","parse-names":false,"suffix":""}],"container-title":"Electronic Journal of e-Learning","id":"ITEM-1","issue":"3","issued":{"date-parts":[["2015"]]},"page":"181-191","title":"Scenario based education as a framework for understanding students engagement and learning in a project management simulation game","type":"article-journal","volume":"13"},"locator":"183","suppress-author":1,"uris":["http://www.mendeley.com/documents/?uuid=092313e4-c29d-4f9b-b151-b70746c3b863"]}],"mendeley":{"formattedCitation":"[45, p. 183]","plainTextFormattedCitation":"[45, p. 183]","previouslyFormattedCitation":"[45, p. 183]"},"properties":{"noteIndex":0},"schema":"https://github.com/citation-style-language/schema/raw/master/csl-citation.json"}</w:instrText>
      </w:r>
      <w:r w:rsidR="007942BB" w:rsidRPr="00644CB1">
        <w:rPr>
          <w:rFonts w:ascii="Times New Roman" w:hAnsi="Times New Roman"/>
          <w:color w:val="0D0D0D" w:themeColor="text1" w:themeTint="F2"/>
          <w:lang w:val="en-US"/>
        </w:rPr>
        <w:fldChar w:fldCharType="separate"/>
      </w:r>
      <w:r w:rsidR="007942BB" w:rsidRPr="00644CB1">
        <w:rPr>
          <w:rFonts w:ascii="Times New Roman" w:hAnsi="Times New Roman"/>
          <w:noProof/>
          <w:color w:val="0D0D0D" w:themeColor="text1" w:themeTint="F2"/>
          <w:lang w:val="en-US"/>
        </w:rPr>
        <w:t>[45, p. 183]</w:t>
      </w:r>
      <w:r w:rsidR="007942BB" w:rsidRPr="00644CB1">
        <w:rPr>
          <w:rFonts w:ascii="Times New Roman" w:hAnsi="Times New Roman"/>
          <w:color w:val="0D0D0D" w:themeColor="text1" w:themeTint="F2"/>
          <w:lang w:val="en-US"/>
        </w:rPr>
        <w:fldChar w:fldCharType="end"/>
      </w:r>
      <w:r w:rsidR="00E25220" w:rsidRPr="00644CB1">
        <w:rPr>
          <w:rFonts w:ascii="Times New Roman" w:hAnsi="Times New Roman"/>
          <w:color w:val="0D0D0D" w:themeColor="text1" w:themeTint="F2"/>
          <w:lang w:val="en-US"/>
        </w:rPr>
        <w:t xml:space="preserve">, “The scenario can be framed as a teaching situation …” and “… it can be framed as a simulation (that resembles a situation that it is important to master).” This educational approach, as adapted by </w:t>
      </w:r>
      <w:proofErr w:type="spellStart"/>
      <w:r w:rsidR="00E25220" w:rsidRPr="00644CB1">
        <w:rPr>
          <w:rFonts w:ascii="Times New Roman" w:hAnsi="Times New Roman"/>
          <w:color w:val="0D0D0D" w:themeColor="text1" w:themeTint="F2"/>
          <w:lang w:val="en-US"/>
        </w:rPr>
        <w:t>Afthinos</w:t>
      </w:r>
      <w:proofErr w:type="spellEnd"/>
      <w:r w:rsidR="00E25220" w:rsidRPr="00644CB1">
        <w:rPr>
          <w:rFonts w:ascii="Times New Roman" w:hAnsi="Times New Roman"/>
          <w:color w:val="0D0D0D" w:themeColor="text1" w:themeTint="F2"/>
          <w:lang w:val="en-US"/>
        </w:rPr>
        <w:t xml:space="preserve"> </w:t>
      </w:r>
      <w:r w:rsidR="00E12378" w:rsidRPr="00644CB1">
        <w:rPr>
          <w:rFonts w:ascii="Times New Roman" w:hAnsi="Times New Roman"/>
          <w:i/>
          <w:color w:val="0D0D0D" w:themeColor="text1" w:themeTint="F2"/>
          <w:lang w:val="en-US"/>
        </w:rPr>
        <w:t>et al.</w:t>
      </w:r>
      <w:r w:rsidR="00E25220" w:rsidRPr="00644CB1">
        <w:rPr>
          <w:rFonts w:ascii="Times New Roman" w:hAnsi="Times New Roman"/>
          <w:color w:val="0D0D0D" w:themeColor="text1" w:themeTint="F2"/>
          <w:lang w:val="en-US"/>
        </w:rPr>
        <w:t xml:space="preserve"> </w:t>
      </w:r>
      <w:r w:rsidR="00142EF1" w:rsidRPr="00644CB1">
        <w:rPr>
          <w:rFonts w:ascii="Times New Roman" w:hAnsi="Times New Roman"/>
          <w:color w:val="0D0D0D" w:themeColor="text1" w:themeTint="F2"/>
          <w:lang w:val="en-US"/>
        </w:rPr>
        <w:fldChar w:fldCharType="begin" w:fldLock="1"/>
      </w:r>
      <w:r w:rsidR="008A4019" w:rsidRPr="00644CB1">
        <w:rPr>
          <w:rFonts w:ascii="Times New Roman" w:hAnsi="Times New Roman"/>
          <w:color w:val="0D0D0D" w:themeColor="text1" w:themeTint="F2"/>
          <w:lang w:val="en-US"/>
        </w:rPr>
        <w:instrText>ADDIN CSL_CITATION {"citationItems":[{"id":"ITEM-1","itemData":{"DOI":"10.1007/s10758-021-09573-8","ISBN":"0123456789","ISSN":"22111670","abstract":"The aim of this study is to examine whether students of a sport management undergraduate course can gain knowledge in the management of a professional soccer club, by participating in a commercial serious game. Serious is considered the cyber game that its purpose exceeds entertainment. For this case study, the serious sport club management game was “Top Eleven”. The theoretical model that this study was based on, is Misfeldt’s “scenarios based learning” for the transformation of a serious game into an educational means. It includes dimensions that cover part of the sport management class content in the National and Kapodistrian University of Athens, School of Physical Education and Sport Science. The transformation consisted of educational scenarios vested to the serious game, in order to add educational parameters to its basic elements with the purpose to relate further to the sport management class. The application showed that Top Eleven covers adequately Misfeldt’s model dimensions; therefore it can be used as an educational tool. Furthermore, an evaluation of the class gamification was conducted by the participating students (n = 62). The data collected showed that the majority of the students (f = 61, 98.4%) agreed that the participation in the serious game was “helpful” to their sport management class education process. They further agreed that they gained “very” or “very much” knowledge related to the management of a professional soccer club (f = 41, 66.1%) and that 59.7% (f = 37) of them would choose to work in a position of “sport club manager” as a result of the experience they gained by participating in the serious game.","author":[{"dropping-particle":"","family":"Afthinos","given":"Yanni","non-dropping-particle":"","parse-names":false,"suffix":""},{"dropping-particle":"","family":"Kiaffas","given":"Zacharias","non-dropping-particle":"","parse-names":false,"suffix":""},{"dropping-particle":"","family":"Afthinos","given":"Theofilos","non-dropping-particle":"","parse-names":false,"suffix":""}],"container-title":"Technology, Knowledge and Learning","id":"ITEM-1","issue":"1","issued":{"date-parts":[["2022"]]},"page":"255-273","publisher":"Springer Netherlands","title":"The Serious Game “Top Eleven” as an Educational Simulation Platform for Acquiring Knowledge and Skills in the Management of Sports Clubs","type":"article-journal","volume":"27"},"uris":["http://www.mendeley.com/documents/?uuid=30dcf59c-a82e-4fef-8228-412cc63cdcc0"]}],"mendeley":{"formattedCitation":"[10]","plainTextFormattedCitation":"[10]","previouslyFormattedCitation":"[10]"},"properties":{"noteIndex":0},"schema":"https://github.com/citation-style-language/schema/raw/master/csl-citation.json"}</w:instrText>
      </w:r>
      <w:r w:rsidR="00142EF1" w:rsidRPr="00644CB1">
        <w:rPr>
          <w:rFonts w:ascii="Times New Roman" w:hAnsi="Times New Roman"/>
          <w:color w:val="0D0D0D" w:themeColor="text1" w:themeTint="F2"/>
          <w:lang w:val="en-US"/>
        </w:rPr>
        <w:fldChar w:fldCharType="separate"/>
      </w:r>
      <w:r w:rsidR="00142EF1" w:rsidRPr="00644CB1">
        <w:rPr>
          <w:rFonts w:ascii="Times New Roman" w:hAnsi="Times New Roman"/>
          <w:noProof/>
          <w:color w:val="0D0D0D" w:themeColor="text1" w:themeTint="F2"/>
          <w:lang w:val="en-US"/>
        </w:rPr>
        <w:t>[10]</w:t>
      </w:r>
      <w:r w:rsidR="00142EF1" w:rsidRPr="00644CB1">
        <w:rPr>
          <w:rFonts w:ascii="Times New Roman" w:hAnsi="Times New Roman"/>
          <w:color w:val="0D0D0D" w:themeColor="text1" w:themeTint="F2"/>
          <w:lang w:val="en-US"/>
        </w:rPr>
        <w:fldChar w:fldCharType="end"/>
      </w:r>
      <w:r w:rsidR="00E25220" w:rsidRPr="00644CB1">
        <w:rPr>
          <w:rFonts w:ascii="Times New Roman" w:hAnsi="Times New Roman"/>
          <w:color w:val="0D0D0D" w:themeColor="text1" w:themeTint="F2"/>
          <w:lang w:val="en-US"/>
        </w:rPr>
        <w:t xml:space="preserve">, allows students to engage in specific tasks, develop projects, make decisions, and address management-related challenges, thereby acquiring knowledge, enhancing their skills, and gaining practical experience </w:t>
      </w:r>
      <w:r w:rsidR="008A4019" w:rsidRPr="00644CB1">
        <w:rPr>
          <w:rFonts w:ascii="Times New Roman" w:hAnsi="Times New Roman"/>
          <w:color w:val="0D0D0D" w:themeColor="text1" w:themeTint="F2"/>
          <w:lang w:val="en-US"/>
        </w:rPr>
        <w:fldChar w:fldCharType="begin" w:fldLock="1"/>
      </w:r>
      <w:r w:rsidR="00FD0AED" w:rsidRPr="00644CB1">
        <w:rPr>
          <w:rFonts w:ascii="Times New Roman" w:hAnsi="Times New Roman"/>
          <w:color w:val="0D0D0D" w:themeColor="text1" w:themeTint="F2"/>
          <w:lang w:val="en-US"/>
        </w:rPr>
        <w:instrText>ADDIN CSL_CITATION {"citationItems":[{"id":"ITEM-1","itemData":{"ISSN":"14794403","abstract":"In this paper I describe s how students use a project management simulation game based on an attack-defense mechanism where two teams of players compete by challenging each other’s projects. The project management simulation game is intended to be played by pre-service construction workers and engineers. The gameplay has two parts: a planning part, where the player make managerial decisions about his construction site, and a challenge part where the player chooses between typical problems to occur on the opponent’s construction site. Playing the game involves analyzing both your own and you opponent’s building project for weak spots. The intention of the project management simulation game, is to provide students with an increased sensitivity towards the relation between planning and reality in complex construction projects. The project management simulation game can be interpreted both as a competitive game and as a simulation. Both of these views are meaningful and can be seen as supporting learning. Emphasizing the simulation aspect let us explain how students learn by being immersed into a simulated world, where the players identify with specific roles, live out specific situations, and experiment with relevant parameters. Emphasizing the competition game aspect we can see how play and competition allow players to experience intrinsic motivation and engagement, as well as thinking strategically about their choices, and hence put attention towards all the things that can go wrong in construction work. The goal of the paper is to investigate empirically how these two understandings influence game experience and learning outcome. This question is approached by qualitative post-game interviews about the experienced fun, competition and realism. Specific attention is given to how the understandings of the experience (for instance as a game and as a simulation) is entangled when the students describe their experience. Using the concepts frame and domain it is analyzed how the students conceptualize and make meaning of the particular educational scenario manifested by the project management simulation game. We take as an outset that students interpret the situations in the project management simulation game as relating to one or several domains, especially the domains competition and simulation. Results suggest that the views of the scenario as a competition and as a simulation do coexist, and that these views merge in a subtle way. The players consider the…","author":[{"dropping-particle":"","family":"Misfeldt","given":"Morten","non-dropping-particle":"","parse-names":false,"suffix":""}],"container-title":"Electronic Journal of e-Learning","id":"ITEM-1","issue":"3","issued":{"date-parts":[["2015"]]},"page":"181-191","title":"Scenario based education as a framework for understanding students engagement and learning in a project management simulation game","type":"article-journal","volume":"13"},"uris":["http://www.mendeley.com/documents/?uuid=092313e4-c29d-4f9b-b151-b70746c3b863"]}],"mendeley":{"formattedCitation":"[45]","plainTextFormattedCitation":"[45]","previouslyFormattedCitation":"[45]"},"properties":{"noteIndex":0},"schema":"https://github.com/citation-style-language/schema/raw/master/csl-citation.json"}</w:instrText>
      </w:r>
      <w:r w:rsidR="008A4019" w:rsidRPr="00644CB1">
        <w:rPr>
          <w:rFonts w:ascii="Times New Roman" w:hAnsi="Times New Roman"/>
          <w:color w:val="0D0D0D" w:themeColor="text1" w:themeTint="F2"/>
          <w:lang w:val="en-US"/>
        </w:rPr>
        <w:fldChar w:fldCharType="separate"/>
      </w:r>
      <w:r w:rsidR="008A4019" w:rsidRPr="00644CB1">
        <w:rPr>
          <w:rFonts w:ascii="Times New Roman" w:hAnsi="Times New Roman"/>
          <w:noProof/>
          <w:color w:val="0D0D0D" w:themeColor="text1" w:themeTint="F2"/>
          <w:lang w:val="en-US"/>
        </w:rPr>
        <w:t>[45]</w:t>
      </w:r>
      <w:r w:rsidR="008A4019" w:rsidRPr="00644CB1">
        <w:rPr>
          <w:rFonts w:ascii="Times New Roman" w:hAnsi="Times New Roman"/>
          <w:color w:val="0D0D0D" w:themeColor="text1" w:themeTint="F2"/>
          <w:lang w:val="en-US"/>
        </w:rPr>
        <w:fldChar w:fldCharType="end"/>
      </w:r>
      <w:r w:rsidR="00E25220" w:rsidRPr="00644CB1">
        <w:rPr>
          <w:rFonts w:ascii="Times New Roman" w:hAnsi="Times New Roman"/>
          <w:color w:val="0D0D0D" w:themeColor="text1" w:themeTint="F2"/>
          <w:lang w:val="en-US"/>
        </w:rPr>
        <w:t xml:space="preserve">. The application of the serious game Top Eleven as an educational tool for sport event management is based on a series of structured educational scenarios, designed to achieve specific learning objectives, as outlined by </w:t>
      </w:r>
      <w:proofErr w:type="spellStart"/>
      <w:r w:rsidR="00E25220" w:rsidRPr="00644CB1">
        <w:rPr>
          <w:rFonts w:ascii="Times New Roman" w:hAnsi="Times New Roman"/>
          <w:color w:val="0D0D0D" w:themeColor="text1" w:themeTint="F2"/>
          <w:lang w:val="en-US"/>
        </w:rPr>
        <w:t>Afthinos</w:t>
      </w:r>
      <w:proofErr w:type="spellEnd"/>
      <w:r w:rsidR="00E25220" w:rsidRPr="00644CB1">
        <w:rPr>
          <w:rFonts w:ascii="Times New Roman" w:hAnsi="Times New Roman"/>
          <w:color w:val="0D0D0D" w:themeColor="text1" w:themeTint="F2"/>
          <w:lang w:val="en-US"/>
        </w:rPr>
        <w:t xml:space="preserve"> </w:t>
      </w:r>
      <w:r w:rsidR="00E12378" w:rsidRPr="00644CB1">
        <w:rPr>
          <w:rFonts w:ascii="Times New Roman" w:hAnsi="Times New Roman"/>
          <w:i/>
          <w:color w:val="0D0D0D" w:themeColor="text1" w:themeTint="F2"/>
          <w:lang w:val="en-US"/>
        </w:rPr>
        <w:t>et al.</w:t>
      </w:r>
      <w:r w:rsidR="00E25220" w:rsidRPr="00644CB1">
        <w:rPr>
          <w:rFonts w:ascii="Times New Roman" w:hAnsi="Times New Roman"/>
          <w:color w:val="0D0D0D" w:themeColor="text1" w:themeTint="F2"/>
          <w:lang w:val="en-US"/>
        </w:rPr>
        <w:t xml:space="preserve"> </w:t>
      </w:r>
      <w:r w:rsidR="00771054" w:rsidRPr="00644CB1">
        <w:rPr>
          <w:rFonts w:ascii="Times New Roman" w:hAnsi="Times New Roman"/>
          <w:color w:val="0D0D0D" w:themeColor="text1" w:themeTint="F2"/>
          <w:lang w:val="en-US"/>
        </w:rPr>
        <w:fldChar w:fldCharType="begin" w:fldLock="1"/>
      </w:r>
      <w:r w:rsidR="00771054" w:rsidRPr="00644CB1">
        <w:rPr>
          <w:rFonts w:ascii="Times New Roman" w:hAnsi="Times New Roman"/>
          <w:color w:val="0D0D0D" w:themeColor="text1" w:themeTint="F2"/>
          <w:lang w:val="en-US"/>
        </w:rPr>
        <w:instrText>ADDIN CSL_CITATION {"citationItems":[{"id":"ITEM-1","itemData":{"DOI":"10.1007/s10758-021-09573-8","ISBN":"0123456789","ISSN":"22111670","abstract":"The aim of this study is to examine whether students of a sport management undergraduate course can gain knowledge in the management of a professional soccer club, by participating in a commercial serious game. Serious is considered the cyber game that its purpose exceeds entertainment. For this case study, the serious sport club management game was “Top Eleven”. The theoretical model that this study was based on, is Misfeldt’s “scenarios based learning” for the transformation of a serious game into an educational means. It includes dimensions that cover part of the sport management class content in the National and Kapodistrian University of Athens, School of Physical Education and Sport Science. The transformation consisted of educational scenarios vested to the serious game, in order to add educational parameters to its basic elements with the purpose to relate further to the sport management class. The application showed that Top Eleven covers adequately Misfeldt’s model dimensions; therefore it can be used as an educational tool. Furthermore, an evaluation of the class gamification was conducted by the participating students (n = 62). The data collected showed that the majority of the students (f = 61, 98.4%) agreed that the participation in the serious game was “helpful” to their sport management class education process. They further agreed that they gained “very” or “very much” knowledge related to the management of a professional soccer club (f = 41, 66.1%) and that 59.7% (f = 37) of them would choose to work in a position of “sport club manager” as a result of the experience they gained by participating in the serious game.","author":[{"dropping-particle":"","family":"Afthinos","given":"Yanni","non-dropping-particle":"","parse-names":false,"suffix":""},{"dropping-particle":"","family":"Kiaffas","given":"Zacharias","non-dropping-particle":"","parse-names":false,"suffix":""},{"dropping-particle":"","family":"Afthinos","given":"Theofilos","non-dropping-particle":"","parse-names":false,"suffix":""}],"container-title":"Technology, Knowledge and Learning","id":"ITEM-1","issue":"1","issued":{"date-parts":[["2022"]]},"page":"255-273","publisher":"Springer Netherlands","title":"The Serious Game “Top Eleven” as an Educational Simulation Platform for Acquiring Knowledge and Skills in the Management of Sports Clubs","type":"article-journal","volume":"27"},"uris":["http://www.mendeley.com/documents/?uuid=30dcf59c-a82e-4fef-8228-412cc63cdcc0"]}],"mendeley":{"formattedCitation":"[10]","plainTextFormattedCitation":"[10]","previouslyFormattedCitation":"[10]"},"properties":{"noteIndex":0},"schema":"https://github.com/citation-style-language/schema/raw/master/csl-citation.json"}</w:instrText>
      </w:r>
      <w:r w:rsidR="00771054" w:rsidRPr="00644CB1">
        <w:rPr>
          <w:rFonts w:ascii="Times New Roman" w:hAnsi="Times New Roman"/>
          <w:color w:val="0D0D0D" w:themeColor="text1" w:themeTint="F2"/>
          <w:lang w:val="en-US"/>
        </w:rPr>
        <w:fldChar w:fldCharType="separate"/>
      </w:r>
      <w:r w:rsidR="00771054" w:rsidRPr="00644CB1">
        <w:rPr>
          <w:rFonts w:ascii="Times New Roman" w:hAnsi="Times New Roman"/>
          <w:noProof/>
          <w:color w:val="0D0D0D" w:themeColor="text1" w:themeTint="F2"/>
          <w:lang w:val="en-US"/>
        </w:rPr>
        <w:t>[10]</w:t>
      </w:r>
      <w:r w:rsidR="00771054" w:rsidRPr="00644CB1">
        <w:rPr>
          <w:rFonts w:ascii="Times New Roman" w:hAnsi="Times New Roman"/>
          <w:color w:val="0D0D0D" w:themeColor="text1" w:themeTint="F2"/>
          <w:lang w:val="en-US"/>
        </w:rPr>
        <w:fldChar w:fldCharType="end"/>
      </w:r>
      <w:r w:rsidR="00E25220" w:rsidRPr="00644CB1">
        <w:rPr>
          <w:rFonts w:ascii="Times New Roman" w:hAnsi="Times New Roman"/>
          <w:color w:val="0D0D0D" w:themeColor="text1" w:themeTint="F2"/>
          <w:lang w:val="en-US"/>
        </w:rPr>
        <w:t xml:space="preserve">. However, while </w:t>
      </w:r>
      <w:proofErr w:type="spellStart"/>
      <w:r w:rsidR="00E25220" w:rsidRPr="00644CB1">
        <w:rPr>
          <w:rFonts w:ascii="Times New Roman" w:hAnsi="Times New Roman"/>
          <w:color w:val="0D0D0D" w:themeColor="text1" w:themeTint="F2"/>
          <w:lang w:val="en-US"/>
        </w:rPr>
        <w:t>Afthinos</w:t>
      </w:r>
      <w:proofErr w:type="spellEnd"/>
      <w:r w:rsidR="00E25220" w:rsidRPr="00644CB1">
        <w:rPr>
          <w:rFonts w:ascii="Times New Roman" w:hAnsi="Times New Roman"/>
          <w:color w:val="0D0D0D" w:themeColor="text1" w:themeTint="F2"/>
          <w:lang w:val="en-US"/>
        </w:rPr>
        <w:t xml:space="preserve"> </w:t>
      </w:r>
      <w:r w:rsidR="00E12378" w:rsidRPr="00644CB1">
        <w:rPr>
          <w:rFonts w:ascii="Times New Roman" w:hAnsi="Times New Roman"/>
          <w:i/>
          <w:color w:val="0D0D0D" w:themeColor="text1" w:themeTint="F2"/>
          <w:lang w:val="en-US"/>
        </w:rPr>
        <w:t>et al.</w:t>
      </w:r>
      <w:r w:rsidR="00E25220" w:rsidRPr="00644CB1">
        <w:rPr>
          <w:rFonts w:ascii="Times New Roman" w:hAnsi="Times New Roman"/>
          <w:color w:val="0D0D0D" w:themeColor="text1" w:themeTint="F2"/>
          <w:lang w:val="en-US"/>
        </w:rPr>
        <w:t xml:space="preserve"> </w:t>
      </w:r>
      <w:r w:rsidR="00771054" w:rsidRPr="00644CB1">
        <w:rPr>
          <w:rFonts w:ascii="Times New Roman" w:hAnsi="Times New Roman"/>
          <w:color w:val="0D0D0D" w:themeColor="text1" w:themeTint="F2"/>
          <w:lang w:val="en-US"/>
        </w:rPr>
        <w:fldChar w:fldCharType="begin" w:fldLock="1"/>
      </w:r>
      <w:r w:rsidR="00771054" w:rsidRPr="00644CB1">
        <w:rPr>
          <w:rFonts w:ascii="Times New Roman" w:hAnsi="Times New Roman"/>
          <w:color w:val="0D0D0D" w:themeColor="text1" w:themeTint="F2"/>
          <w:lang w:val="en-US"/>
        </w:rPr>
        <w:instrText>ADDIN CSL_CITATION {"citationItems":[{"id":"ITEM-1","itemData":{"DOI":"10.1007/s10758-021-09573-8","ISBN":"0123456789","ISSN":"22111670","abstract":"The aim of this study is to examine whether students of a sport management undergraduate course can gain knowledge in the management of a professional soccer club, by participating in a commercial serious game. Serious is considered the cyber game that its purpose exceeds entertainment. For this case study, the serious sport club management game was “Top Eleven”. The theoretical model that this study was based on, is Misfeldt’s “scenarios based learning” for the transformation of a serious game into an educational means. It includes dimensions that cover part of the sport management class content in the National and Kapodistrian University of Athens, School of Physical Education and Sport Science. The transformation consisted of educational scenarios vested to the serious game, in order to add educational parameters to its basic elements with the purpose to relate further to the sport management class. The application showed that Top Eleven covers adequately Misfeldt’s model dimensions; therefore it can be used as an educational tool. Furthermore, an evaluation of the class gamification was conducted by the participating students (n = 62). The data collected showed that the majority of the students (f = 61, 98.4%) agreed that the participation in the serious game was “helpful” to their sport management class education process. They further agreed that they gained “very” or “very much” knowledge related to the management of a professional soccer club (f = 41, 66.1%) and that 59.7% (f = 37) of them would choose to work in a position of “sport club manager” as a result of the experience they gained by participating in the serious game.","author":[{"dropping-particle":"","family":"Afthinos","given":"Yanni","non-dropping-particle":"","parse-names":false,"suffix":""},{"dropping-particle":"","family":"Kiaffas","given":"Zacharias","non-dropping-particle":"","parse-names":false,"suffix":""},{"dropping-particle":"","family":"Afthinos","given":"Theofilos","non-dropping-particle":"","parse-names":false,"suffix":""}],"container-title":"Technology, Knowledge and Learning","id":"ITEM-1","issue":"1","issued":{"date-parts":[["2022"]]},"page":"255-273","publisher":"Springer Netherlands","title":"The Serious Game “Top Eleven” as an Educational Simulation Platform for Acquiring Knowledge and Skills in the Management of Sports Clubs","type":"article-journal","volume":"27"},"uris":["http://www.mendeley.com/documents/?uuid=30dcf59c-a82e-4fef-8228-412cc63cdcc0"]}],"mendeley":{"formattedCitation":"[10]","plainTextFormattedCitation":"[10]","previouslyFormattedCitation":"[10]"},"properties":{"noteIndex":0},"schema":"https://github.com/citation-style-language/schema/raw/master/csl-citation.json"}</w:instrText>
      </w:r>
      <w:r w:rsidR="00771054" w:rsidRPr="00644CB1">
        <w:rPr>
          <w:rFonts w:ascii="Times New Roman" w:hAnsi="Times New Roman"/>
          <w:color w:val="0D0D0D" w:themeColor="text1" w:themeTint="F2"/>
          <w:lang w:val="en-US"/>
        </w:rPr>
        <w:fldChar w:fldCharType="separate"/>
      </w:r>
      <w:r w:rsidR="00771054" w:rsidRPr="00644CB1">
        <w:rPr>
          <w:rFonts w:ascii="Times New Roman" w:hAnsi="Times New Roman"/>
          <w:noProof/>
          <w:color w:val="0D0D0D" w:themeColor="text1" w:themeTint="F2"/>
          <w:lang w:val="en-US"/>
        </w:rPr>
        <w:t>[10]</w:t>
      </w:r>
      <w:r w:rsidR="00771054" w:rsidRPr="00644CB1">
        <w:rPr>
          <w:rFonts w:ascii="Times New Roman" w:hAnsi="Times New Roman"/>
          <w:color w:val="0D0D0D" w:themeColor="text1" w:themeTint="F2"/>
          <w:lang w:val="en-US"/>
        </w:rPr>
        <w:fldChar w:fldCharType="end"/>
      </w:r>
      <w:r w:rsidR="00E25220" w:rsidRPr="00644CB1">
        <w:rPr>
          <w:rFonts w:ascii="Times New Roman" w:hAnsi="Times New Roman"/>
          <w:color w:val="0D0D0D" w:themeColor="text1" w:themeTint="F2"/>
          <w:lang w:val="en-US"/>
        </w:rPr>
        <w:t xml:space="preserve"> recommended further research on Top Eleven's educational potential, no subsequent studies have provided empirical evidence of its effectiveness specifically in sport event management education, representing a clear research gap that this study addresses.</w:t>
      </w:r>
    </w:p>
    <w:p w14:paraId="53559E0A" w14:textId="61D5F58F" w:rsidR="00436848" w:rsidRPr="0024057B" w:rsidRDefault="73E6831A" w:rsidP="0048454C">
      <w:pPr>
        <w:pStyle w:val="1"/>
        <w:numPr>
          <w:ilvl w:val="0"/>
          <w:numId w:val="7"/>
        </w:numPr>
        <w:ind w:left="357" w:hanging="357"/>
        <w:rPr>
          <w:color w:val="5B9BD5" w:themeColor="accent1"/>
        </w:rPr>
      </w:pPr>
      <w:r w:rsidRPr="0024057B">
        <w:rPr>
          <w:color w:val="5B9BD5" w:themeColor="accent1"/>
          <w:lang w:val="it-IT"/>
        </w:rPr>
        <w:t>Methodology</w:t>
      </w:r>
      <w:bookmarkStart w:id="5" w:name="_Hlk200485889"/>
    </w:p>
    <w:p w14:paraId="34E4A9DA" w14:textId="3ADB9CB9" w:rsidR="00A237E7" w:rsidRPr="00644CB1" w:rsidRDefault="1D9CACE3" w:rsidP="1D9CACE3">
      <w:pPr>
        <w:spacing w:before="100" w:beforeAutospacing="1" w:after="100" w:afterAutospacing="1" w:line="264" w:lineRule="auto"/>
        <w:jc w:val="both"/>
        <w:rPr>
          <w:rFonts w:asciiTheme="majorBidi" w:hAnsiTheme="majorBidi" w:cstheme="majorBidi"/>
          <w:color w:val="0D0D0D" w:themeColor="text1" w:themeTint="F2"/>
        </w:rPr>
      </w:pPr>
      <w:r w:rsidRPr="00644CB1">
        <w:rPr>
          <w:rFonts w:asciiTheme="majorBidi" w:eastAsia="Times New Roman" w:hAnsiTheme="majorBidi" w:cstheme="majorBidi"/>
          <w:color w:val="0D0D0D" w:themeColor="text1" w:themeTint="F2"/>
          <w:lang w:val="en-US" w:eastAsia="el-GR"/>
        </w:rPr>
        <w:t xml:space="preserve">This </w:t>
      </w:r>
      <w:r w:rsidR="00A34326" w:rsidRPr="00644CB1">
        <w:rPr>
          <w:rFonts w:asciiTheme="majorBidi" w:eastAsia="Times New Roman" w:hAnsiTheme="majorBidi" w:cstheme="majorBidi"/>
          <w:color w:val="0D0D0D" w:themeColor="text1" w:themeTint="F2"/>
          <w:lang w:val="en-US" w:eastAsia="el-GR"/>
        </w:rPr>
        <w:t>exploratory</w:t>
      </w:r>
      <w:r w:rsidR="007052DC" w:rsidRPr="00644CB1">
        <w:rPr>
          <w:rFonts w:asciiTheme="majorBidi" w:eastAsia="Times New Roman" w:hAnsiTheme="majorBidi" w:cstheme="majorBidi"/>
          <w:color w:val="0D0D0D" w:themeColor="text1" w:themeTint="F2"/>
          <w:lang w:val="en-US" w:eastAsia="el-GR"/>
        </w:rPr>
        <w:t xml:space="preserve"> </w:t>
      </w:r>
      <w:r w:rsidRPr="00644CB1">
        <w:rPr>
          <w:rFonts w:asciiTheme="majorBidi" w:eastAsia="Times New Roman" w:hAnsiTheme="majorBidi" w:cstheme="majorBidi"/>
          <w:color w:val="0D0D0D" w:themeColor="text1" w:themeTint="F2"/>
          <w:lang w:val="en-US" w:eastAsia="el-GR"/>
        </w:rPr>
        <w:t xml:space="preserve">case study investigates the educational implementation of a commercial sport serious game (SG) at SPESS, NKUA, addressing whether serious games can serve as auxiliary educational tools for acquiring theoretical knowledge and practical experience in sport event management through hybrid approaches. </w:t>
      </w:r>
      <w:r w:rsidR="00BE5FE5" w:rsidRPr="00644CB1">
        <w:rPr>
          <w:rFonts w:ascii="Times New Roman" w:hAnsi="Times New Roman"/>
          <w:color w:val="0D0D0D" w:themeColor="text1" w:themeTint="F2"/>
          <w:lang w:val="en-US"/>
        </w:rPr>
        <w:t>Given the limited empirical evidence on hybrid serious game approaches in sport event management education, this study serves as an exploratory investigation to establish initial feasibility and effectiveness before more controlled experimental designs.</w:t>
      </w:r>
      <w:r w:rsidR="00BE5FE5" w:rsidRPr="00644CB1">
        <w:rPr>
          <w:b/>
          <w:bCs/>
          <w:color w:val="0D0D0D" w:themeColor="text1" w:themeTint="F2"/>
          <w:lang w:val="en-US"/>
        </w:rPr>
        <w:t xml:space="preserve"> </w:t>
      </w:r>
      <w:r w:rsidRPr="00644CB1">
        <w:rPr>
          <w:rFonts w:asciiTheme="majorBidi" w:eastAsia="Times New Roman" w:hAnsiTheme="majorBidi" w:cstheme="majorBidi"/>
          <w:color w:val="0D0D0D" w:themeColor="text1" w:themeTint="F2"/>
          <w:lang w:val="en-US" w:eastAsia="el-GR"/>
        </w:rPr>
        <w:t>The methodology utilized Top Eleven SG to create a Virtual Intramural Football Tournament (VIFT), enabling students to assume event management roles and develop managerial competencies through gamified educational scenarios. By leveraging the game's friendly match organization feature, students engaged in practical event planning and execution within a controlled virtual environment, facilitating knowledge acquisition and skill development</w:t>
      </w:r>
      <w:r w:rsidRPr="00644CB1">
        <w:rPr>
          <w:rFonts w:asciiTheme="majorBidi" w:eastAsia="Times New Roman" w:hAnsiTheme="majorBidi" w:cstheme="majorBidi"/>
          <w:color w:val="0D0D0D" w:themeColor="text1" w:themeTint="F2"/>
          <w:sz w:val="24"/>
          <w:szCs w:val="24"/>
          <w:lang w:val="en-US" w:eastAsia="el-GR"/>
        </w:rPr>
        <w:t>.</w:t>
      </w:r>
    </w:p>
    <w:p w14:paraId="219142EF" w14:textId="1591E6A3" w:rsidR="00182952" w:rsidRPr="00644CB1" w:rsidRDefault="73E6831A" w:rsidP="002E6235">
      <w:pPr>
        <w:pStyle w:val="2"/>
        <w:numPr>
          <w:ilvl w:val="1"/>
          <w:numId w:val="7"/>
        </w:numPr>
        <w:ind w:left="567" w:hanging="567"/>
        <w:rPr>
          <w:color w:val="0D0D0D" w:themeColor="text1" w:themeTint="F2"/>
        </w:rPr>
      </w:pPr>
      <w:r w:rsidRPr="00644CB1">
        <w:rPr>
          <w:color w:val="0D0D0D" w:themeColor="text1" w:themeTint="F2"/>
          <w:lang w:val="it-IT"/>
        </w:rPr>
        <w:t xml:space="preserve">Research </w:t>
      </w:r>
      <w:r w:rsidR="00DC7A8D" w:rsidRPr="00644CB1">
        <w:rPr>
          <w:color w:val="0D0D0D" w:themeColor="text1" w:themeTint="F2"/>
          <w:lang w:val="it-IT"/>
        </w:rPr>
        <w:t>d</w:t>
      </w:r>
      <w:r w:rsidRPr="00644CB1">
        <w:rPr>
          <w:color w:val="0D0D0D" w:themeColor="text1" w:themeTint="F2"/>
          <w:lang w:val="it-IT"/>
        </w:rPr>
        <w:t>esign</w:t>
      </w:r>
    </w:p>
    <w:p w14:paraId="33E165DC" w14:textId="388A869E" w:rsidR="00C15240" w:rsidRPr="00644CB1" w:rsidRDefault="00BE5FE5" w:rsidP="00C15240">
      <w:pPr>
        <w:spacing w:line="264" w:lineRule="auto"/>
        <w:jc w:val="both"/>
        <w:rPr>
          <w:rFonts w:ascii="Times New Roman" w:eastAsia="Times New Roman" w:hAnsi="Times New Roman"/>
          <w:color w:val="0D0D0D" w:themeColor="text1" w:themeTint="F2"/>
          <w:lang w:val="en-US" w:eastAsia="el-GR"/>
        </w:rPr>
      </w:pPr>
      <w:r w:rsidRPr="00644CB1">
        <w:rPr>
          <w:rFonts w:ascii="Times New Roman" w:hAnsi="Times New Roman"/>
          <w:color w:val="0D0D0D" w:themeColor="text1" w:themeTint="F2"/>
          <w:lang w:val="en-US"/>
        </w:rPr>
        <w:t>This study employs an exploratory single-group case study design, appropriate for investigating</w:t>
      </w:r>
      <w:r w:rsidR="00DA7022" w:rsidRPr="00644CB1">
        <w:rPr>
          <w:rFonts w:ascii="Times New Roman" w:hAnsi="Times New Roman"/>
          <w:color w:val="0D0D0D" w:themeColor="text1" w:themeTint="F2"/>
          <w:lang w:val="en-US"/>
        </w:rPr>
        <w:t xml:space="preserve"> innovative</w:t>
      </w:r>
      <w:r w:rsidRPr="00644CB1">
        <w:rPr>
          <w:rFonts w:ascii="Times New Roman" w:hAnsi="Times New Roman"/>
          <w:color w:val="0D0D0D" w:themeColor="text1" w:themeTint="F2"/>
          <w:lang w:val="en-US"/>
        </w:rPr>
        <w:t xml:space="preserve"> interventions where limited prior research exists</w:t>
      </w:r>
      <w:r w:rsidR="0016061E" w:rsidRPr="00644CB1">
        <w:rPr>
          <w:rFonts w:ascii="Times New Roman" w:hAnsi="Times New Roman"/>
          <w:color w:val="0D0D0D" w:themeColor="text1" w:themeTint="F2"/>
          <w:lang w:val="en-US"/>
        </w:rPr>
        <w:t xml:space="preserve"> </w:t>
      </w:r>
      <w:r w:rsidR="001502B0" w:rsidRPr="00644CB1">
        <w:rPr>
          <w:rFonts w:ascii="Times New Roman" w:hAnsi="Times New Roman"/>
          <w:color w:val="0D0D0D" w:themeColor="text1" w:themeTint="F2"/>
          <w:lang w:val="en-US"/>
        </w:rPr>
        <w:fldChar w:fldCharType="begin" w:fldLock="1"/>
      </w:r>
      <w:r w:rsidR="001008C6" w:rsidRPr="00644CB1">
        <w:rPr>
          <w:rFonts w:ascii="Times New Roman" w:hAnsi="Times New Roman"/>
          <w:color w:val="0D0D0D" w:themeColor="text1" w:themeTint="F2"/>
          <w:lang w:val="en-US"/>
        </w:rPr>
        <w:instrText>ADDIN CSL_CITATION {"citationItems":[{"id":"ITEM-1","itemData":{"author":[{"dropping-particle":"","family":"Nock","given":"Matthew K","non-dropping-particle":"","parse-names":false,"suffix":""},{"dropping-particle":"","family":"Michel","given":"Bethany D","non-dropping-particle":"","parse-names":false,"suffix":""},{"dropping-particle":"","family":"Photos","given":"Valerie I","non-dropping-particle":"","parse-names":false,"suffix":""}],"container-title":"Handbook of research methods in abnormal and clinical psychology","editor":[{"dropping-particle":"","family":"McKay","given":"D.","non-dropping-particle":"","parse-names":false,"suffix":""}],"id":"ITEM-1","issued":{"date-parts":[["2007"]]},"page":"337-350","publisher":"Sage","publisher-place":"New York, NY","title":"Single-case research designs","type":"chapter"},"uris":["http://www.mendeley.com/documents/?uuid=95349122-245d-4760-bcc9-5f9c6718bdc8"]}],"mendeley":{"formattedCitation":"[46]","plainTextFormattedCitation":"[46]","previouslyFormattedCitation":"[46]"},"properties":{"noteIndex":0},"schema":"https://github.com/citation-style-language/schema/raw/master/csl-citation.json"}</w:instrText>
      </w:r>
      <w:r w:rsidR="001502B0" w:rsidRPr="00644CB1">
        <w:rPr>
          <w:rFonts w:ascii="Times New Roman" w:hAnsi="Times New Roman"/>
          <w:color w:val="0D0D0D" w:themeColor="text1" w:themeTint="F2"/>
          <w:lang w:val="en-US"/>
        </w:rPr>
        <w:fldChar w:fldCharType="separate"/>
      </w:r>
      <w:r w:rsidR="001502B0" w:rsidRPr="00644CB1">
        <w:rPr>
          <w:rFonts w:ascii="Times New Roman" w:hAnsi="Times New Roman"/>
          <w:noProof/>
          <w:color w:val="0D0D0D" w:themeColor="text1" w:themeTint="F2"/>
          <w:lang w:val="en-US"/>
        </w:rPr>
        <w:t>[46]</w:t>
      </w:r>
      <w:r w:rsidR="001502B0"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w:t>
      </w:r>
      <w:r w:rsidRPr="00644CB1">
        <w:rPr>
          <w:color w:val="0D0D0D" w:themeColor="text1" w:themeTint="F2"/>
          <w:lang w:val="en-US"/>
        </w:rPr>
        <w:t xml:space="preserve"> </w:t>
      </w:r>
      <w:r w:rsidR="0022651B" w:rsidRPr="00644CB1">
        <w:rPr>
          <w:rFonts w:ascii="Times New Roman" w:eastAsia="Times New Roman" w:hAnsi="Times New Roman"/>
          <w:color w:val="0D0D0D" w:themeColor="text1" w:themeTint="F2"/>
          <w:lang w:val="en-US" w:eastAsia="el-GR"/>
        </w:rPr>
        <w:t xml:space="preserve">The research design encompasses three core methodological components: a) Implementation of Salem </w:t>
      </w:r>
      <w:r w:rsidR="00E12378" w:rsidRPr="00644CB1">
        <w:rPr>
          <w:rFonts w:ascii="Times New Roman" w:eastAsia="Times New Roman" w:hAnsi="Times New Roman"/>
          <w:i/>
          <w:color w:val="0D0D0D" w:themeColor="text1" w:themeTint="F2"/>
          <w:lang w:val="en-US" w:eastAsia="el-GR"/>
        </w:rPr>
        <w:t>et al.</w:t>
      </w:r>
      <w:r w:rsidR="0022651B" w:rsidRPr="00644CB1">
        <w:rPr>
          <w:rFonts w:ascii="Times New Roman" w:eastAsia="Times New Roman" w:hAnsi="Times New Roman"/>
          <w:color w:val="0D0D0D" w:themeColor="text1" w:themeTint="F2"/>
          <w:lang w:val="en-US" w:eastAsia="el-GR"/>
        </w:rPr>
        <w:t xml:space="preserve">'s </w:t>
      </w:r>
      <w:r w:rsidR="00FD0AED" w:rsidRPr="00644CB1">
        <w:rPr>
          <w:rFonts w:ascii="Times New Roman" w:eastAsia="Times New Roman" w:hAnsi="Times New Roman"/>
          <w:color w:val="0D0D0D" w:themeColor="text1" w:themeTint="F2"/>
          <w:lang w:val="en-US" w:eastAsia="el-GR"/>
        </w:rPr>
        <w:fldChar w:fldCharType="begin" w:fldLock="1"/>
      </w:r>
      <w:r w:rsidR="008F1471" w:rsidRPr="00644CB1">
        <w:rPr>
          <w:rFonts w:ascii="Times New Roman" w:eastAsia="Times New Roman" w:hAnsi="Times New Roman"/>
          <w:color w:val="0D0D0D" w:themeColor="text1" w:themeTint="F2"/>
          <w:lang w:val="en-US" w:eastAsia="el-GR"/>
        </w:rPr>
        <w:instrText>ADDIN CSL_CITATION {"citationItems":[{"id":"ITEM-1","itemData":{"ISBN":"978-0-7506-5872-0","author":[{"dropping-particle":"","family":"Salem","given":"G.","non-dropping-particle":"","parse-names":false,"suffix":""},{"dropping-particle":"","family":"Jones","given":"E.","non-dropping-particle":"","parse-names":false,"suffix":""},{"dropping-particle":"","family":"Morgan","given":"N.","non-dropping-particle":"","parse-names":false,"suffix":""}],"container-title":"Festival and events management: an international arts and culture perspective","editor":[{"dropping-particle":"","family":"Yeoman","given":"I.","non-dropping-particle":"","parse-names":false,"suffix":""},{"dropping-particle":"","family":"Robertson","given":"M.","non-dropping-particle":"","parse-names":false,"suffix":""},{"dropping-particle":"","family":"Ali-Knight","given":"J.A.","non-dropping-particle":"","parse-names":false,"suffix":""},{"dropping-particle":"","family":"Drummond","given":"S.","non-dropping-particle":"","parse-names":false,"suffix":""},{"dropping-particle":"","family":"McMahon-Beattie","given":"U.","non-dropping-particle":"","parse-names":false,"suffix":""}],"id":"ITEM-1","issued":{"date-parts":[["2014"]]},"page":"14-31","publisher":"Elsevier Butterworth-Heinemann","publisher-place":"Boston, MA","title":"An overview of events management","type":"chapter"},"uris":["http://www.mendeley.com/documents/?uuid=74ce0dc2-1ee2-4d79-8055-f405e3731374"]}],"mendeley":{"formattedCitation":"[38]","plainTextFormattedCitation":"[38]","previouslyFormattedCitation":"[38]"},"properties":{"noteIndex":0},"schema":"https://github.com/citation-style-language/schema/raw/master/csl-citation.json"}</w:instrText>
      </w:r>
      <w:r w:rsidR="00FD0AED" w:rsidRPr="00644CB1">
        <w:rPr>
          <w:rFonts w:ascii="Times New Roman" w:eastAsia="Times New Roman" w:hAnsi="Times New Roman"/>
          <w:color w:val="0D0D0D" w:themeColor="text1" w:themeTint="F2"/>
          <w:lang w:val="en-US" w:eastAsia="el-GR"/>
        </w:rPr>
        <w:fldChar w:fldCharType="separate"/>
      </w:r>
      <w:r w:rsidR="00FD0AED" w:rsidRPr="00644CB1">
        <w:rPr>
          <w:rFonts w:ascii="Times New Roman" w:eastAsia="Times New Roman" w:hAnsi="Times New Roman"/>
          <w:noProof/>
          <w:color w:val="0D0D0D" w:themeColor="text1" w:themeTint="F2"/>
          <w:lang w:val="en-US" w:eastAsia="el-GR"/>
        </w:rPr>
        <w:t>[38]</w:t>
      </w:r>
      <w:r w:rsidR="00FD0AED" w:rsidRPr="00644CB1">
        <w:rPr>
          <w:rFonts w:ascii="Times New Roman" w:eastAsia="Times New Roman" w:hAnsi="Times New Roman"/>
          <w:color w:val="0D0D0D" w:themeColor="text1" w:themeTint="F2"/>
          <w:lang w:val="en-US" w:eastAsia="el-GR"/>
        </w:rPr>
        <w:fldChar w:fldCharType="end"/>
      </w:r>
      <w:r w:rsidR="0022651B" w:rsidRPr="00644CB1">
        <w:rPr>
          <w:rFonts w:ascii="Times New Roman" w:eastAsia="Times New Roman" w:hAnsi="Times New Roman"/>
          <w:color w:val="0D0D0D" w:themeColor="text1" w:themeTint="F2"/>
          <w:lang w:val="en-US" w:eastAsia="el-GR"/>
        </w:rPr>
        <w:t xml:space="preserve"> structured framework for analyzing decision-making, planning, implementation, and evaluation—fundamental elements integrated into the virtual tournament environment through serious gaming. This model ensures comprehensive examination of how serious games support key competency development in simulated sports event management. Educational scenarios, developed following Misfeldt's </w:t>
      </w:r>
      <w:r w:rsidR="000824C1" w:rsidRPr="00644CB1">
        <w:rPr>
          <w:rFonts w:ascii="Times New Roman" w:hAnsi="Times New Roman"/>
          <w:color w:val="0D0D0D" w:themeColor="text1" w:themeTint="F2"/>
          <w:lang w:val="en-US"/>
        </w:rPr>
        <w:fldChar w:fldCharType="begin" w:fldLock="1"/>
      </w:r>
      <w:r w:rsidR="000824C1" w:rsidRPr="00644CB1">
        <w:rPr>
          <w:rFonts w:ascii="Times New Roman" w:hAnsi="Times New Roman"/>
          <w:color w:val="0D0D0D" w:themeColor="text1" w:themeTint="F2"/>
          <w:lang w:val="en-US"/>
        </w:rPr>
        <w:instrText>ADDIN CSL_CITATION {"citationItems":[{"id":"ITEM-1","itemData":{"ISSN":"14794403","abstract":"In this paper I describe s how students use a project management simulation game based on an attack-defense mechanism where two teams of players compete by challenging each other’s projects. The project management simulation game is intended to be played by pre-service construction workers and engineers. The gameplay has two parts: a planning part, where the player make managerial decisions about his construction site, and a challenge part where the player chooses between typical problems to occur on the opponent’s construction site. Playing the game involves analyzing both your own and you opponent’s building project for weak spots. The intention of the project management simulation game, is to provide students with an increased sensitivity towards the relation between planning and reality in complex construction projects. The project management simulation game can be interpreted both as a competitive game and as a simulation. Both of these views are meaningful and can be seen as supporting learning. Emphasizing the simulation aspect let us explain how students learn by being immersed into a simulated world, where the players identify with specific roles, live out specific situations, and experiment with relevant parameters. Emphasizing the competition game aspect we can see how play and competition allow players to experience intrinsic motivation and engagement, as well as thinking strategically about their choices, and hence put attention towards all the things that can go wrong in construction work. The goal of the paper is to investigate empirically how these two understandings influence game experience and learning outcome. This question is approached by qualitative post-game interviews about the experienced fun, competition and realism. Specific attention is given to how the understandings of the experience (for instance as a game and as a simulation) is entangled when the students describe their experience. Using the concepts frame and domain it is analyzed how the students conceptualize and make meaning of the particular educational scenario manifested by the project management simulation game. We take as an outset that students interpret the situations in the project management simulation game as relating to one or several domains, especially the domains competition and simulation. Results suggest that the views of the scenario as a competition and as a simulation do coexist, and that these views merge in a subtle way. The players consider the…","author":[{"dropping-particle":"","family":"Misfeldt","given":"Morten","non-dropping-particle":"","parse-names":false,"suffix":""}],"container-title":"Electronic Journal of e-Learning","id":"ITEM-1","issue":"3","issued":{"date-parts":[["2015"]]},"page":"181-191","title":"Scenario based education as a framework for understanding students engagement and learning in a project management simulation game","type":"article-journal","volume":"13"},"uris":["http://www.mendeley.com/documents/?uuid=092313e4-c29d-4f9b-b151-b70746c3b863"]}],"mendeley":{"formattedCitation":"[45]","plainTextFormattedCitation":"[45]","previouslyFormattedCitation":"[45]"},"properties":{"noteIndex":0},"schema":"https://github.com/citation-style-language/schema/raw/master/csl-citation.json"}</w:instrText>
      </w:r>
      <w:r w:rsidR="000824C1" w:rsidRPr="00644CB1">
        <w:rPr>
          <w:rFonts w:ascii="Times New Roman" w:hAnsi="Times New Roman"/>
          <w:color w:val="0D0D0D" w:themeColor="text1" w:themeTint="F2"/>
          <w:lang w:val="en-US"/>
        </w:rPr>
        <w:fldChar w:fldCharType="separate"/>
      </w:r>
      <w:r w:rsidR="000824C1" w:rsidRPr="00644CB1">
        <w:rPr>
          <w:rFonts w:ascii="Times New Roman" w:hAnsi="Times New Roman"/>
          <w:noProof/>
          <w:color w:val="0D0D0D" w:themeColor="text1" w:themeTint="F2"/>
          <w:lang w:val="en-US"/>
        </w:rPr>
        <w:t>[45]</w:t>
      </w:r>
      <w:r w:rsidR="000824C1" w:rsidRPr="00644CB1">
        <w:rPr>
          <w:rFonts w:ascii="Times New Roman" w:hAnsi="Times New Roman"/>
          <w:color w:val="0D0D0D" w:themeColor="text1" w:themeTint="F2"/>
          <w:lang w:val="en-US"/>
        </w:rPr>
        <w:fldChar w:fldCharType="end"/>
      </w:r>
      <w:r w:rsidR="0022651B" w:rsidRPr="00644CB1">
        <w:rPr>
          <w:rFonts w:ascii="Times New Roman" w:eastAsia="Times New Roman" w:hAnsi="Times New Roman"/>
          <w:color w:val="0D0D0D" w:themeColor="text1" w:themeTint="F2"/>
          <w:lang w:val="en-US" w:eastAsia="el-GR"/>
        </w:rPr>
        <w:t xml:space="preserve"> Scenario-Based Education Framework as adapted by </w:t>
      </w:r>
      <w:proofErr w:type="spellStart"/>
      <w:r w:rsidR="0022651B" w:rsidRPr="00644CB1">
        <w:rPr>
          <w:rFonts w:ascii="Times New Roman" w:eastAsia="Times New Roman" w:hAnsi="Times New Roman"/>
          <w:color w:val="0D0D0D" w:themeColor="text1" w:themeTint="F2"/>
          <w:lang w:val="en-US" w:eastAsia="el-GR"/>
        </w:rPr>
        <w:t>Afthinos</w:t>
      </w:r>
      <w:proofErr w:type="spellEnd"/>
      <w:r w:rsidR="0022651B" w:rsidRPr="00644CB1">
        <w:rPr>
          <w:rFonts w:ascii="Times New Roman" w:eastAsia="Times New Roman" w:hAnsi="Times New Roman"/>
          <w:color w:val="0D0D0D" w:themeColor="text1" w:themeTint="F2"/>
          <w:lang w:val="en-US" w:eastAsia="el-GR"/>
        </w:rPr>
        <w:t xml:space="preserve"> </w:t>
      </w:r>
      <w:r w:rsidR="00E12378" w:rsidRPr="00644CB1">
        <w:rPr>
          <w:rFonts w:ascii="Times New Roman" w:eastAsia="Times New Roman" w:hAnsi="Times New Roman"/>
          <w:i/>
          <w:color w:val="0D0D0D" w:themeColor="text1" w:themeTint="F2"/>
          <w:lang w:val="en-US" w:eastAsia="el-GR"/>
        </w:rPr>
        <w:t>et al.</w:t>
      </w:r>
      <w:r w:rsidR="0022651B" w:rsidRPr="00644CB1">
        <w:rPr>
          <w:rFonts w:ascii="Times New Roman" w:eastAsia="Times New Roman" w:hAnsi="Times New Roman"/>
          <w:color w:val="0D0D0D" w:themeColor="text1" w:themeTint="F2"/>
          <w:lang w:val="en-US" w:eastAsia="el-GR"/>
        </w:rPr>
        <w:t xml:space="preserve"> </w:t>
      </w:r>
      <w:r w:rsidR="003B5547" w:rsidRPr="00644CB1">
        <w:rPr>
          <w:rFonts w:ascii="Times New Roman" w:hAnsi="Times New Roman"/>
          <w:color w:val="0D0D0D" w:themeColor="text1" w:themeTint="F2"/>
          <w:lang w:val="en-US"/>
        </w:rPr>
        <w:fldChar w:fldCharType="begin" w:fldLock="1"/>
      </w:r>
      <w:r w:rsidR="003B5547" w:rsidRPr="00644CB1">
        <w:rPr>
          <w:rFonts w:ascii="Times New Roman" w:hAnsi="Times New Roman"/>
          <w:color w:val="0D0D0D" w:themeColor="text1" w:themeTint="F2"/>
          <w:lang w:val="en-US"/>
        </w:rPr>
        <w:instrText>ADDIN CSL_CITATION {"citationItems":[{"id":"ITEM-1","itemData":{"DOI":"10.1007/s10758-021-09573-8","ISBN":"0123456789","ISSN":"22111670","abstract":"The aim of this study is to examine whether students of a sport management undergraduate course can gain knowledge in the management of a professional soccer club, by participating in a commercial serious game. Serious is considered the cyber game that its purpose exceeds entertainment. For this case study, the serious sport club management game was “Top Eleven”. The theoretical model that this study was based on, is Misfeldt’s “scenarios based learning” for the transformation of a serious game into an educational means. It includes dimensions that cover part of the sport management class content in the National and Kapodistrian University of Athens, School of Physical Education and Sport Science. The transformation consisted of educational scenarios vested to the serious game, in order to add educational parameters to its basic elements with the purpose to relate further to the sport management class. The application showed that Top Eleven covers adequately Misfeldt’s model dimensions; therefore it can be used as an educational tool. Furthermore, an evaluation of the class gamification was conducted by the participating students (n = 62). The data collected showed that the majority of the students (f = 61, 98.4%) agreed that the participation in the serious game was “helpful” to their sport management class education process. They further agreed that they gained “very” or “very much” knowledge related to the management of a professional soccer club (f = 41, 66.1%) and that 59.7% (f = 37) of them would choose to work in a position of “sport club manager” as a result of the experience they gained by participating in the serious game.","author":[{"dropping-particle":"","family":"Afthinos","given":"Yanni","non-dropping-particle":"","parse-names":false,"suffix":""},{"dropping-particle":"","family":"Kiaffas","given":"Zacharias","non-dropping-particle":"","parse-names":false,"suffix":""},{"dropping-particle":"","family":"Afthinos","given":"Theofilos","non-dropping-particle":"","parse-names":false,"suffix":""}],"container-title":"Technology, Knowledge and Learning","id":"ITEM-1","issue":"1","issued":{"date-parts":[["2022"]]},"page":"255-273","publisher":"Springer Netherlands","title":"The Serious Game “Top Eleven” as an Educational Simulation Platform for Acquiring Knowledge and Skills in the Management of Sports Clubs","type":"article-journal","volume":"27"},"uris":["http://www.mendeley.com/documents/?uuid=30dcf59c-a82e-4fef-8228-412cc63cdcc0"]}],"mendeley":{"formattedCitation":"[10]","plainTextFormattedCitation":"[10]","previouslyFormattedCitation":"[10]"},"properties":{"noteIndex":0},"schema":"https://github.com/citation-style-language/schema/raw/master/csl-citation.json"}</w:instrText>
      </w:r>
      <w:r w:rsidR="003B5547" w:rsidRPr="00644CB1">
        <w:rPr>
          <w:rFonts w:ascii="Times New Roman" w:hAnsi="Times New Roman"/>
          <w:color w:val="0D0D0D" w:themeColor="text1" w:themeTint="F2"/>
          <w:lang w:val="en-US"/>
        </w:rPr>
        <w:fldChar w:fldCharType="separate"/>
      </w:r>
      <w:r w:rsidR="003B5547" w:rsidRPr="00644CB1">
        <w:rPr>
          <w:rFonts w:ascii="Times New Roman" w:hAnsi="Times New Roman"/>
          <w:noProof/>
          <w:color w:val="0D0D0D" w:themeColor="text1" w:themeTint="F2"/>
          <w:lang w:val="en-US"/>
        </w:rPr>
        <w:t>[10]</w:t>
      </w:r>
      <w:r w:rsidR="003B5547" w:rsidRPr="00644CB1">
        <w:rPr>
          <w:rFonts w:ascii="Times New Roman" w:hAnsi="Times New Roman"/>
          <w:color w:val="0D0D0D" w:themeColor="text1" w:themeTint="F2"/>
          <w:lang w:val="en-US"/>
        </w:rPr>
        <w:fldChar w:fldCharType="end"/>
      </w:r>
      <w:r w:rsidR="0022651B" w:rsidRPr="00644CB1">
        <w:rPr>
          <w:rFonts w:ascii="Times New Roman" w:eastAsia="Times New Roman" w:hAnsi="Times New Roman"/>
          <w:color w:val="0D0D0D" w:themeColor="text1" w:themeTint="F2"/>
          <w:lang w:val="en-US" w:eastAsia="el-GR"/>
        </w:rPr>
        <w:t xml:space="preserve">, provide the foundation for student roles as event organizers. Students design, organize, and implement the VIFT, performing tasks including participant invitations, tournament draws, and scheduling. These scenarios, grounded in event management literature and practical experience, enable students to assume authentic organizational responsibilities. b) Administration of written knowledge assessments evaluating students' comprehension and acquisition of tournament organization </w:t>
      </w:r>
      <w:r w:rsidR="0022651B" w:rsidRPr="00644CB1">
        <w:rPr>
          <w:rFonts w:ascii="Times New Roman" w:eastAsia="Times New Roman" w:hAnsi="Times New Roman"/>
          <w:color w:val="0D0D0D" w:themeColor="text1" w:themeTint="F2"/>
          <w:lang w:val="en-US" w:eastAsia="el-GR"/>
        </w:rPr>
        <w:lastRenderedPageBreak/>
        <w:t>principles and processes, c) Participant evaluation of the tournament experience, gathering feedback on organizational effectiveness and identifying areas for future improvement.</w:t>
      </w:r>
      <w:r w:rsidR="1D9CACE3" w:rsidRPr="00644CB1">
        <w:rPr>
          <w:rFonts w:ascii="Times New Roman" w:eastAsia="Times New Roman" w:hAnsi="Times New Roman"/>
          <w:color w:val="0D0D0D" w:themeColor="text1" w:themeTint="F2"/>
          <w:lang w:val="en-US" w:eastAsia="el-GR"/>
        </w:rPr>
        <w:t xml:space="preserve"> </w:t>
      </w:r>
    </w:p>
    <w:p w14:paraId="04C2D3EE" w14:textId="6E1B38BB" w:rsidR="00BE5FE5" w:rsidRPr="00644CB1" w:rsidRDefault="00BE5FE5" w:rsidP="00560D9E">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A single-group case study design was chosen </w:t>
      </w:r>
      <w:r w:rsidR="00775E44" w:rsidRPr="00644CB1">
        <w:rPr>
          <w:rFonts w:ascii="Times New Roman" w:hAnsi="Times New Roman"/>
          <w:color w:val="0D0D0D" w:themeColor="text1" w:themeTint="F2"/>
          <w:lang w:val="en-US"/>
        </w:rPr>
        <w:t xml:space="preserve">given that </w:t>
      </w:r>
      <w:r w:rsidR="001731CB" w:rsidRPr="00644CB1">
        <w:rPr>
          <w:rFonts w:ascii="Times New Roman" w:hAnsi="Times New Roman"/>
          <w:color w:val="0D0D0D" w:themeColor="text1" w:themeTint="F2"/>
          <w:lang w:val="en-US"/>
        </w:rPr>
        <w:t xml:space="preserve">in </w:t>
      </w:r>
      <w:r w:rsidRPr="00644CB1">
        <w:rPr>
          <w:rFonts w:ascii="Times New Roman" w:hAnsi="Times New Roman"/>
          <w:color w:val="0D0D0D" w:themeColor="text1" w:themeTint="F2"/>
          <w:lang w:val="en-US"/>
        </w:rPr>
        <w:t xml:space="preserve">an </w:t>
      </w:r>
      <w:proofErr w:type="gramStart"/>
      <w:r w:rsidRPr="00644CB1">
        <w:rPr>
          <w:rFonts w:ascii="Times New Roman" w:hAnsi="Times New Roman"/>
          <w:color w:val="0D0D0D" w:themeColor="text1" w:themeTint="F2"/>
          <w:lang w:val="en-US"/>
        </w:rPr>
        <w:t>exploratory</w:t>
      </w:r>
      <w:proofErr w:type="gramEnd"/>
      <w:r w:rsidRPr="00644CB1">
        <w:rPr>
          <w:rFonts w:ascii="Times New Roman" w:hAnsi="Times New Roman"/>
          <w:color w:val="0D0D0D" w:themeColor="text1" w:themeTint="F2"/>
          <w:lang w:val="en-US"/>
        </w:rPr>
        <w:t xml:space="preserve"> study examining a</w:t>
      </w:r>
      <w:r w:rsidR="00DA7022" w:rsidRPr="00644CB1">
        <w:rPr>
          <w:rFonts w:ascii="Times New Roman" w:hAnsi="Times New Roman"/>
          <w:color w:val="0D0D0D" w:themeColor="text1" w:themeTint="F2"/>
          <w:lang w:val="en-US"/>
        </w:rPr>
        <w:t xml:space="preserve">n innovative </w:t>
      </w:r>
      <w:r w:rsidRPr="00644CB1">
        <w:rPr>
          <w:rFonts w:ascii="Times New Roman" w:hAnsi="Times New Roman"/>
          <w:color w:val="0D0D0D" w:themeColor="text1" w:themeTint="F2"/>
          <w:lang w:val="en-US"/>
        </w:rPr>
        <w:t xml:space="preserve">approach in an under-researched domain, the primary aim was to investigate the feasibility and initial effectiveness of the hybrid model rather than establish definitive causal relationships. </w:t>
      </w:r>
      <w:r w:rsidR="004A687F" w:rsidRPr="00644CB1">
        <w:rPr>
          <w:rFonts w:ascii="Times New Roman" w:hAnsi="Times New Roman"/>
          <w:color w:val="0D0D0D" w:themeColor="text1" w:themeTint="F2"/>
        </w:rPr>
        <w:t xml:space="preserve">Additionally, </w:t>
      </w:r>
      <w:r w:rsidRPr="00644CB1">
        <w:rPr>
          <w:rFonts w:ascii="Times New Roman" w:hAnsi="Times New Roman"/>
          <w:color w:val="0D0D0D" w:themeColor="text1" w:themeTint="F2"/>
          <w:lang w:val="en-US"/>
        </w:rPr>
        <w:t xml:space="preserve">the immersive nature of the VIFT required institution-wide participation across multiple cohorts, making it logistically and ethically challenging to withhold the intervention from a control group or establish a comparable control condition. </w:t>
      </w:r>
      <w:r w:rsidR="004A687F" w:rsidRPr="00644CB1">
        <w:rPr>
          <w:rFonts w:ascii="Times New Roman" w:hAnsi="Times New Roman"/>
          <w:color w:val="0D0D0D" w:themeColor="text1" w:themeTint="F2"/>
          <w:lang w:val="en-US"/>
        </w:rPr>
        <w:t>Furthermore</w:t>
      </w:r>
      <w:r w:rsidRPr="00644CB1">
        <w:rPr>
          <w:rFonts w:ascii="Times New Roman" w:hAnsi="Times New Roman"/>
          <w:color w:val="0D0D0D" w:themeColor="text1" w:themeTint="F2"/>
          <w:lang w:val="en-US"/>
        </w:rPr>
        <w:t>, this design allowed for rich, contextualized data collection that provides valuable preliminary insights for hypothesis generation and framework refinement in future controlled studies. While this limits causal inference, it establishes a foundation for more rigorous experimental investigations.</w:t>
      </w:r>
    </w:p>
    <w:p w14:paraId="0FB49D9B" w14:textId="3A6C31B9" w:rsidR="00E720FA" w:rsidRPr="00644CB1" w:rsidRDefault="00442D20" w:rsidP="00E720FA">
      <w:pPr>
        <w:pStyle w:val="2"/>
        <w:numPr>
          <w:ilvl w:val="1"/>
          <w:numId w:val="7"/>
        </w:numPr>
        <w:ind w:left="567" w:hanging="567"/>
        <w:rPr>
          <w:color w:val="0D0D0D" w:themeColor="text1" w:themeTint="F2"/>
        </w:rPr>
      </w:pPr>
      <w:r w:rsidRPr="00644CB1">
        <w:rPr>
          <w:color w:val="0D0D0D" w:themeColor="text1" w:themeTint="F2"/>
          <w:lang w:val="it-IT"/>
        </w:rPr>
        <w:t xml:space="preserve">Study </w:t>
      </w:r>
      <w:r w:rsidR="00DC7A8D" w:rsidRPr="00644CB1">
        <w:rPr>
          <w:color w:val="0D0D0D" w:themeColor="text1" w:themeTint="F2"/>
          <w:lang w:val="it-IT"/>
        </w:rPr>
        <w:t>p</w:t>
      </w:r>
      <w:r w:rsidRPr="00644CB1">
        <w:rPr>
          <w:color w:val="0D0D0D" w:themeColor="text1" w:themeTint="F2"/>
          <w:lang w:val="it-IT"/>
        </w:rPr>
        <w:t>rocedure</w:t>
      </w:r>
    </w:p>
    <w:p w14:paraId="037EA223" w14:textId="4FAA84C1" w:rsidR="00F83C9C" w:rsidRPr="00644CB1" w:rsidRDefault="00F83C9C" w:rsidP="00F83C9C">
      <w:pPr>
        <w:pStyle w:val="Articlenormaltext"/>
        <w:rPr>
          <w:color w:val="0D0D0D" w:themeColor="text1" w:themeTint="F2"/>
        </w:rPr>
      </w:pPr>
      <w:r w:rsidRPr="00644CB1">
        <w:rPr>
          <w:color w:val="0D0D0D" w:themeColor="text1" w:themeTint="F2"/>
        </w:rPr>
        <w:t>The laboratory procedure utilized Top Eleven platform to simulate a football tournament integrated with educational scenarios in hybrid format. Following initial briefings on the VIFT purpose and philosophy, participants established an Organizing Committee (OC) comprising sports and marketing departments.</w:t>
      </w:r>
    </w:p>
    <w:p w14:paraId="2C1ED795" w14:textId="77777777" w:rsidR="00F83C9C" w:rsidRPr="00644CB1" w:rsidRDefault="00F83C9C" w:rsidP="00F83C9C">
      <w:pPr>
        <w:pStyle w:val="Articlenormaltext"/>
        <w:rPr>
          <w:color w:val="0D0D0D" w:themeColor="text1" w:themeTint="F2"/>
        </w:rPr>
      </w:pPr>
      <w:r w:rsidRPr="00644CB1">
        <w:rPr>
          <w:color w:val="0D0D0D" w:themeColor="text1" w:themeTint="F2"/>
        </w:rPr>
        <w:t>The marketing department executed two primary functions: a) creating and managing official website and Facebook communication channels, and b) developing sponsorship programs. Despite the virtual format, the marketing department operated comprehensively, securing real-world sponsorships from organizations including Adidas Hellas and Hellenic Football Federation, providing trophies and prizes for the virtual closing ceremony.</w:t>
      </w:r>
    </w:p>
    <w:p w14:paraId="364131D1" w14:textId="77777777" w:rsidR="00F83C9C" w:rsidRPr="00644CB1" w:rsidRDefault="00F83C9C" w:rsidP="00F83C9C">
      <w:pPr>
        <w:pStyle w:val="Articlenormaltext"/>
        <w:rPr>
          <w:color w:val="0D0D0D" w:themeColor="text1" w:themeTint="F2"/>
        </w:rPr>
      </w:pPr>
      <w:r w:rsidRPr="00644CB1">
        <w:rPr>
          <w:color w:val="0D0D0D" w:themeColor="text1" w:themeTint="F2"/>
        </w:rPr>
        <w:t>Subsequent planning phases involved developing Project Charter documentation, detailed timetables, and Structured Task Analysis for both departments, alongside formulating tournament Rules and Regulations. Upon completion, organizers utilized SPESS e -class platform to distribute VIFT Participation Forms, Terms and Conditions, and regulations to virtual team managers.</w:t>
      </w:r>
    </w:p>
    <w:p w14:paraId="7E20EBB9" w14:textId="0B9AD754" w:rsidR="00F83C9C" w:rsidRPr="00644CB1" w:rsidRDefault="00F83C9C" w:rsidP="00F83C9C">
      <w:pPr>
        <w:pStyle w:val="Articlenormaltext"/>
        <w:rPr>
          <w:color w:val="0D0D0D" w:themeColor="text1" w:themeTint="F2"/>
        </w:rPr>
      </w:pPr>
      <w:r w:rsidRPr="00644CB1">
        <w:rPr>
          <w:color w:val="0D0D0D" w:themeColor="text1" w:themeTint="F2"/>
        </w:rPr>
        <w:t xml:space="preserve">OC members then assumed Project Manager (PM) roles, overseeing the group stage phase. Each PM managed one or two groups from 82 </w:t>
      </w:r>
      <w:r w:rsidR="004F576B" w:rsidRPr="00644CB1">
        <w:rPr>
          <w:color w:val="0D0D0D" w:themeColor="text1" w:themeTint="F2"/>
        </w:rPr>
        <w:t>randomly divided</w:t>
      </w:r>
      <w:r w:rsidRPr="00644CB1">
        <w:rPr>
          <w:color w:val="0D0D0D" w:themeColor="text1" w:themeTint="F2"/>
        </w:rPr>
        <w:t xml:space="preserve"> four-team groups, sending Facebook friend requests to assigned team managers via email. PMs conducted Technical Meetings through Webex platform, explaining tournament objectives, operational procedures, and regulations while distributing timetables and competition schedules. Participants' responsibilities included inviting opponents to scheduled friendly matches and reporting results to assigned PMs.</w:t>
      </w:r>
    </w:p>
    <w:p w14:paraId="09CE3E3A" w14:textId="47051B1C" w:rsidR="004F576B" w:rsidRPr="00644CB1" w:rsidRDefault="00F83C9C" w:rsidP="00E6063A">
      <w:pPr>
        <w:pStyle w:val="Articlenormaltext"/>
        <w:rPr>
          <w:color w:val="0D0D0D" w:themeColor="text1" w:themeTint="F2"/>
        </w:rPr>
      </w:pPr>
      <w:r w:rsidRPr="00644CB1">
        <w:rPr>
          <w:color w:val="0D0D0D" w:themeColor="text1" w:themeTint="F2"/>
        </w:rPr>
        <w:t xml:space="preserve">Following VIFT protocol, home teams invited opponents to friendly matches via Top Eleven platform, creating an exclusive SPESS intramural championship. Home team managers reported final scores through result screenshots to their PMs, while the marketing department updated group scoreboards and maintained the official website. The tournament facilitated continuous monitoring and evaluation, with PMs developing problem-solving and decision- making skills by addressing emerging issues. </w:t>
      </w:r>
      <w:r w:rsidR="000B46C5">
        <w:rPr>
          <w:color w:val="0D0D0D" w:themeColor="text1" w:themeTint="F2"/>
        </w:rPr>
        <w:t xml:space="preserve">For example, </w:t>
      </w:r>
      <w:r w:rsidR="000B46C5" w:rsidRPr="00E6063A">
        <w:rPr>
          <w:color w:val="0D0D0D" w:themeColor="text1" w:themeTint="F2"/>
        </w:rPr>
        <w:t xml:space="preserve">common operational challenges included managing scheduling conflicts when participants missed matches (resolved through rescheduling protocols), addressing technical issues with game platform connectivity (resolved through alternative communication channels), and handling disputes regarding match results (resolved through screenshot verification procedures). PMs documented these issues in </w:t>
      </w:r>
      <w:r w:rsidR="007B00DB" w:rsidRPr="00E6063A">
        <w:rPr>
          <w:color w:val="0D0D0D" w:themeColor="text1" w:themeTint="F2"/>
        </w:rPr>
        <w:t>dai</w:t>
      </w:r>
      <w:r w:rsidR="000B46C5" w:rsidRPr="00E6063A">
        <w:rPr>
          <w:color w:val="0D0D0D" w:themeColor="text1" w:themeTint="F2"/>
        </w:rPr>
        <w:t xml:space="preserve">ly reports and developed standardized response protocols. </w:t>
      </w:r>
      <w:r w:rsidRPr="00644CB1">
        <w:rPr>
          <w:color w:val="0D0D0D" w:themeColor="text1" w:themeTint="F2"/>
        </w:rPr>
        <w:t>The group stage concluded with winning teams advancing through knockout rounds to the final match.</w:t>
      </w:r>
      <w:r w:rsidR="003619E5">
        <w:rPr>
          <w:color w:val="0D0D0D" w:themeColor="text1" w:themeTint="F2"/>
        </w:rPr>
        <w:t xml:space="preserve"> </w:t>
      </w:r>
      <w:r w:rsidRPr="00644CB1">
        <w:rPr>
          <w:color w:val="0D0D0D" w:themeColor="text1" w:themeTint="F2"/>
        </w:rPr>
        <w:t>Upon tournament completion, the OC conducted comprehensive evaluation assessing organizational effectiveness, educational objective alignment, and participant experience. Figure 2 provides complete procedural documentation.</w:t>
      </w:r>
    </w:p>
    <w:p w14:paraId="55822E6D" w14:textId="77777777" w:rsidR="008C58C0" w:rsidRPr="00644CB1" w:rsidRDefault="008C58C0" w:rsidP="0087600F">
      <w:pPr>
        <w:pStyle w:val="Articlenormaltext"/>
        <w:rPr>
          <w:color w:val="0D0D0D" w:themeColor="text1" w:themeTint="F2"/>
          <w:lang w:val="it-IT"/>
        </w:rPr>
      </w:pPr>
    </w:p>
    <w:p w14:paraId="614AD10C" w14:textId="3214CEB8" w:rsidR="00054114" w:rsidRPr="00644CB1" w:rsidRDefault="00054114" w:rsidP="0095350C">
      <w:pPr>
        <w:pStyle w:val="Articlenormaltext"/>
        <w:tabs>
          <w:tab w:val="left" w:pos="851"/>
        </w:tabs>
        <w:spacing w:line="276" w:lineRule="auto"/>
        <w:ind w:firstLine="0"/>
        <w:rPr>
          <w:rFonts w:ascii="Arial" w:hAnsi="Arial" w:cs="Arial"/>
          <w:b/>
          <w:bCs/>
          <w:color w:val="0D0D0D" w:themeColor="text1" w:themeTint="F2"/>
          <w:sz w:val="18"/>
          <w:szCs w:val="18"/>
        </w:rPr>
      </w:pPr>
      <w:r w:rsidRPr="00644CB1">
        <w:rPr>
          <w:noProof/>
          <w:color w:val="0D0D0D" w:themeColor="text1" w:themeTint="F2"/>
          <w:szCs w:val="22"/>
          <w:lang w:val="el-GR"/>
        </w:rPr>
        <w:lastRenderedPageBreak/>
        <w:drawing>
          <wp:inline distT="0" distB="0" distL="0" distR="0" wp14:anchorId="6E5D8A61" wp14:editId="6D878DA7">
            <wp:extent cx="5487749" cy="3346450"/>
            <wp:effectExtent l="0" t="0" r="0" b="6350"/>
            <wp:docPr id="1105828201" name="Εικόνα 4" descr="Εικόνα που περιέχει κείμενο, διάγραμμα, γραμματοσειρά,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28201" name="Εικόνα 4" descr="Εικόνα που περιέχει κείμενο, διάγραμμα, γραμματοσειρά, στιγμιότυπο οθόνης&#10;&#10;Περιγραφή που δημιουργήθηκε αυτόματα"/>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2500" cy="3367641"/>
                    </a:xfrm>
                    <a:prstGeom prst="rect">
                      <a:avLst/>
                    </a:prstGeom>
                    <a:noFill/>
                    <a:ln>
                      <a:noFill/>
                    </a:ln>
                  </pic:spPr>
                </pic:pic>
              </a:graphicData>
            </a:graphic>
          </wp:inline>
        </w:drawing>
      </w:r>
      <w:r w:rsidR="00B92D18" w:rsidRPr="00644CB1">
        <w:rPr>
          <w:rFonts w:ascii="Arial" w:hAnsi="Arial" w:cs="Arial"/>
          <w:b/>
          <w:bCs/>
          <w:color w:val="0D0D0D" w:themeColor="text1" w:themeTint="F2"/>
          <w:sz w:val="18"/>
          <w:szCs w:val="18"/>
          <w:lang w:val="it-IT"/>
        </w:rPr>
        <w:t xml:space="preserve">Figure </w:t>
      </w:r>
      <w:r w:rsidR="00E52196" w:rsidRPr="00644CB1">
        <w:rPr>
          <w:rFonts w:ascii="Arial" w:hAnsi="Arial" w:cs="Arial"/>
          <w:b/>
          <w:bCs/>
          <w:color w:val="0D0D0D" w:themeColor="text1" w:themeTint="F2"/>
          <w:sz w:val="18"/>
          <w:szCs w:val="18"/>
          <w:lang w:val="it-IT"/>
        </w:rPr>
        <w:t>2</w:t>
      </w:r>
      <w:r w:rsidR="00244872" w:rsidRPr="00644CB1">
        <w:rPr>
          <w:rFonts w:ascii="Arial" w:hAnsi="Arial" w:cs="Arial"/>
          <w:b/>
          <w:bCs/>
          <w:color w:val="0D0D0D" w:themeColor="text1" w:themeTint="F2"/>
          <w:sz w:val="18"/>
          <w:szCs w:val="18"/>
          <w:lang w:val="it-IT"/>
        </w:rPr>
        <w:t>.</w:t>
      </w:r>
      <w:r w:rsidR="00D76535" w:rsidRPr="00644CB1">
        <w:rPr>
          <w:rFonts w:ascii="Arial" w:hAnsi="Arial" w:cs="Arial"/>
          <w:b/>
          <w:bCs/>
          <w:color w:val="0D0D0D" w:themeColor="text1" w:themeTint="F2"/>
          <w:sz w:val="18"/>
          <w:szCs w:val="18"/>
          <w:lang w:val="it-IT"/>
        </w:rPr>
        <w:t xml:space="preserve"> </w:t>
      </w:r>
      <w:r w:rsidR="00091DF9" w:rsidRPr="00644CB1">
        <w:rPr>
          <w:rFonts w:ascii="Arial" w:hAnsi="Arial" w:cs="Arial"/>
          <w:color w:val="0D0D0D" w:themeColor="text1" w:themeTint="F2"/>
          <w:sz w:val="18"/>
          <w:szCs w:val="18"/>
          <w:lang w:val="it-IT"/>
        </w:rPr>
        <w:t>The p</w:t>
      </w:r>
      <w:r w:rsidR="00B92D18" w:rsidRPr="00644CB1">
        <w:rPr>
          <w:rFonts w:ascii="Arial" w:hAnsi="Arial" w:cs="Arial"/>
          <w:color w:val="0D0D0D" w:themeColor="text1" w:themeTint="F2"/>
          <w:sz w:val="18"/>
          <w:szCs w:val="18"/>
          <w:lang w:val="it-IT"/>
        </w:rPr>
        <w:t>rocedure</w:t>
      </w:r>
      <w:r w:rsidR="00091DF9" w:rsidRPr="00644CB1">
        <w:rPr>
          <w:rFonts w:ascii="Arial" w:hAnsi="Arial" w:cs="Arial"/>
          <w:color w:val="0D0D0D" w:themeColor="text1" w:themeTint="F2"/>
          <w:sz w:val="18"/>
          <w:szCs w:val="18"/>
          <w:lang w:val="it-IT"/>
        </w:rPr>
        <w:t xml:space="preserve"> of the study</w:t>
      </w:r>
    </w:p>
    <w:p w14:paraId="192C5D0D" w14:textId="1176CF62" w:rsidR="0000547B" w:rsidRPr="00644CB1" w:rsidRDefault="73E6831A" w:rsidP="73E6831A">
      <w:pPr>
        <w:pStyle w:val="2"/>
        <w:numPr>
          <w:ilvl w:val="1"/>
          <w:numId w:val="7"/>
        </w:numPr>
        <w:ind w:left="567" w:hanging="567"/>
        <w:rPr>
          <w:color w:val="0D0D0D" w:themeColor="text1" w:themeTint="F2"/>
          <w:lang w:val="it-IT"/>
        </w:rPr>
      </w:pPr>
      <w:r w:rsidRPr="00644CB1">
        <w:rPr>
          <w:color w:val="0D0D0D" w:themeColor="text1" w:themeTint="F2"/>
          <w:lang w:val="it-IT"/>
        </w:rPr>
        <w:t>The SG Top Eleven</w:t>
      </w:r>
    </w:p>
    <w:p w14:paraId="3B18FBCD" w14:textId="46C92D5C" w:rsidR="0087149C" w:rsidRPr="00644CB1" w:rsidRDefault="00763AB4" w:rsidP="001810AA">
      <w:pPr>
        <w:pStyle w:val="Articlenormaltext"/>
        <w:rPr>
          <w:color w:val="0D0D0D" w:themeColor="text1" w:themeTint="F2"/>
        </w:rPr>
      </w:pPr>
      <w:r w:rsidRPr="00644CB1">
        <w:rPr>
          <w:color w:val="0D0D0D" w:themeColor="text1" w:themeTint="F2"/>
        </w:rPr>
        <w:t xml:space="preserve">Top Eleven is a free-to-play digital football management game developed by Nordeus, launched in 2010 and available in 31 languages. It can be played on PCs, laptops, mobile phones, and tablets via Facebook. Unlike traditional football simulation games that emphasize player avatars, Top Eleven focuses primarily on decision-making, and user participation is not required during matches. The core gameplay concept is built around four key elements: a) club resource development, b) budget management, c) investment in assets, and d) improving team efficiency (Photos 1 &amp; 2). The relevant management model, as illustrated by </w:t>
      </w:r>
      <w:proofErr w:type="spellStart"/>
      <w:r w:rsidRPr="00644CB1">
        <w:rPr>
          <w:color w:val="0D0D0D" w:themeColor="text1" w:themeTint="F2"/>
        </w:rPr>
        <w:t>Afthinos</w:t>
      </w:r>
      <w:proofErr w:type="spellEnd"/>
      <w:r w:rsidRPr="00644CB1">
        <w:rPr>
          <w:color w:val="0D0D0D" w:themeColor="text1" w:themeTint="F2"/>
        </w:rPr>
        <w:t xml:space="preserve"> </w:t>
      </w:r>
      <w:r w:rsidR="00E12378" w:rsidRPr="00644CB1">
        <w:rPr>
          <w:i/>
          <w:color w:val="0D0D0D" w:themeColor="text1" w:themeTint="F2"/>
        </w:rPr>
        <w:t>et al.</w:t>
      </w:r>
      <w:r w:rsidRPr="00644CB1">
        <w:rPr>
          <w:color w:val="0D0D0D" w:themeColor="text1" w:themeTint="F2"/>
        </w:rPr>
        <w:t xml:space="preserve"> </w:t>
      </w:r>
      <w:r w:rsidR="008F1471" w:rsidRPr="00644CB1">
        <w:rPr>
          <w:color w:val="0D0D0D" w:themeColor="text1" w:themeTint="F2"/>
        </w:rPr>
        <w:fldChar w:fldCharType="begin" w:fldLock="1"/>
      </w:r>
      <w:r w:rsidR="00040A71" w:rsidRPr="00644CB1">
        <w:rPr>
          <w:color w:val="0D0D0D" w:themeColor="text1" w:themeTint="F2"/>
        </w:rPr>
        <w:instrText>ADDIN CSL_CITATION {"citationItems":[{"id":"ITEM-1","itemData":{"DOI":"10.1007/s10758-021-09573-8","ISBN":"0123456789","ISSN":"22111670","abstract":"The aim of this study is to examine whether students of a sport management undergraduate course can gain knowledge in the management of a professional soccer club, by participating in a commercial serious game. Serious is considered the cyber game that its purpose exceeds entertainment. For this case study, the serious sport club management game was “Top Eleven”. The theoretical model that this study was based on, is Misfeldt’s “scenarios based learning” for the transformation of a serious game into an educational means. It includes dimensions that cover part of the sport management class content in the National and Kapodistrian University of Athens, School of Physical Education and Sport Science. The transformation consisted of educational scenarios vested to the serious game, in order to add educational parameters to its basic elements with the purpose to relate further to the sport management class. The application showed that Top Eleven covers adequately Misfeldt’s model dimensions; therefore it can be used as an educational tool. Furthermore, an evaluation of the class gamification was conducted by the participating students (n = 62). The data collected showed that the majority of the students (f = 61, 98.4%) agreed that the participation in the serious game was “helpful” to their sport management class education process. They further agreed that they gained “very” or “very much” knowledge related to the management of a professional soccer club (f = 41, 66.1%) and that 59.7% (f = 37) of them would choose to work in a position of “sport club manager” as a result of the experience they gained by participating in the serious game.","author":[{"dropping-particle":"","family":"Afthinos","given":"Yanni","non-dropping-particle":"","parse-names":false,"suffix":""},{"dropping-particle":"","family":"Kiaffas","given":"Zacharias","non-dropping-particle":"","parse-names":false,"suffix":""},{"dropping-particle":"","family":"Afthinos","given":"Theofilos","non-dropping-particle":"","parse-names":false,"suffix":""}],"container-title":"Technology, Knowledge and Learning","id":"ITEM-1","issue":"1","issued":{"date-parts":[["2022"]]},"page":"255-273","publisher":"Springer Netherlands","title":"The Serious Game “Top Eleven” as an Educational Simulation Platform for Acquiring Knowledge and Skills in the Management of Sports Clubs","type":"article-journal","volume":"27"},"uris":["http://www.mendeley.com/documents/?uuid=30dcf59c-a82e-4fef-8228-412cc63cdcc0"]}],"mendeley":{"formattedCitation":"[10]","plainTextFormattedCitation":"[10]","previouslyFormattedCitation":"[10]"},"properties":{"noteIndex":0},"schema":"https://github.com/citation-style-language/schema/raw/master/csl-citation.json"}</w:instrText>
      </w:r>
      <w:r w:rsidR="008F1471" w:rsidRPr="00644CB1">
        <w:rPr>
          <w:color w:val="0D0D0D" w:themeColor="text1" w:themeTint="F2"/>
        </w:rPr>
        <w:fldChar w:fldCharType="separate"/>
      </w:r>
      <w:r w:rsidR="008F1471" w:rsidRPr="00644CB1">
        <w:rPr>
          <w:noProof/>
          <w:color w:val="0D0D0D" w:themeColor="text1" w:themeTint="F2"/>
        </w:rPr>
        <w:t>[10]</w:t>
      </w:r>
      <w:r w:rsidR="008F1471" w:rsidRPr="00644CB1">
        <w:rPr>
          <w:color w:val="0D0D0D" w:themeColor="text1" w:themeTint="F2"/>
        </w:rPr>
        <w:fldChar w:fldCharType="end"/>
      </w:r>
      <w:r w:rsidRPr="00644CB1">
        <w:rPr>
          <w:color w:val="0D0D0D" w:themeColor="text1" w:themeTint="F2"/>
        </w:rPr>
        <w:t>, is presented in Figure 3.</w:t>
      </w:r>
      <w:r w:rsidR="0087149C" w:rsidRPr="00644CB1">
        <w:rPr>
          <w:color w:val="0D0D0D" w:themeColor="text1" w:themeTint="F2"/>
        </w:rPr>
        <w:t xml:space="preserve"> </w:t>
      </w:r>
    </w:p>
    <w:p w14:paraId="75A6D075" w14:textId="5F25757C" w:rsidR="001810AA" w:rsidRPr="00644CB1" w:rsidRDefault="0087149C" w:rsidP="001810AA">
      <w:pPr>
        <w:pStyle w:val="Articlenormaltext"/>
        <w:rPr>
          <w:color w:val="0D0D0D" w:themeColor="text1" w:themeTint="F2"/>
          <w:lang w:val="it-IT"/>
        </w:rPr>
      </w:pPr>
      <w:r w:rsidRPr="00644CB1">
        <w:rPr>
          <w:color w:val="0D0D0D" w:themeColor="text1" w:themeTint="F2"/>
        </w:rPr>
        <w:t>In Top Eleven, the player assumes the role of a football club manager, responsible for leading their team to success and championship titles. The game’s structure integrates fundamental management functions commonly found in a conventional sports club, simulating various sports management roles, including that of a sport event manager. Specifically, Top Eleven enables users to manage teams and participate in multiple competitions and tournaments, such as:</w:t>
      </w:r>
    </w:p>
    <w:p w14:paraId="23AF95C7" w14:textId="77777777" w:rsidR="00E55C1B" w:rsidRPr="00644CB1" w:rsidRDefault="00E55C1B" w:rsidP="00E55C1B">
      <w:pPr>
        <w:pStyle w:val="Articlenormaltext"/>
        <w:rPr>
          <w:color w:val="0D0D0D" w:themeColor="text1" w:themeTint="F2"/>
        </w:rPr>
      </w:pPr>
    </w:p>
    <w:p w14:paraId="5D62C95D" w14:textId="77777777" w:rsidR="0000547B" w:rsidRPr="00644CB1" w:rsidRDefault="0000547B" w:rsidP="006A6977">
      <w:pPr>
        <w:pStyle w:val="Articlenormaltext"/>
        <w:ind w:firstLine="0"/>
        <w:rPr>
          <w:color w:val="0D0D0D" w:themeColor="text1" w:themeTint="F2"/>
          <w:szCs w:val="22"/>
        </w:rPr>
      </w:pPr>
      <w:r w:rsidRPr="00644CB1">
        <w:rPr>
          <w:noProof/>
          <w:color w:val="0D0D0D" w:themeColor="text1" w:themeTint="F2"/>
          <w:szCs w:val="22"/>
        </w:rPr>
        <w:drawing>
          <wp:inline distT="0" distB="0" distL="0" distR="0" wp14:anchorId="525DDE5B" wp14:editId="4B83B2B0">
            <wp:extent cx="2424211" cy="1717803"/>
            <wp:effectExtent l="0" t="0" r="0" b="0"/>
            <wp:docPr id="1730141148" name="Εικόνα 1" descr="Εικόνα που περιέχει κείμενο, στιγμιότυπο οθόνης, λογισμικό, εικονίδιο υπολογιστή&#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141148" name="Εικόνα 1" descr="Εικόνα που περιέχει κείμενο, στιγμιότυπο οθόνης, λογισμικό, εικονίδιο υπολογιστή&#10;&#10;Περιγραφή που δημιουργήθηκε αυτόματα"/>
                    <pic:cNvPicPr/>
                  </pic:nvPicPr>
                  <pic:blipFill>
                    <a:blip r:embed="rId11"/>
                    <a:stretch>
                      <a:fillRect/>
                    </a:stretch>
                  </pic:blipFill>
                  <pic:spPr>
                    <a:xfrm>
                      <a:off x="0" y="0"/>
                      <a:ext cx="2451458" cy="1737110"/>
                    </a:xfrm>
                    <a:prstGeom prst="rect">
                      <a:avLst/>
                    </a:prstGeom>
                  </pic:spPr>
                </pic:pic>
              </a:graphicData>
            </a:graphic>
          </wp:inline>
        </w:drawing>
      </w:r>
      <w:r w:rsidRPr="00644CB1">
        <w:rPr>
          <w:color w:val="0D0D0D" w:themeColor="text1" w:themeTint="F2"/>
          <w:szCs w:val="22"/>
        </w:rPr>
        <w:t xml:space="preserve">   </w:t>
      </w:r>
      <w:r w:rsidRPr="00644CB1">
        <w:rPr>
          <w:noProof/>
          <w:color w:val="0D0D0D" w:themeColor="text1" w:themeTint="F2"/>
          <w:szCs w:val="22"/>
        </w:rPr>
        <w:drawing>
          <wp:inline distT="0" distB="0" distL="0" distR="0" wp14:anchorId="7B851218" wp14:editId="43D2DE95">
            <wp:extent cx="2771553" cy="1723089"/>
            <wp:effectExtent l="0" t="0" r="0" b="0"/>
            <wp:docPr id="2089261171" name="Εικόνα 1" descr="Εικόνα που περιέχει χάρτης, στιγμιότυπο οθόνης, πολεοδομικό σχέδιο, Αεροφωτογραφί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261171" name="Εικόνα 1" descr="Εικόνα που περιέχει χάρτης, στιγμιότυπο οθόνης, πολεοδομικό σχέδιο, Αεροφωτογραφία"/>
                    <pic:cNvPicPr/>
                  </pic:nvPicPr>
                  <pic:blipFill>
                    <a:blip r:embed="rId12"/>
                    <a:stretch>
                      <a:fillRect/>
                    </a:stretch>
                  </pic:blipFill>
                  <pic:spPr>
                    <a:xfrm>
                      <a:off x="0" y="0"/>
                      <a:ext cx="2771553" cy="1723089"/>
                    </a:xfrm>
                    <a:prstGeom prst="rect">
                      <a:avLst/>
                    </a:prstGeom>
                  </pic:spPr>
                </pic:pic>
              </a:graphicData>
            </a:graphic>
          </wp:inline>
        </w:drawing>
      </w:r>
    </w:p>
    <w:p w14:paraId="6029B60C" w14:textId="182E6B6E" w:rsidR="00F90159" w:rsidRPr="00644CB1" w:rsidRDefault="00F90159" w:rsidP="004055CA">
      <w:pPr>
        <w:pStyle w:val="Articlenormaltext"/>
        <w:tabs>
          <w:tab w:val="left" w:pos="851"/>
        </w:tabs>
        <w:spacing w:line="276" w:lineRule="auto"/>
        <w:ind w:firstLine="0"/>
        <w:rPr>
          <w:rFonts w:ascii="Arial" w:hAnsi="Arial" w:cs="Arial"/>
          <w:color w:val="0D0D0D" w:themeColor="text1" w:themeTint="F2"/>
          <w:sz w:val="18"/>
          <w:szCs w:val="18"/>
          <w:lang w:val="it-IT"/>
        </w:rPr>
      </w:pPr>
      <w:r w:rsidRPr="00644CB1">
        <w:rPr>
          <w:rFonts w:ascii="Arial" w:hAnsi="Arial" w:cs="Arial"/>
          <w:b/>
          <w:bCs/>
          <w:color w:val="0D0D0D" w:themeColor="text1" w:themeTint="F2"/>
          <w:sz w:val="18"/>
          <w:szCs w:val="18"/>
          <w:lang w:val="it-IT"/>
        </w:rPr>
        <w:t>Photo 1.</w:t>
      </w:r>
      <w:r w:rsidR="004055CA" w:rsidRPr="00644CB1">
        <w:rPr>
          <w:rFonts w:ascii="Arial" w:hAnsi="Arial" w:cs="Arial"/>
          <w:color w:val="0D0D0D" w:themeColor="text1" w:themeTint="F2"/>
          <w:sz w:val="18"/>
          <w:szCs w:val="18"/>
          <w:lang w:val="it-IT"/>
        </w:rPr>
        <w:tab/>
      </w:r>
      <w:r w:rsidR="0003360B" w:rsidRPr="00644CB1">
        <w:rPr>
          <w:rFonts w:ascii="Arial" w:hAnsi="Arial" w:cs="Arial"/>
          <w:color w:val="0D0D0D" w:themeColor="text1" w:themeTint="F2"/>
          <w:sz w:val="18"/>
          <w:szCs w:val="18"/>
          <w:lang w:val="it-IT"/>
        </w:rPr>
        <w:t xml:space="preserve">Club’s </w:t>
      </w:r>
      <w:r w:rsidRPr="00644CB1">
        <w:rPr>
          <w:rFonts w:ascii="Arial" w:hAnsi="Arial" w:cs="Arial"/>
          <w:color w:val="0D0D0D" w:themeColor="text1" w:themeTint="F2"/>
          <w:sz w:val="18"/>
          <w:szCs w:val="18"/>
          <w:lang w:val="it-IT"/>
        </w:rPr>
        <w:t xml:space="preserve">Financial </w:t>
      </w:r>
      <w:r w:rsidR="003C6FB8" w:rsidRPr="00644CB1">
        <w:rPr>
          <w:rFonts w:ascii="Arial" w:hAnsi="Arial" w:cs="Arial"/>
          <w:color w:val="0D0D0D" w:themeColor="text1" w:themeTint="F2"/>
          <w:sz w:val="18"/>
          <w:szCs w:val="18"/>
          <w:lang w:val="it-IT"/>
        </w:rPr>
        <w:t>O</w:t>
      </w:r>
      <w:r w:rsidRPr="00644CB1">
        <w:rPr>
          <w:rFonts w:ascii="Arial" w:hAnsi="Arial" w:cs="Arial"/>
          <w:color w:val="0D0D0D" w:themeColor="text1" w:themeTint="F2"/>
          <w:sz w:val="18"/>
          <w:szCs w:val="18"/>
          <w:lang w:val="it-IT"/>
        </w:rPr>
        <w:t xml:space="preserve">verview </w:t>
      </w:r>
      <w:r w:rsidRPr="00644CB1">
        <w:rPr>
          <w:rFonts w:ascii="Arial" w:hAnsi="Arial" w:cs="Arial"/>
          <w:color w:val="0D0D0D" w:themeColor="text1" w:themeTint="F2"/>
          <w:sz w:val="18"/>
          <w:szCs w:val="18"/>
        </w:rPr>
        <w:tab/>
      </w:r>
      <w:r w:rsidR="006A6977" w:rsidRPr="00644CB1">
        <w:rPr>
          <w:rFonts w:ascii="Arial" w:hAnsi="Arial" w:cs="Arial"/>
          <w:color w:val="0D0D0D" w:themeColor="text1" w:themeTint="F2"/>
          <w:sz w:val="18"/>
          <w:szCs w:val="18"/>
        </w:rPr>
        <w:t xml:space="preserve">        </w:t>
      </w:r>
      <w:r w:rsidR="003C6FB8" w:rsidRPr="00644CB1">
        <w:rPr>
          <w:rFonts w:ascii="Arial" w:hAnsi="Arial" w:cs="Arial"/>
          <w:b/>
          <w:bCs/>
          <w:color w:val="0D0D0D" w:themeColor="text1" w:themeTint="F2"/>
          <w:sz w:val="18"/>
          <w:szCs w:val="18"/>
          <w:lang w:val="it-IT"/>
        </w:rPr>
        <w:t>Photo 2</w:t>
      </w:r>
      <w:r w:rsidR="003C6FB8" w:rsidRPr="00644CB1">
        <w:rPr>
          <w:rFonts w:ascii="Arial" w:hAnsi="Arial" w:cs="Arial"/>
          <w:color w:val="0D0D0D" w:themeColor="text1" w:themeTint="F2"/>
          <w:sz w:val="18"/>
          <w:szCs w:val="18"/>
          <w:lang w:val="it-IT"/>
        </w:rPr>
        <w:t xml:space="preserve">. Club’s </w:t>
      </w:r>
      <w:r w:rsidR="0003360B" w:rsidRPr="00644CB1">
        <w:rPr>
          <w:rFonts w:ascii="Arial" w:hAnsi="Arial" w:cs="Arial"/>
          <w:color w:val="0D0D0D" w:themeColor="text1" w:themeTint="F2"/>
          <w:sz w:val="18"/>
          <w:szCs w:val="18"/>
          <w:lang w:val="it-IT"/>
        </w:rPr>
        <w:t>facility development</w:t>
      </w:r>
      <w:r w:rsidRPr="00644CB1">
        <w:rPr>
          <w:rFonts w:ascii="Arial" w:hAnsi="Arial" w:cs="Arial"/>
          <w:color w:val="0D0D0D" w:themeColor="text1" w:themeTint="F2"/>
          <w:sz w:val="18"/>
          <w:szCs w:val="18"/>
          <w:lang w:val="it-IT"/>
        </w:rPr>
        <w:t xml:space="preserve"> </w:t>
      </w:r>
    </w:p>
    <w:p w14:paraId="5C5FC7D3" w14:textId="77777777" w:rsidR="0000547B" w:rsidRPr="00644CB1" w:rsidRDefault="0000547B" w:rsidP="0000547B">
      <w:pPr>
        <w:pStyle w:val="Articlenormaltext"/>
        <w:rPr>
          <w:color w:val="0D0D0D" w:themeColor="text1" w:themeTint="F2"/>
          <w:szCs w:val="22"/>
        </w:rPr>
      </w:pPr>
    </w:p>
    <w:p w14:paraId="6181D027" w14:textId="77777777" w:rsidR="0000547B" w:rsidRPr="00644CB1" w:rsidRDefault="0000547B" w:rsidP="0000547B">
      <w:pPr>
        <w:pStyle w:val="Articlenormaltext"/>
        <w:rPr>
          <w:color w:val="0D0D0D" w:themeColor="text1" w:themeTint="F2"/>
          <w:szCs w:val="22"/>
        </w:rPr>
      </w:pPr>
      <w:r w:rsidRPr="00644CB1">
        <w:rPr>
          <w:color w:val="0D0D0D" w:themeColor="text1" w:themeTint="F2"/>
          <w:szCs w:val="22"/>
        </w:rPr>
        <w:lastRenderedPageBreak/>
        <w:t xml:space="preserve"> </w:t>
      </w:r>
      <w:r w:rsidRPr="00644CB1">
        <w:rPr>
          <w:noProof/>
          <w:color w:val="0D0D0D" w:themeColor="text1" w:themeTint="F2"/>
          <w:sz w:val="20"/>
        </w:rPr>
        <w:drawing>
          <wp:inline distT="0" distB="0" distL="0" distR="0" wp14:anchorId="108672B9" wp14:editId="2DF480F9">
            <wp:extent cx="3696614" cy="1876370"/>
            <wp:effectExtent l="0" t="0" r="0" b="0"/>
            <wp:docPr id="425636266" name="Εικόνα 42563626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Εικόνα 19" descr="A screenshot of a computer screen&#10;&#10;Description automatically generated"/>
                    <pic:cNvPicPr/>
                  </pic:nvPicPr>
                  <pic:blipFill rotWithShape="1">
                    <a:blip r:embed="rId13"/>
                    <a:srcRect l="15146" t="13267" r="14707" b="13362"/>
                    <a:stretch/>
                  </pic:blipFill>
                  <pic:spPr bwMode="auto">
                    <a:xfrm>
                      <a:off x="0" y="0"/>
                      <a:ext cx="3706105" cy="1881187"/>
                    </a:xfrm>
                    <a:prstGeom prst="rect">
                      <a:avLst/>
                    </a:prstGeom>
                    <a:ln>
                      <a:noFill/>
                    </a:ln>
                    <a:extLst>
                      <a:ext uri="{53640926-AAD7-44D8-BBD7-CCE9431645EC}">
                        <a14:shadowObscured xmlns:a14="http://schemas.microsoft.com/office/drawing/2010/main"/>
                      </a:ext>
                    </a:extLst>
                  </pic:spPr>
                </pic:pic>
              </a:graphicData>
            </a:graphic>
          </wp:inline>
        </w:drawing>
      </w:r>
    </w:p>
    <w:p w14:paraId="4C1B5497" w14:textId="57A2A15D" w:rsidR="0000547B" w:rsidRPr="00644CB1" w:rsidRDefault="0000547B" w:rsidP="002C1A18">
      <w:pPr>
        <w:pStyle w:val="Articlenormaltext"/>
        <w:tabs>
          <w:tab w:val="left" w:pos="851"/>
        </w:tabs>
        <w:spacing w:line="276" w:lineRule="auto"/>
        <w:ind w:firstLine="0"/>
        <w:rPr>
          <w:rFonts w:ascii="Arial" w:hAnsi="Arial" w:cs="Arial"/>
          <w:color w:val="0D0D0D" w:themeColor="text1" w:themeTint="F2"/>
          <w:sz w:val="18"/>
          <w:szCs w:val="18"/>
        </w:rPr>
      </w:pPr>
      <w:r w:rsidRPr="00644CB1">
        <w:rPr>
          <w:rFonts w:ascii="Arial" w:hAnsi="Arial" w:cs="Arial"/>
          <w:b/>
          <w:bCs/>
          <w:color w:val="0D0D0D" w:themeColor="text1" w:themeTint="F2"/>
          <w:sz w:val="18"/>
          <w:szCs w:val="18"/>
        </w:rPr>
        <w:t>Figure</w:t>
      </w:r>
      <w:r w:rsidR="00D40B2C" w:rsidRPr="00644CB1">
        <w:rPr>
          <w:rFonts w:ascii="Arial" w:hAnsi="Arial" w:cs="Arial"/>
          <w:b/>
          <w:bCs/>
          <w:color w:val="0D0D0D" w:themeColor="text1" w:themeTint="F2"/>
          <w:sz w:val="18"/>
          <w:szCs w:val="18"/>
        </w:rPr>
        <w:t xml:space="preserve"> </w:t>
      </w:r>
      <w:r w:rsidR="00E52196" w:rsidRPr="00644CB1">
        <w:rPr>
          <w:rFonts w:ascii="Arial" w:hAnsi="Arial" w:cs="Arial"/>
          <w:b/>
          <w:bCs/>
          <w:color w:val="0D0D0D" w:themeColor="text1" w:themeTint="F2"/>
          <w:sz w:val="18"/>
          <w:szCs w:val="18"/>
        </w:rPr>
        <w:t>3</w:t>
      </w:r>
      <w:r w:rsidRPr="00644CB1">
        <w:rPr>
          <w:rFonts w:ascii="Arial" w:hAnsi="Arial" w:cs="Arial"/>
          <w:b/>
          <w:bCs/>
          <w:color w:val="0D0D0D" w:themeColor="text1" w:themeTint="F2"/>
          <w:sz w:val="18"/>
          <w:szCs w:val="18"/>
        </w:rPr>
        <w:t>.</w:t>
      </w:r>
      <w:r w:rsidR="002C1A18" w:rsidRPr="00644CB1">
        <w:rPr>
          <w:rFonts w:ascii="Arial" w:hAnsi="Arial" w:cs="Arial"/>
          <w:color w:val="0D0D0D" w:themeColor="text1" w:themeTint="F2"/>
          <w:sz w:val="18"/>
          <w:szCs w:val="18"/>
        </w:rPr>
        <w:tab/>
      </w:r>
      <w:r w:rsidRPr="00644CB1">
        <w:rPr>
          <w:rFonts w:ascii="Arial" w:hAnsi="Arial" w:cs="Arial"/>
          <w:color w:val="0D0D0D" w:themeColor="text1" w:themeTint="F2"/>
          <w:sz w:val="18"/>
          <w:szCs w:val="18"/>
        </w:rPr>
        <w:t xml:space="preserve">Basic game concept </w:t>
      </w:r>
      <w:r w:rsidR="008E2DE2" w:rsidRPr="00644CB1">
        <w:rPr>
          <w:rFonts w:ascii="Arial" w:hAnsi="Arial" w:cs="Arial"/>
          <w:color w:val="0D0D0D" w:themeColor="text1" w:themeTint="F2"/>
          <w:sz w:val="18"/>
          <w:szCs w:val="18"/>
        </w:rPr>
        <w:fldChar w:fldCharType="begin" w:fldLock="1"/>
      </w:r>
      <w:r w:rsidR="00F90521" w:rsidRPr="00644CB1">
        <w:rPr>
          <w:rFonts w:ascii="Arial" w:hAnsi="Arial" w:cs="Arial"/>
          <w:color w:val="0D0D0D" w:themeColor="text1" w:themeTint="F2"/>
          <w:sz w:val="18"/>
          <w:szCs w:val="18"/>
        </w:rPr>
        <w:instrText>ADDIN CSL_CITATION {"citationItems":[{"id":"ITEM-1","itemData":{"DOI":"10.1007/s10758-021-09573-8","ISBN":"0123456789","ISSN":"22111670","abstract":"The aim of this study is to examine whether students of a sport management undergraduate course can gain knowledge in the management of a professional soccer club, by participating in a commercial serious game. Serious is considered the cyber game that its purpose exceeds entertainment. For this case study, the serious sport club management game was “Top Eleven”. The theoretical model that this study was based on, is Misfeldt’s “scenarios based learning” for the transformation of a serious game into an educational means. It includes dimensions that cover part of the sport management class content in the National and Kapodistrian University of Athens, School of Physical Education and Sport Science. The transformation consisted of educational scenarios vested to the serious game, in order to add educational parameters to its basic elements with the purpose to relate further to the sport management class. The application showed that Top Eleven covers adequately Misfeldt’s model dimensions; therefore it can be used as an educational tool. Furthermore, an evaluation of the class gamification was conducted by the participating students (n = 62). The data collected showed that the majority of the students (f = 61, 98.4%) agreed that the participation in the serious game was “helpful” to their sport management class education process. They further agreed that they gained “very” or “very much” knowledge related to the management of a professional soccer club (f = 41, 66.1%) and that 59.7% (f = 37) of them would choose to work in a position of “sport club manager” as a result of the experience they gained by participating in the serious game.","author":[{"dropping-particle":"","family":"Afthinos","given":"Yanni","non-dropping-particle":"","parse-names":false,"suffix":""},{"dropping-particle":"","family":"Kiaffas","given":"Zacharias","non-dropping-particle":"","parse-names":false,"suffix":""},{"dropping-particle":"","family":"Afthinos","given":"Theofilos","non-dropping-particle":"","parse-names":false,"suffix":""}],"container-title":"Technology, Knowledge and Learning","id":"ITEM-1","issue":"1","issued":{"date-parts":[["2022"]]},"page":"255-273","publisher":"Springer Netherlands","title":"The Serious Game “Top Eleven” as an Educational Simulation Platform for Acquiring Knowledge and Skills in the Management of Sports Clubs","type":"article-journal","volume":"27"},"uris":["http://www.mendeley.com/documents/?uuid=30dcf59c-a82e-4fef-8228-412cc63cdcc0"]}],"mendeley":{"formattedCitation":"[10]","plainTextFormattedCitation":"[10]","previouslyFormattedCitation":"[10]"},"properties":{"noteIndex":0},"schema":"https://github.com/citation-style-language/schema/raw/master/csl-citation.json"}</w:instrText>
      </w:r>
      <w:r w:rsidR="008E2DE2" w:rsidRPr="00644CB1">
        <w:rPr>
          <w:rFonts w:ascii="Arial" w:hAnsi="Arial" w:cs="Arial"/>
          <w:color w:val="0D0D0D" w:themeColor="text1" w:themeTint="F2"/>
          <w:sz w:val="18"/>
          <w:szCs w:val="18"/>
        </w:rPr>
        <w:fldChar w:fldCharType="separate"/>
      </w:r>
      <w:r w:rsidR="00622BD1" w:rsidRPr="00644CB1">
        <w:rPr>
          <w:rFonts w:ascii="Arial" w:hAnsi="Arial" w:cs="Arial"/>
          <w:noProof/>
          <w:color w:val="0D0D0D" w:themeColor="text1" w:themeTint="F2"/>
          <w:sz w:val="18"/>
          <w:szCs w:val="18"/>
          <w:lang w:val="it-IT"/>
        </w:rPr>
        <w:t>[10]</w:t>
      </w:r>
      <w:r w:rsidR="008E2DE2" w:rsidRPr="00644CB1">
        <w:rPr>
          <w:rFonts w:ascii="Arial" w:hAnsi="Arial" w:cs="Arial"/>
          <w:color w:val="0D0D0D" w:themeColor="text1" w:themeTint="F2"/>
          <w:sz w:val="18"/>
          <w:szCs w:val="18"/>
        </w:rPr>
        <w:fldChar w:fldCharType="end"/>
      </w:r>
    </w:p>
    <w:p w14:paraId="4F88F853" w14:textId="77777777" w:rsidR="0000547B" w:rsidRPr="00644CB1" w:rsidRDefault="0000547B" w:rsidP="0000547B">
      <w:pPr>
        <w:pStyle w:val="Articlenormaltext"/>
        <w:ind w:firstLine="0"/>
        <w:rPr>
          <w:color w:val="0D0D0D" w:themeColor="text1" w:themeTint="F2"/>
          <w:szCs w:val="22"/>
        </w:rPr>
      </w:pPr>
    </w:p>
    <w:p w14:paraId="4FDAC7ED" w14:textId="77777777" w:rsidR="0000547B" w:rsidRPr="00644CB1" w:rsidRDefault="0000547B" w:rsidP="0000547B">
      <w:pPr>
        <w:pStyle w:val="Articlenormaltext"/>
        <w:rPr>
          <w:color w:val="0D0D0D" w:themeColor="text1" w:themeTint="F2"/>
          <w:szCs w:val="22"/>
        </w:rPr>
      </w:pPr>
      <w:r w:rsidRPr="00644CB1">
        <w:rPr>
          <w:color w:val="0D0D0D" w:themeColor="text1" w:themeTint="F2"/>
          <w:szCs w:val="22"/>
        </w:rPr>
        <w:t>•</w:t>
      </w:r>
      <w:r w:rsidRPr="00644CB1">
        <w:rPr>
          <w:color w:val="0D0D0D" w:themeColor="text1" w:themeTint="F2"/>
          <w:szCs w:val="22"/>
        </w:rPr>
        <w:tab/>
        <w:t>League</w:t>
      </w:r>
    </w:p>
    <w:p w14:paraId="1734A3D8" w14:textId="77777777" w:rsidR="0000547B" w:rsidRPr="00644CB1" w:rsidRDefault="0000547B" w:rsidP="0000547B">
      <w:pPr>
        <w:pStyle w:val="Articlenormaltext"/>
        <w:rPr>
          <w:color w:val="0D0D0D" w:themeColor="text1" w:themeTint="F2"/>
          <w:szCs w:val="22"/>
        </w:rPr>
      </w:pPr>
      <w:r w:rsidRPr="00644CB1">
        <w:rPr>
          <w:color w:val="0D0D0D" w:themeColor="text1" w:themeTint="F2"/>
          <w:szCs w:val="22"/>
        </w:rPr>
        <w:t>•</w:t>
      </w:r>
      <w:r w:rsidRPr="00644CB1">
        <w:rPr>
          <w:color w:val="0D0D0D" w:themeColor="text1" w:themeTint="F2"/>
          <w:szCs w:val="22"/>
        </w:rPr>
        <w:tab/>
        <w:t>Champions League</w:t>
      </w:r>
    </w:p>
    <w:p w14:paraId="597E59A7" w14:textId="77777777" w:rsidR="0000547B" w:rsidRPr="00644CB1" w:rsidRDefault="0000547B" w:rsidP="0000547B">
      <w:pPr>
        <w:pStyle w:val="Articlenormaltext"/>
        <w:rPr>
          <w:color w:val="0D0D0D" w:themeColor="text1" w:themeTint="F2"/>
          <w:szCs w:val="22"/>
        </w:rPr>
      </w:pPr>
      <w:r w:rsidRPr="00644CB1">
        <w:rPr>
          <w:color w:val="0D0D0D" w:themeColor="text1" w:themeTint="F2"/>
          <w:szCs w:val="22"/>
        </w:rPr>
        <w:t>•</w:t>
      </w:r>
      <w:r w:rsidRPr="00644CB1">
        <w:rPr>
          <w:color w:val="0D0D0D" w:themeColor="text1" w:themeTint="F2"/>
          <w:szCs w:val="22"/>
        </w:rPr>
        <w:tab/>
        <w:t>Super League</w:t>
      </w:r>
    </w:p>
    <w:p w14:paraId="5F4240BF" w14:textId="77777777" w:rsidR="0000547B" w:rsidRPr="00644CB1" w:rsidRDefault="0000547B" w:rsidP="0000547B">
      <w:pPr>
        <w:pStyle w:val="Articlenormaltext"/>
        <w:rPr>
          <w:color w:val="0D0D0D" w:themeColor="text1" w:themeTint="F2"/>
          <w:szCs w:val="22"/>
        </w:rPr>
      </w:pPr>
      <w:r w:rsidRPr="00644CB1">
        <w:rPr>
          <w:color w:val="0D0D0D" w:themeColor="text1" w:themeTint="F2"/>
          <w:szCs w:val="22"/>
        </w:rPr>
        <w:t>•</w:t>
      </w:r>
      <w:r w:rsidRPr="00644CB1">
        <w:rPr>
          <w:color w:val="0D0D0D" w:themeColor="text1" w:themeTint="F2"/>
          <w:szCs w:val="22"/>
        </w:rPr>
        <w:tab/>
        <w:t>Cup</w:t>
      </w:r>
    </w:p>
    <w:p w14:paraId="0BBABA81" w14:textId="77777777" w:rsidR="0000547B" w:rsidRPr="00644CB1" w:rsidRDefault="0000547B" w:rsidP="0000547B">
      <w:pPr>
        <w:pStyle w:val="Articlenormaltext"/>
        <w:rPr>
          <w:color w:val="0D0D0D" w:themeColor="text1" w:themeTint="F2"/>
          <w:szCs w:val="22"/>
        </w:rPr>
      </w:pPr>
      <w:r w:rsidRPr="00644CB1">
        <w:rPr>
          <w:color w:val="0D0D0D" w:themeColor="text1" w:themeTint="F2"/>
          <w:szCs w:val="22"/>
        </w:rPr>
        <w:t>•</w:t>
      </w:r>
      <w:r w:rsidRPr="00644CB1">
        <w:rPr>
          <w:color w:val="0D0D0D" w:themeColor="text1" w:themeTint="F2"/>
          <w:szCs w:val="22"/>
        </w:rPr>
        <w:tab/>
        <w:t>Super Cup</w:t>
      </w:r>
    </w:p>
    <w:p w14:paraId="1591958C" w14:textId="77777777" w:rsidR="0000547B" w:rsidRPr="00644CB1" w:rsidRDefault="0000547B" w:rsidP="0000547B">
      <w:pPr>
        <w:pStyle w:val="Articlenormaltext"/>
        <w:rPr>
          <w:color w:val="0D0D0D" w:themeColor="text1" w:themeTint="F2"/>
        </w:rPr>
      </w:pPr>
      <w:r w:rsidRPr="00644CB1">
        <w:rPr>
          <w:color w:val="0D0D0D" w:themeColor="text1" w:themeTint="F2"/>
          <w:lang w:val="it-IT"/>
        </w:rPr>
        <w:t>•</w:t>
      </w:r>
      <w:r w:rsidRPr="00644CB1">
        <w:rPr>
          <w:color w:val="0D0D0D" w:themeColor="text1" w:themeTint="F2"/>
        </w:rPr>
        <w:tab/>
      </w:r>
      <w:r w:rsidRPr="00644CB1">
        <w:rPr>
          <w:color w:val="0D0D0D" w:themeColor="text1" w:themeTint="F2"/>
          <w:lang w:val="it-IT"/>
        </w:rPr>
        <w:t>Association Tournaments</w:t>
      </w:r>
    </w:p>
    <w:p w14:paraId="0D22D58F" w14:textId="77777777" w:rsidR="0000547B" w:rsidRPr="00644CB1" w:rsidRDefault="0000547B" w:rsidP="0000547B">
      <w:pPr>
        <w:pStyle w:val="Articlenormaltext"/>
        <w:rPr>
          <w:color w:val="0D0D0D" w:themeColor="text1" w:themeTint="F2"/>
        </w:rPr>
      </w:pPr>
      <w:r w:rsidRPr="00644CB1">
        <w:rPr>
          <w:color w:val="0D0D0D" w:themeColor="text1" w:themeTint="F2"/>
          <w:lang w:val="it-IT"/>
        </w:rPr>
        <w:t>•</w:t>
      </w:r>
      <w:r w:rsidRPr="00644CB1">
        <w:rPr>
          <w:color w:val="0D0D0D" w:themeColor="text1" w:themeTint="F2"/>
        </w:rPr>
        <w:tab/>
      </w:r>
      <w:r w:rsidRPr="00644CB1">
        <w:rPr>
          <w:color w:val="0D0D0D" w:themeColor="text1" w:themeTint="F2"/>
          <w:lang w:val="it-IT"/>
        </w:rPr>
        <w:t>Special Tournaments</w:t>
      </w:r>
    </w:p>
    <w:p w14:paraId="0C677D2F" w14:textId="77777777" w:rsidR="0000547B" w:rsidRPr="00644CB1" w:rsidRDefault="0000547B" w:rsidP="0000547B">
      <w:pPr>
        <w:pStyle w:val="Articlenormaltext"/>
        <w:rPr>
          <w:color w:val="0D0D0D" w:themeColor="text1" w:themeTint="F2"/>
        </w:rPr>
      </w:pPr>
      <w:r w:rsidRPr="00644CB1">
        <w:rPr>
          <w:color w:val="0D0D0D" w:themeColor="text1" w:themeTint="F2"/>
          <w:lang w:val="it-IT"/>
        </w:rPr>
        <w:t xml:space="preserve">On top of these, the users of the game can arrange: </w:t>
      </w:r>
    </w:p>
    <w:p w14:paraId="4776791C" w14:textId="2C6FE65D" w:rsidR="0000547B" w:rsidRPr="00644CB1" w:rsidRDefault="0000547B" w:rsidP="003E3E70">
      <w:pPr>
        <w:pStyle w:val="Articlenormaltext"/>
        <w:rPr>
          <w:color w:val="0D0D0D" w:themeColor="text1" w:themeTint="F2"/>
        </w:rPr>
      </w:pPr>
      <w:r w:rsidRPr="00644CB1">
        <w:rPr>
          <w:color w:val="0D0D0D" w:themeColor="text1" w:themeTint="F2"/>
          <w:szCs w:val="22"/>
        </w:rPr>
        <w:t>•</w:t>
      </w:r>
      <w:r w:rsidRPr="00644CB1">
        <w:rPr>
          <w:color w:val="0D0D0D" w:themeColor="text1" w:themeTint="F2"/>
          <w:szCs w:val="22"/>
        </w:rPr>
        <w:tab/>
        <w:t>Friendly matches, and</w:t>
      </w:r>
      <w:r w:rsidR="003E3E70" w:rsidRPr="00644CB1">
        <w:rPr>
          <w:color w:val="0D0D0D" w:themeColor="text1" w:themeTint="F2"/>
          <w:szCs w:val="22"/>
        </w:rPr>
        <w:t xml:space="preserve"> </w:t>
      </w:r>
      <w:r w:rsidRPr="00644CB1">
        <w:rPr>
          <w:color w:val="0D0D0D" w:themeColor="text1" w:themeTint="F2"/>
          <w:lang w:val="it-IT"/>
        </w:rPr>
        <w:t>Friendly Tournaments</w:t>
      </w:r>
      <w:r w:rsidR="0003360B" w:rsidRPr="00644CB1">
        <w:rPr>
          <w:color w:val="0D0D0D" w:themeColor="text1" w:themeTint="F2"/>
          <w:lang w:val="it-IT"/>
        </w:rPr>
        <w:t xml:space="preserve"> (</w:t>
      </w:r>
      <w:r w:rsidR="00094425" w:rsidRPr="00644CB1">
        <w:rPr>
          <w:color w:val="0D0D0D" w:themeColor="text1" w:themeTint="F2"/>
          <w:lang w:val="it-IT"/>
        </w:rPr>
        <w:t>P</w:t>
      </w:r>
      <w:r w:rsidR="0003360B" w:rsidRPr="00644CB1">
        <w:rPr>
          <w:color w:val="0D0D0D" w:themeColor="text1" w:themeTint="F2"/>
          <w:lang w:val="it-IT"/>
        </w:rPr>
        <w:t>hotos 3</w:t>
      </w:r>
      <w:r w:rsidR="00094425" w:rsidRPr="00644CB1">
        <w:rPr>
          <w:color w:val="0D0D0D" w:themeColor="text1" w:themeTint="F2"/>
          <w:lang w:val="it-IT"/>
        </w:rPr>
        <w:t xml:space="preserve"> </w:t>
      </w:r>
      <w:r w:rsidR="0003360B" w:rsidRPr="00644CB1">
        <w:rPr>
          <w:color w:val="0D0D0D" w:themeColor="text1" w:themeTint="F2"/>
          <w:lang w:val="it-IT"/>
        </w:rPr>
        <w:t>&amp; 4)</w:t>
      </w:r>
    </w:p>
    <w:p w14:paraId="2711019D" w14:textId="77777777" w:rsidR="0000547B" w:rsidRPr="00644CB1" w:rsidRDefault="0000547B" w:rsidP="00CA0A90">
      <w:pPr>
        <w:pStyle w:val="Articlenormaltext"/>
        <w:ind w:firstLine="0"/>
        <w:rPr>
          <w:color w:val="0D0D0D" w:themeColor="text1" w:themeTint="F2"/>
          <w:szCs w:val="22"/>
          <w:lang w:val="el-GR"/>
        </w:rPr>
      </w:pPr>
      <w:r w:rsidRPr="00644CB1">
        <w:rPr>
          <w:noProof/>
          <w:color w:val="0D0D0D" w:themeColor="text1" w:themeTint="F2"/>
          <w:szCs w:val="22"/>
        </w:rPr>
        <w:drawing>
          <wp:inline distT="0" distB="0" distL="0" distR="0" wp14:anchorId="441BD7CA" wp14:editId="7B322683">
            <wp:extent cx="2465408" cy="1880235"/>
            <wp:effectExtent l="0" t="0" r="0" b="5715"/>
            <wp:docPr id="318758063" name="Εικόνα 1" descr="Εικόνα που περιέχει κείμενο, λογότυπο, γραφικά,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58063" name="Εικόνα 1" descr="Εικόνα που περιέχει κείμενο, λογότυπο, γραφικά, στιγμιότυπο οθόνης&#10;&#10;Περιγραφή που δημιουργήθηκε αυτόματα"/>
                    <pic:cNvPicPr/>
                  </pic:nvPicPr>
                  <pic:blipFill>
                    <a:blip r:embed="rId14"/>
                    <a:stretch>
                      <a:fillRect/>
                    </a:stretch>
                  </pic:blipFill>
                  <pic:spPr>
                    <a:xfrm>
                      <a:off x="0" y="0"/>
                      <a:ext cx="2487102" cy="1896780"/>
                    </a:xfrm>
                    <a:prstGeom prst="rect">
                      <a:avLst/>
                    </a:prstGeom>
                  </pic:spPr>
                </pic:pic>
              </a:graphicData>
            </a:graphic>
          </wp:inline>
        </w:drawing>
      </w:r>
      <w:r w:rsidRPr="00644CB1">
        <w:rPr>
          <w:noProof/>
          <w:color w:val="0D0D0D" w:themeColor="text1" w:themeTint="F2"/>
          <w:szCs w:val="22"/>
        </w:rPr>
        <w:drawing>
          <wp:inline distT="0" distB="0" distL="0" distR="0" wp14:anchorId="4DFC7064" wp14:editId="68708F75">
            <wp:extent cx="2789499" cy="1840230"/>
            <wp:effectExtent l="0" t="0" r="0" b="7620"/>
            <wp:docPr id="87232493" name="Εικόνα 1" descr="Εικόνα που περιέχει τρόπαιο, εσωτερικός χώρο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2493" name="Εικόνα 1" descr="Εικόνα που περιέχει τρόπαιο, εσωτερικός χώρος&#10;&#10;Περιγραφή που δημιουργήθηκε αυτόματα"/>
                    <pic:cNvPicPr/>
                  </pic:nvPicPr>
                  <pic:blipFill>
                    <a:blip r:embed="rId15"/>
                    <a:stretch>
                      <a:fillRect/>
                    </a:stretch>
                  </pic:blipFill>
                  <pic:spPr>
                    <a:xfrm>
                      <a:off x="0" y="0"/>
                      <a:ext cx="2803573" cy="1849515"/>
                    </a:xfrm>
                    <a:prstGeom prst="rect">
                      <a:avLst/>
                    </a:prstGeom>
                  </pic:spPr>
                </pic:pic>
              </a:graphicData>
            </a:graphic>
          </wp:inline>
        </w:drawing>
      </w:r>
    </w:p>
    <w:p w14:paraId="4D9D8F9D" w14:textId="3EC0CE8A" w:rsidR="0003360B" w:rsidRPr="00644CB1" w:rsidRDefault="0003360B" w:rsidP="004D22EA">
      <w:pPr>
        <w:pStyle w:val="Articlenormaltext"/>
        <w:tabs>
          <w:tab w:val="left" w:pos="851"/>
        </w:tabs>
        <w:spacing w:line="276" w:lineRule="auto"/>
        <w:ind w:firstLine="0"/>
        <w:rPr>
          <w:rFonts w:ascii="Arial" w:hAnsi="Arial" w:cs="Arial"/>
          <w:color w:val="0D0D0D" w:themeColor="text1" w:themeTint="F2"/>
          <w:sz w:val="18"/>
          <w:szCs w:val="18"/>
        </w:rPr>
      </w:pPr>
      <w:r w:rsidRPr="00644CB1">
        <w:rPr>
          <w:rFonts w:ascii="Arial" w:hAnsi="Arial" w:cs="Arial"/>
          <w:b/>
          <w:bCs/>
          <w:color w:val="0D0D0D" w:themeColor="text1" w:themeTint="F2"/>
          <w:sz w:val="18"/>
          <w:szCs w:val="18"/>
          <w:lang w:val="it-IT"/>
        </w:rPr>
        <w:t>Photo 3:</w:t>
      </w:r>
      <w:r w:rsidR="004D22EA" w:rsidRPr="00644CB1">
        <w:rPr>
          <w:rFonts w:ascii="Arial" w:hAnsi="Arial" w:cs="Arial"/>
          <w:b/>
          <w:bCs/>
          <w:color w:val="0D0D0D" w:themeColor="text1" w:themeTint="F2"/>
          <w:sz w:val="18"/>
          <w:szCs w:val="18"/>
          <w:lang w:val="it-IT"/>
        </w:rPr>
        <w:tab/>
      </w:r>
      <w:r w:rsidRPr="00644CB1">
        <w:rPr>
          <w:rFonts w:ascii="Arial" w:hAnsi="Arial" w:cs="Arial"/>
          <w:color w:val="0D0D0D" w:themeColor="text1" w:themeTint="F2"/>
          <w:sz w:val="18"/>
          <w:szCs w:val="18"/>
          <w:lang w:val="it-IT"/>
        </w:rPr>
        <w:t xml:space="preserve">Friendly </w:t>
      </w:r>
      <w:r w:rsidR="003C6FB8" w:rsidRPr="00644CB1">
        <w:rPr>
          <w:rFonts w:ascii="Arial" w:hAnsi="Arial" w:cs="Arial"/>
          <w:color w:val="0D0D0D" w:themeColor="text1" w:themeTint="F2"/>
          <w:sz w:val="18"/>
          <w:szCs w:val="18"/>
          <w:lang w:val="it-IT"/>
        </w:rPr>
        <w:t>M</w:t>
      </w:r>
      <w:r w:rsidRPr="00644CB1">
        <w:rPr>
          <w:rFonts w:ascii="Arial" w:hAnsi="Arial" w:cs="Arial"/>
          <w:color w:val="0D0D0D" w:themeColor="text1" w:themeTint="F2"/>
          <w:sz w:val="18"/>
          <w:szCs w:val="18"/>
          <w:lang w:val="it-IT"/>
        </w:rPr>
        <w:t xml:space="preserve">atches </w:t>
      </w:r>
      <w:r w:rsidRPr="00644CB1">
        <w:rPr>
          <w:rFonts w:ascii="Arial" w:hAnsi="Arial" w:cs="Arial"/>
          <w:color w:val="0D0D0D" w:themeColor="text1" w:themeTint="F2"/>
          <w:sz w:val="18"/>
          <w:szCs w:val="18"/>
        </w:rPr>
        <w:tab/>
      </w:r>
      <w:r w:rsidRPr="00644CB1">
        <w:rPr>
          <w:rFonts w:ascii="Arial" w:hAnsi="Arial" w:cs="Arial"/>
          <w:color w:val="0D0D0D" w:themeColor="text1" w:themeTint="F2"/>
          <w:sz w:val="18"/>
          <w:szCs w:val="18"/>
        </w:rPr>
        <w:tab/>
      </w:r>
      <w:r w:rsidRPr="00644CB1">
        <w:rPr>
          <w:rFonts w:ascii="Arial" w:hAnsi="Arial" w:cs="Arial"/>
          <w:color w:val="0D0D0D" w:themeColor="text1" w:themeTint="F2"/>
          <w:sz w:val="18"/>
          <w:szCs w:val="18"/>
        </w:rPr>
        <w:tab/>
      </w:r>
      <w:r w:rsidR="004D22EA" w:rsidRPr="00644CB1">
        <w:rPr>
          <w:rFonts w:ascii="Arial" w:hAnsi="Arial" w:cs="Arial"/>
          <w:color w:val="0D0D0D" w:themeColor="text1" w:themeTint="F2"/>
          <w:sz w:val="18"/>
          <w:szCs w:val="18"/>
        </w:rPr>
        <w:t xml:space="preserve"> </w:t>
      </w:r>
      <w:r w:rsidR="003C6FB8" w:rsidRPr="00644CB1">
        <w:rPr>
          <w:rFonts w:ascii="Arial" w:hAnsi="Arial" w:cs="Arial"/>
          <w:b/>
          <w:bCs/>
          <w:color w:val="0D0D0D" w:themeColor="text1" w:themeTint="F2"/>
          <w:sz w:val="18"/>
          <w:szCs w:val="18"/>
          <w:lang w:val="it-IT"/>
        </w:rPr>
        <w:t xml:space="preserve">Photo </w:t>
      </w:r>
      <w:r w:rsidR="00B92D18" w:rsidRPr="00644CB1">
        <w:rPr>
          <w:rFonts w:ascii="Arial" w:hAnsi="Arial" w:cs="Arial"/>
          <w:b/>
          <w:bCs/>
          <w:color w:val="0D0D0D" w:themeColor="text1" w:themeTint="F2"/>
          <w:sz w:val="18"/>
          <w:szCs w:val="18"/>
          <w:lang w:val="it-IT"/>
        </w:rPr>
        <w:t>4</w:t>
      </w:r>
      <w:r w:rsidR="003C6FB8" w:rsidRPr="00644CB1">
        <w:rPr>
          <w:rFonts w:ascii="Arial" w:hAnsi="Arial" w:cs="Arial"/>
          <w:color w:val="0D0D0D" w:themeColor="text1" w:themeTint="F2"/>
          <w:sz w:val="18"/>
          <w:szCs w:val="18"/>
          <w:lang w:val="it-IT"/>
        </w:rPr>
        <w:t xml:space="preserve">: Various Competition </w:t>
      </w:r>
      <w:r w:rsidRPr="00644CB1">
        <w:rPr>
          <w:rFonts w:ascii="Arial" w:hAnsi="Arial" w:cs="Arial"/>
          <w:color w:val="0D0D0D" w:themeColor="text1" w:themeTint="F2"/>
          <w:sz w:val="18"/>
          <w:szCs w:val="18"/>
          <w:lang w:val="it-IT"/>
        </w:rPr>
        <w:t>Tournaments</w:t>
      </w:r>
    </w:p>
    <w:p w14:paraId="522147B8" w14:textId="77777777" w:rsidR="0003360B" w:rsidRPr="00644CB1" w:rsidRDefault="0003360B" w:rsidP="0000547B">
      <w:pPr>
        <w:pStyle w:val="Articlenormaltext"/>
        <w:rPr>
          <w:color w:val="0D0D0D" w:themeColor="text1" w:themeTint="F2"/>
          <w:szCs w:val="22"/>
        </w:rPr>
      </w:pPr>
    </w:p>
    <w:p w14:paraId="5D213CDB" w14:textId="0A3FE94A" w:rsidR="003D4269" w:rsidRPr="00644CB1" w:rsidRDefault="003D4269" w:rsidP="002D1226">
      <w:pPr>
        <w:pStyle w:val="ae"/>
        <w:spacing w:line="254" w:lineRule="auto"/>
        <w:ind w:right="111" w:firstLine="284"/>
        <w:jc w:val="both"/>
        <w:rPr>
          <w:rFonts w:ascii="Times New Roman" w:eastAsia="Times New Roman" w:hAnsi="Times New Roman"/>
          <w:color w:val="0D0D0D" w:themeColor="text1" w:themeTint="F2"/>
          <w:lang w:val="en-US"/>
        </w:rPr>
      </w:pPr>
      <w:r w:rsidRPr="00644CB1">
        <w:rPr>
          <w:rFonts w:ascii="Times New Roman" w:eastAsia="Times New Roman" w:hAnsi="Times New Roman"/>
          <w:color w:val="0D0D0D" w:themeColor="text1" w:themeTint="F2"/>
          <w:lang w:val="en-US"/>
        </w:rPr>
        <w:t>The use of Top Eleven as an educational simulator is based on its ability to allow club managers to organize friendly matches, thereby enabling the creation of virtual, independent friendly</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tournaments.</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In</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this</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football</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management</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SG,</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fixtures</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are</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pre</w:t>
      </w:r>
      <w:r w:rsidRPr="00644CB1">
        <w:rPr>
          <w:rFonts w:ascii="Times New Roman" w:eastAsia="Times New Roman" w:hAnsi="Times New Roman"/>
          <w:color w:val="0D0D0D" w:themeColor="text1" w:themeTint="F2"/>
          <w:spacing w:val="-14"/>
          <w:lang w:val="en-US"/>
        </w:rPr>
        <w:t>determined</w:t>
      </w:r>
      <w:r w:rsidRPr="00644CB1">
        <w:rPr>
          <w:rFonts w:ascii="Times New Roman" w:eastAsia="Times New Roman" w:hAnsi="Times New Roman"/>
          <w:color w:val="0D0D0D" w:themeColor="text1" w:themeTint="F2"/>
          <w:lang w:val="en-US"/>
        </w:rPr>
        <w:t>,</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and matches are automatically played by the game, except for friendly matches, which require</w:t>
      </w:r>
      <w:r w:rsidRPr="00644CB1">
        <w:rPr>
          <w:rFonts w:ascii="Times New Roman" w:eastAsia="Times New Roman" w:hAnsi="Times New Roman"/>
          <w:color w:val="0D0D0D" w:themeColor="text1" w:themeTint="F2"/>
          <w:spacing w:val="80"/>
          <w:lang w:val="en-US"/>
        </w:rPr>
        <w:t xml:space="preserve"> </w:t>
      </w:r>
      <w:r w:rsidRPr="00644CB1">
        <w:rPr>
          <w:rFonts w:ascii="Times New Roman" w:eastAsia="Times New Roman" w:hAnsi="Times New Roman"/>
          <w:color w:val="0D0D0D" w:themeColor="text1" w:themeTint="F2"/>
          <w:lang w:val="en-US"/>
        </w:rPr>
        <w:t>user</w:t>
      </w:r>
      <w:r w:rsidRPr="00644CB1">
        <w:rPr>
          <w:rFonts w:ascii="Times New Roman" w:eastAsia="Times New Roman" w:hAnsi="Times New Roman"/>
          <w:color w:val="0D0D0D" w:themeColor="text1" w:themeTint="F2"/>
          <w:spacing w:val="80"/>
          <w:lang w:val="en-US"/>
        </w:rPr>
        <w:t xml:space="preserve"> </w:t>
      </w:r>
      <w:r w:rsidRPr="00644CB1">
        <w:rPr>
          <w:rFonts w:ascii="Times New Roman" w:eastAsia="Times New Roman" w:hAnsi="Times New Roman"/>
          <w:color w:val="0D0D0D" w:themeColor="text1" w:themeTint="F2"/>
          <w:lang w:val="en-US"/>
        </w:rPr>
        <w:t>involvement.</w:t>
      </w:r>
      <w:r w:rsidRPr="00644CB1">
        <w:rPr>
          <w:rFonts w:ascii="Times New Roman" w:eastAsia="Times New Roman" w:hAnsi="Times New Roman"/>
          <w:color w:val="0D0D0D" w:themeColor="text1" w:themeTint="F2"/>
          <w:spacing w:val="80"/>
          <w:lang w:val="en-US"/>
        </w:rPr>
        <w:t xml:space="preserve"> </w:t>
      </w:r>
      <w:r w:rsidRPr="00644CB1">
        <w:rPr>
          <w:rFonts w:ascii="Times New Roman" w:eastAsia="Times New Roman" w:hAnsi="Times New Roman"/>
          <w:color w:val="0D0D0D" w:themeColor="text1" w:themeTint="F2"/>
          <w:lang w:val="en-US"/>
        </w:rPr>
        <w:t>The</w:t>
      </w:r>
      <w:r w:rsidRPr="00644CB1">
        <w:rPr>
          <w:rFonts w:ascii="Times New Roman" w:eastAsia="Times New Roman" w:hAnsi="Times New Roman"/>
          <w:color w:val="0D0D0D" w:themeColor="text1" w:themeTint="F2"/>
          <w:spacing w:val="80"/>
          <w:lang w:val="en-US"/>
        </w:rPr>
        <w:t xml:space="preserve"> </w:t>
      </w:r>
      <w:r w:rsidRPr="00644CB1">
        <w:rPr>
          <w:rFonts w:ascii="Times New Roman" w:eastAsia="Times New Roman" w:hAnsi="Times New Roman"/>
          <w:color w:val="0D0D0D" w:themeColor="text1" w:themeTint="F2"/>
          <w:lang w:val="en-US"/>
        </w:rPr>
        <w:t>overall</w:t>
      </w:r>
      <w:r w:rsidRPr="00644CB1">
        <w:rPr>
          <w:rFonts w:ascii="Times New Roman" w:eastAsia="Times New Roman" w:hAnsi="Times New Roman"/>
          <w:color w:val="0D0D0D" w:themeColor="text1" w:themeTint="F2"/>
          <w:spacing w:val="80"/>
          <w:lang w:val="en-US"/>
        </w:rPr>
        <w:t xml:space="preserve"> </w:t>
      </w:r>
      <w:r w:rsidRPr="00644CB1">
        <w:rPr>
          <w:rFonts w:ascii="Times New Roman" w:eastAsia="Times New Roman" w:hAnsi="Times New Roman"/>
          <w:color w:val="0D0D0D" w:themeColor="text1" w:themeTint="F2"/>
          <w:lang w:val="en-US"/>
        </w:rPr>
        <w:t>methodological</w:t>
      </w:r>
      <w:r w:rsidRPr="00644CB1">
        <w:rPr>
          <w:rFonts w:ascii="Times New Roman" w:eastAsia="Times New Roman" w:hAnsi="Times New Roman"/>
          <w:color w:val="0D0D0D" w:themeColor="text1" w:themeTint="F2"/>
          <w:spacing w:val="80"/>
          <w:lang w:val="en-US"/>
        </w:rPr>
        <w:t xml:space="preserve"> </w:t>
      </w:r>
      <w:r w:rsidRPr="00644CB1">
        <w:rPr>
          <w:rFonts w:ascii="Times New Roman" w:eastAsia="Times New Roman" w:hAnsi="Times New Roman"/>
          <w:color w:val="0D0D0D" w:themeColor="text1" w:themeTint="F2"/>
          <w:lang w:val="en-US"/>
        </w:rPr>
        <w:t>approach</w:t>
      </w:r>
      <w:r w:rsidRPr="00644CB1">
        <w:rPr>
          <w:rFonts w:ascii="Times New Roman" w:eastAsia="Times New Roman" w:hAnsi="Times New Roman"/>
          <w:color w:val="0D0D0D" w:themeColor="text1" w:themeTint="F2"/>
          <w:spacing w:val="80"/>
          <w:lang w:val="en-US"/>
        </w:rPr>
        <w:t xml:space="preserve"> </w:t>
      </w:r>
      <w:r w:rsidRPr="00644CB1">
        <w:rPr>
          <w:rFonts w:ascii="Times New Roman" w:eastAsia="Times New Roman" w:hAnsi="Times New Roman"/>
          <w:color w:val="0D0D0D" w:themeColor="text1" w:themeTint="F2"/>
          <w:lang w:val="en-US"/>
        </w:rPr>
        <w:t>to</w:t>
      </w:r>
      <w:r w:rsidRPr="00644CB1">
        <w:rPr>
          <w:rFonts w:ascii="Times New Roman" w:eastAsia="Times New Roman" w:hAnsi="Times New Roman"/>
          <w:color w:val="0D0D0D" w:themeColor="text1" w:themeTint="F2"/>
          <w:spacing w:val="80"/>
          <w:lang w:val="en-US"/>
        </w:rPr>
        <w:t xml:space="preserve"> </w:t>
      </w:r>
      <w:r w:rsidRPr="00644CB1">
        <w:rPr>
          <w:rFonts w:ascii="Times New Roman" w:eastAsia="Times New Roman" w:hAnsi="Times New Roman"/>
          <w:color w:val="0D0D0D" w:themeColor="text1" w:themeTint="F2"/>
          <w:lang w:val="en-US"/>
        </w:rPr>
        <w:t>teaching</w:t>
      </w:r>
      <w:r w:rsidRPr="00644CB1">
        <w:rPr>
          <w:rFonts w:ascii="Times New Roman" w:eastAsia="Times New Roman" w:hAnsi="Times New Roman"/>
          <w:color w:val="0D0D0D" w:themeColor="text1" w:themeTint="F2"/>
          <w:spacing w:val="80"/>
          <w:lang w:val="en-US"/>
        </w:rPr>
        <w:t xml:space="preserve"> </w:t>
      </w:r>
      <w:r w:rsidRPr="00644CB1">
        <w:rPr>
          <w:rFonts w:ascii="Times New Roman" w:eastAsia="Times New Roman" w:hAnsi="Times New Roman"/>
          <w:color w:val="0D0D0D" w:themeColor="text1" w:themeTint="F2"/>
          <w:lang w:val="en-US"/>
        </w:rPr>
        <w:t>sport</w:t>
      </w:r>
      <w:r w:rsidRPr="00644CB1">
        <w:rPr>
          <w:rFonts w:ascii="Times New Roman" w:eastAsia="Times New Roman" w:hAnsi="Times New Roman"/>
          <w:color w:val="0D0D0D" w:themeColor="text1" w:themeTint="F2"/>
          <w:spacing w:val="80"/>
          <w:lang w:val="en-US"/>
        </w:rPr>
        <w:t xml:space="preserve"> </w:t>
      </w:r>
      <w:r w:rsidRPr="00644CB1">
        <w:rPr>
          <w:rFonts w:ascii="Times New Roman" w:eastAsia="Times New Roman" w:hAnsi="Times New Roman"/>
          <w:color w:val="0D0D0D" w:themeColor="text1" w:themeTint="F2"/>
          <w:lang w:val="en-US"/>
        </w:rPr>
        <w:t>event management is hybrid, as the management of the VIFT was primarily digital, while certain management</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and</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marketing</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aspects</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were</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conducted</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in</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real-life</w:t>
      </w:r>
      <w:r w:rsidRPr="00644CB1">
        <w:rPr>
          <w:rFonts w:ascii="Times New Roman" w:eastAsia="Times New Roman" w:hAnsi="Times New Roman"/>
          <w:color w:val="0D0D0D" w:themeColor="text1" w:themeTint="F2"/>
          <w:spacing w:val="40"/>
          <w:lang w:val="en-US"/>
        </w:rPr>
        <w:t xml:space="preserve"> </w:t>
      </w:r>
      <w:r w:rsidRPr="00644CB1">
        <w:rPr>
          <w:rFonts w:ascii="Times New Roman" w:eastAsia="Times New Roman" w:hAnsi="Times New Roman"/>
          <w:color w:val="0D0D0D" w:themeColor="text1" w:themeTint="F2"/>
          <w:lang w:val="en-US"/>
        </w:rPr>
        <w:t>settings.</w:t>
      </w:r>
    </w:p>
    <w:p w14:paraId="15BB30A3" w14:textId="7A574B87" w:rsidR="0030369C" w:rsidRPr="00644CB1" w:rsidRDefault="73E6831A" w:rsidP="00F25568">
      <w:pPr>
        <w:pStyle w:val="2"/>
        <w:numPr>
          <w:ilvl w:val="1"/>
          <w:numId w:val="7"/>
        </w:numPr>
        <w:ind w:left="567" w:hanging="567"/>
        <w:rPr>
          <w:color w:val="0D0D0D" w:themeColor="text1" w:themeTint="F2"/>
        </w:rPr>
      </w:pPr>
      <w:r w:rsidRPr="00644CB1">
        <w:rPr>
          <w:color w:val="0D0D0D" w:themeColor="text1" w:themeTint="F2"/>
          <w:lang w:val="it-IT"/>
        </w:rPr>
        <w:t xml:space="preserve">Population and sample </w:t>
      </w:r>
    </w:p>
    <w:p w14:paraId="23ACBAF6" w14:textId="3F9E97FE" w:rsidR="00BE5FE5" w:rsidRPr="00644CB1" w:rsidRDefault="73E6831A" w:rsidP="002A29F6">
      <w:pPr>
        <w:pStyle w:val="Articlenormaltext"/>
        <w:ind w:firstLine="0"/>
        <w:rPr>
          <w:color w:val="0D0D0D" w:themeColor="text1" w:themeTint="F2"/>
        </w:rPr>
      </w:pPr>
      <w:r w:rsidRPr="00644CB1">
        <w:rPr>
          <w:color w:val="0D0D0D" w:themeColor="text1" w:themeTint="F2"/>
          <w:lang w:val="it-IT"/>
        </w:rPr>
        <w:t>The population of this study consisted of N = 372 students from the School of Physical Education and Sport Science (SPESS), divided into two groups: a) the organizers (N = 44), comprising senior students majoring in sport management, who were enrolled in the Sport Event Management class. b) The participants (N = 328), consisting of freshman students enrolled in an introductory Sport Management class, who acted as football team managers for the virtual football teams (Table 1).</w:t>
      </w:r>
      <w:r w:rsidR="002A29F6" w:rsidRPr="00644CB1">
        <w:rPr>
          <w:color w:val="0D0D0D" w:themeColor="text1" w:themeTint="F2"/>
          <w:lang w:val="it-IT"/>
        </w:rPr>
        <w:t xml:space="preserve"> </w:t>
      </w:r>
      <w:r w:rsidR="00BE5FE5" w:rsidRPr="00644CB1">
        <w:rPr>
          <w:color w:val="0D0D0D" w:themeColor="text1" w:themeTint="F2"/>
        </w:rPr>
        <w:t xml:space="preserve">Convenience sampling was employed due to the </w:t>
      </w:r>
      <w:proofErr w:type="gramStart"/>
      <w:r w:rsidR="00BE5FE5" w:rsidRPr="00644CB1">
        <w:rPr>
          <w:color w:val="0D0D0D" w:themeColor="text1" w:themeTint="F2"/>
        </w:rPr>
        <w:t>exploratory</w:t>
      </w:r>
      <w:proofErr w:type="gramEnd"/>
      <w:r w:rsidR="00BE5FE5" w:rsidRPr="00644CB1">
        <w:rPr>
          <w:color w:val="0D0D0D" w:themeColor="text1" w:themeTint="F2"/>
        </w:rPr>
        <w:t xml:space="preserve"> nature of the study, practical constraints within the institutional setting, and the requirement for organic integration into existing coursework. While this sampling approach </w:t>
      </w:r>
      <w:r w:rsidR="00BE5FE5" w:rsidRPr="00644CB1">
        <w:rPr>
          <w:color w:val="0D0D0D" w:themeColor="text1" w:themeTint="F2"/>
        </w:rPr>
        <w:lastRenderedPageBreak/>
        <w:t>limits generalizability beyond the specific institutional context, it enabled authentic implementation within the natural educational environment and provided rich preliminary data for this emerging area of research.</w:t>
      </w:r>
    </w:p>
    <w:p w14:paraId="2E4E1E21" w14:textId="77777777" w:rsidR="00BE5FE5" w:rsidRPr="00644CB1" w:rsidRDefault="00BE5FE5" w:rsidP="007D3DC3">
      <w:pPr>
        <w:pStyle w:val="Articlenormaltext"/>
        <w:ind w:firstLine="0"/>
        <w:rPr>
          <w:b/>
          <w:bCs/>
          <w:color w:val="0D0D0D" w:themeColor="text1" w:themeTint="F2"/>
          <w:szCs w:val="22"/>
        </w:rPr>
      </w:pPr>
    </w:p>
    <w:p w14:paraId="45C0824D" w14:textId="51F5076D" w:rsidR="00A60779" w:rsidRPr="00644CB1" w:rsidRDefault="008F052B" w:rsidP="00AD6820">
      <w:pPr>
        <w:pStyle w:val="Articlenormaltext"/>
        <w:tabs>
          <w:tab w:val="left" w:pos="851"/>
        </w:tabs>
        <w:spacing w:after="120" w:line="240" w:lineRule="auto"/>
        <w:ind w:firstLine="0"/>
        <w:rPr>
          <w:rFonts w:ascii="Arial" w:hAnsi="Arial" w:cs="Arial"/>
          <w:color w:val="0D0D0D" w:themeColor="text1" w:themeTint="F2"/>
          <w:sz w:val="18"/>
          <w:szCs w:val="18"/>
        </w:rPr>
      </w:pPr>
      <w:r w:rsidRPr="00644CB1">
        <w:rPr>
          <w:rFonts w:ascii="Arial" w:hAnsi="Arial" w:cs="Arial"/>
          <w:b/>
          <w:bCs/>
          <w:color w:val="0D0D0D" w:themeColor="text1" w:themeTint="F2"/>
          <w:sz w:val="18"/>
          <w:szCs w:val="18"/>
          <w:lang w:val="it-IT"/>
        </w:rPr>
        <w:t xml:space="preserve">Table </w:t>
      </w:r>
      <w:r w:rsidR="0003360B" w:rsidRPr="00644CB1">
        <w:rPr>
          <w:rFonts w:ascii="Arial" w:hAnsi="Arial" w:cs="Arial"/>
          <w:b/>
          <w:bCs/>
          <w:color w:val="0D0D0D" w:themeColor="text1" w:themeTint="F2"/>
          <w:sz w:val="18"/>
          <w:szCs w:val="18"/>
          <w:lang w:val="it-IT"/>
        </w:rPr>
        <w:t>1</w:t>
      </w:r>
      <w:r w:rsidRPr="00644CB1">
        <w:rPr>
          <w:rFonts w:ascii="Arial" w:hAnsi="Arial" w:cs="Arial"/>
          <w:b/>
          <w:bCs/>
          <w:color w:val="0D0D0D" w:themeColor="text1" w:themeTint="F2"/>
          <w:sz w:val="18"/>
          <w:szCs w:val="18"/>
          <w:lang w:val="it-IT"/>
        </w:rPr>
        <w:t>:</w:t>
      </w:r>
      <w:r w:rsidR="00A026CC" w:rsidRPr="00644CB1">
        <w:rPr>
          <w:rFonts w:ascii="Arial" w:hAnsi="Arial" w:cs="Arial"/>
          <w:color w:val="0D0D0D" w:themeColor="text1" w:themeTint="F2"/>
          <w:sz w:val="18"/>
          <w:szCs w:val="18"/>
          <w:lang w:val="it-IT"/>
        </w:rPr>
        <w:tab/>
      </w:r>
      <w:r w:rsidRPr="00644CB1">
        <w:rPr>
          <w:rFonts w:ascii="Arial" w:hAnsi="Arial" w:cs="Arial"/>
          <w:color w:val="0D0D0D" w:themeColor="text1" w:themeTint="F2"/>
          <w:sz w:val="18"/>
          <w:szCs w:val="18"/>
          <w:lang w:val="it-IT"/>
        </w:rPr>
        <w:t>Population of the study</w:t>
      </w:r>
    </w:p>
    <w:p w14:paraId="63E7C679" w14:textId="1A14CF72" w:rsidR="00C660D9" w:rsidRPr="00AC438C" w:rsidRDefault="00BB3775" w:rsidP="1BCABAC3">
      <w:pPr>
        <w:pStyle w:val="Articlenormaltext"/>
        <w:pBdr>
          <w:top w:val="single" w:sz="4" w:space="1" w:color="auto"/>
          <w:bottom w:val="single" w:sz="4" w:space="1" w:color="auto"/>
        </w:pBdr>
        <w:ind w:firstLine="0"/>
        <w:rPr>
          <w:rFonts w:ascii="Arial" w:hAnsi="Arial" w:cs="Arial"/>
          <w:color w:val="0D0D0D" w:themeColor="text1" w:themeTint="F2"/>
          <w:sz w:val="16"/>
          <w:szCs w:val="16"/>
          <w:lang w:val="it-IT"/>
        </w:rPr>
      </w:pPr>
      <w:r w:rsidRPr="00AC438C">
        <w:rPr>
          <w:rFonts w:ascii="Arial" w:hAnsi="Arial" w:cs="Arial"/>
          <w:color w:val="0D0D0D" w:themeColor="text1" w:themeTint="F2"/>
          <w:sz w:val="16"/>
          <w:szCs w:val="16"/>
        </w:rPr>
        <w:t>Role</w:t>
      </w:r>
      <w:r w:rsidR="00A60779" w:rsidRPr="00AC438C">
        <w:rPr>
          <w:rFonts w:ascii="Arial" w:hAnsi="Arial" w:cs="Arial"/>
          <w:color w:val="0D0D0D" w:themeColor="text1" w:themeTint="F2"/>
          <w:sz w:val="16"/>
          <w:szCs w:val="16"/>
        </w:rPr>
        <w:tab/>
      </w:r>
      <w:proofErr w:type="gramStart"/>
      <w:r w:rsidR="00A60779" w:rsidRPr="00AC438C">
        <w:rPr>
          <w:rFonts w:ascii="Arial" w:hAnsi="Arial" w:cs="Arial"/>
          <w:color w:val="0D0D0D" w:themeColor="text1" w:themeTint="F2"/>
          <w:sz w:val="16"/>
          <w:szCs w:val="16"/>
        </w:rPr>
        <w:tab/>
      </w:r>
      <w:r w:rsidR="00A60779" w:rsidRPr="00AC438C">
        <w:rPr>
          <w:rFonts w:ascii="Arial" w:hAnsi="Arial" w:cs="Arial"/>
          <w:color w:val="0D0D0D" w:themeColor="text1" w:themeTint="F2"/>
          <w:sz w:val="16"/>
          <w:szCs w:val="16"/>
          <w:lang w:val="it-IT"/>
        </w:rPr>
        <w:t xml:space="preserve">  </w:t>
      </w:r>
      <w:r w:rsidR="00A60779" w:rsidRPr="00AC438C">
        <w:rPr>
          <w:rFonts w:ascii="Arial" w:hAnsi="Arial" w:cs="Arial"/>
          <w:color w:val="0D0D0D" w:themeColor="text1" w:themeTint="F2"/>
          <w:sz w:val="16"/>
          <w:szCs w:val="16"/>
        </w:rPr>
        <w:tab/>
      </w:r>
      <w:proofErr w:type="gramEnd"/>
      <w:r w:rsidR="00E12DC4" w:rsidRPr="00AC438C">
        <w:rPr>
          <w:rFonts w:ascii="Arial" w:hAnsi="Arial" w:cs="Arial"/>
          <w:color w:val="0D0D0D" w:themeColor="text1" w:themeTint="F2"/>
          <w:sz w:val="16"/>
          <w:szCs w:val="16"/>
        </w:rPr>
        <w:tab/>
      </w:r>
      <w:r w:rsidR="00E12DC4" w:rsidRPr="00AC438C">
        <w:rPr>
          <w:rFonts w:ascii="Arial" w:hAnsi="Arial" w:cs="Arial"/>
          <w:color w:val="0D0D0D" w:themeColor="text1" w:themeTint="F2"/>
          <w:sz w:val="16"/>
          <w:szCs w:val="16"/>
        </w:rPr>
        <w:tab/>
      </w:r>
      <w:r w:rsidRPr="00DB7054">
        <w:rPr>
          <w:rFonts w:ascii="Arial" w:hAnsi="Arial" w:cs="Arial"/>
          <w:color w:val="0D0D0D" w:themeColor="text1" w:themeTint="F2"/>
          <w:sz w:val="16"/>
          <w:szCs w:val="16"/>
        </w:rPr>
        <w:t xml:space="preserve">Frequency </w:t>
      </w:r>
      <w:proofErr w:type="gramStart"/>
      <w:r w:rsidR="00A60779" w:rsidRPr="00DB7054">
        <w:rPr>
          <w:rFonts w:ascii="Arial" w:hAnsi="Arial" w:cs="Arial"/>
          <w:color w:val="0D0D0D" w:themeColor="text1" w:themeTint="F2"/>
          <w:sz w:val="16"/>
          <w:szCs w:val="16"/>
          <w:lang w:val="it-IT"/>
        </w:rPr>
        <w:t>f</w:t>
      </w:r>
      <w:r w:rsidR="00A60779" w:rsidRPr="00DB7054">
        <w:rPr>
          <w:rFonts w:ascii="Arial" w:hAnsi="Arial" w:cs="Arial"/>
          <w:color w:val="0D0D0D" w:themeColor="text1" w:themeTint="F2"/>
          <w:sz w:val="16"/>
          <w:szCs w:val="16"/>
        </w:rPr>
        <w:tab/>
      </w:r>
      <w:r w:rsidRPr="00DB7054">
        <w:rPr>
          <w:rFonts w:ascii="Arial" w:hAnsi="Arial" w:cs="Arial"/>
          <w:color w:val="0D0D0D" w:themeColor="text1" w:themeTint="F2"/>
          <w:sz w:val="16"/>
          <w:szCs w:val="16"/>
        </w:rPr>
        <w:t>Percentage</w:t>
      </w:r>
      <w:proofErr w:type="gramEnd"/>
      <w:r w:rsidRPr="00DB7054">
        <w:rPr>
          <w:rFonts w:ascii="Arial" w:hAnsi="Arial" w:cs="Arial"/>
          <w:color w:val="0D0D0D" w:themeColor="text1" w:themeTint="F2"/>
          <w:sz w:val="16"/>
          <w:szCs w:val="16"/>
          <w:lang w:val="it-IT"/>
        </w:rPr>
        <w:t xml:space="preserve"> </w:t>
      </w:r>
      <w:r w:rsidR="00A60779" w:rsidRPr="00DB7054">
        <w:rPr>
          <w:rFonts w:ascii="Arial" w:hAnsi="Arial" w:cs="Arial"/>
          <w:color w:val="0D0D0D" w:themeColor="text1" w:themeTint="F2"/>
          <w:sz w:val="16"/>
          <w:szCs w:val="16"/>
          <w:lang w:val="it-IT"/>
        </w:rPr>
        <w:t>%</w:t>
      </w:r>
      <w:r w:rsidR="00A60779" w:rsidRPr="00DB7054">
        <w:rPr>
          <w:rFonts w:ascii="Arial" w:hAnsi="Arial" w:cs="Arial"/>
          <w:color w:val="0D0D0D" w:themeColor="text1" w:themeTint="F2"/>
          <w:sz w:val="16"/>
          <w:szCs w:val="16"/>
        </w:rPr>
        <w:tab/>
      </w:r>
    </w:p>
    <w:p w14:paraId="356CDBC8" w14:textId="485E3167" w:rsidR="00A60779" w:rsidRPr="00AC438C" w:rsidRDefault="00A60779" w:rsidP="007D3DC3">
      <w:pPr>
        <w:pStyle w:val="Articlenormaltext"/>
        <w:ind w:firstLine="0"/>
        <w:rPr>
          <w:rFonts w:ascii="Arial" w:hAnsi="Arial" w:cs="Arial"/>
          <w:color w:val="0D0D0D" w:themeColor="text1" w:themeTint="F2"/>
          <w:sz w:val="16"/>
          <w:szCs w:val="16"/>
        </w:rPr>
      </w:pPr>
      <w:r w:rsidRPr="00AC438C">
        <w:rPr>
          <w:rFonts w:ascii="Arial" w:hAnsi="Arial" w:cs="Arial"/>
          <w:color w:val="0D0D0D" w:themeColor="text1" w:themeTint="F2"/>
          <w:sz w:val="16"/>
          <w:szCs w:val="16"/>
          <w:lang w:val="it-IT"/>
        </w:rPr>
        <w:t>Organizers</w:t>
      </w:r>
      <w:r w:rsidR="00DB7054">
        <w:rPr>
          <w:rFonts w:ascii="Arial" w:hAnsi="Arial" w:cs="Arial"/>
          <w:color w:val="0D0D0D" w:themeColor="text1" w:themeTint="F2"/>
          <w:sz w:val="16"/>
          <w:szCs w:val="16"/>
        </w:rPr>
        <w:t xml:space="preserve"> </w:t>
      </w:r>
      <w:r w:rsidR="003F74E2" w:rsidRPr="00AC438C">
        <w:rPr>
          <w:rFonts w:ascii="Arial" w:hAnsi="Arial" w:cs="Arial"/>
          <w:color w:val="0D0D0D" w:themeColor="text1" w:themeTint="F2"/>
          <w:sz w:val="16"/>
          <w:szCs w:val="16"/>
          <w:lang w:val="it-IT"/>
        </w:rPr>
        <w:t>(senior students)</w:t>
      </w:r>
      <w:r w:rsidRPr="00AC438C">
        <w:rPr>
          <w:rFonts w:ascii="Arial" w:hAnsi="Arial" w:cs="Arial"/>
          <w:color w:val="0D0D0D" w:themeColor="text1" w:themeTint="F2"/>
          <w:sz w:val="16"/>
          <w:szCs w:val="16"/>
        </w:rPr>
        <w:tab/>
      </w:r>
      <w:r w:rsidR="00E12DC4" w:rsidRPr="00AC438C">
        <w:rPr>
          <w:rFonts w:ascii="Arial" w:hAnsi="Arial" w:cs="Arial"/>
          <w:color w:val="0D0D0D" w:themeColor="text1" w:themeTint="F2"/>
          <w:sz w:val="16"/>
          <w:szCs w:val="16"/>
        </w:rPr>
        <w:tab/>
      </w:r>
      <w:r w:rsidRPr="00AC438C">
        <w:rPr>
          <w:rFonts w:ascii="Arial" w:hAnsi="Arial" w:cs="Arial"/>
          <w:color w:val="0D0D0D" w:themeColor="text1" w:themeTint="F2"/>
          <w:sz w:val="16"/>
          <w:szCs w:val="16"/>
          <w:lang w:val="it-IT"/>
        </w:rPr>
        <w:t>44</w:t>
      </w:r>
      <w:r w:rsidRPr="00AC438C">
        <w:rPr>
          <w:rFonts w:ascii="Arial" w:hAnsi="Arial" w:cs="Arial"/>
          <w:color w:val="0D0D0D" w:themeColor="text1" w:themeTint="F2"/>
          <w:sz w:val="16"/>
          <w:szCs w:val="16"/>
        </w:rPr>
        <w:tab/>
      </w:r>
      <w:r w:rsidRPr="00AC438C">
        <w:rPr>
          <w:rFonts w:ascii="Arial" w:hAnsi="Arial" w:cs="Arial"/>
          <w:color w:val="0D0D0D" w:themeColor="text1" w:themeTint="F2"/>
          <w:sz w:val="16"/>
          <w:szCs w:val="16"/>
        </w:rPr>
        <w:tab/>
      </w:r>
      <w:r w:rsidRPr="00AC438C">
        <w:rPr>
          <w:rFonts w:ascii="Arial" w:hAnsi="Arial" w:cs="Arial"/>
          <w:color w:val="0D0D0D" w:themeColor="text1" w:themeTint="F2"/>
          <w:sz w:val="16"/>
          <w:szCs w:val="16"/>
          <w:lang w:val="it-IT"/>
        </w:rPr>
        <w:t>11.83</w:t>
      </w:r>
    </w:p>
    <w:p w14:paraId="7FF91135" w14:textId="1503B4BE" w:rsidR="00A60779" w:rsidRPr="00AC438C" w:rsidRDefault="00A60779" w:rsidP="007D3DC3">
      <w:pPr>
        <w:pStyle w:val="Articlenormaltext"/>
        <w:ind w:firstLine="0"/>
        <w:rPr>
          <w:rFonts w:ascii="Arial" w:hAnsi="Arial" w:cs="Arial"/>
          <w:color w:val="0D0D0D" w:themeColor="text1" w:themeTint="F2"/>
          <w:sz w:val="16"/>
          <w:szCs w:val="16"/>
        </w:rPr>
      </w:pPr>
      <w:r w:rsidRPr="00AC438C">
        <w:rPr>
          <w:rFonts w:ascii="Arial" w:hAnsi="Arial" w:cs="Arial"/>
          <w:color w:val="0D0D0D" w:themeColor="text1" w:themeTint="F2"/>
          <w:sz w:val="16"/>
          <w:szCs w:val="16"/>
          <w:lang w:val="it-IT"/>
        </w:rPr>
        <w:t>Participants</w:t>
      </w:r>
      <w:r w:rsidR="00DB7054">
        <w:rPr>
          <w:rFonts w:ascii="Arial" w:hAnsi="Arial" w:cs="Arial"/>
          <w:color w:val="0D0D0D" w:themeColor="text1" w:themeTint="F2"/>
          <w:sz w:val="16"/>
          <w:szCs w:val="16"/>
        </w:rPr>
        <w:t xml:space="preserve"> </w:t>
      </w:r>
      <w:r w:rsidR="003F74E2" w:rsidRPr="00AC438C">
        <w:rPr>
          <w:rFonts w:ascii="Arial" w:hAnsi="Arial" w:cs="Arial"/>
          <w:color w:val="0D0D0D" w:themeColor="text1" w:themeTint="F2"/>
          <w:sz w:val="16"/>
          <w:szCs w:val="16"/>
          <w:lang w:val="it-IT"/>
        </w:rPr>
        <w:t>(freshmen students)</w:t>
      </w:r>
      <w:r w:rsidRPr="00AC438C">
        <w:rPr>
          <w:rFonts w:ascii="Arial" w:hAnsi="Arial" w:cs="Arial"/>
          <w:color w:val="0D0D0D" w:themeColor="text1" w:themeTint="F2"/>
          <w:sz w:val="16"/>
          <w:szCs w:val="16"/>
        </w:rPr>
        <w:tab/>
      </w:r>
      <w:r w:rsidRPr="00AC438C">
        <w:rPr>
          <w:rFonts w:ascii="Arial" w:hAnsi="Arial" w:cs="Arial"/>
          <w:color w:val="0D0D0D" w:themeColor="text1" w:themeTint="F2"/>
          <w:sz w:val="16"/>
          <w:szCs w:val="16"/>
        </w:rPr>
        <w:tab/>
      </w:r>
      <w:r w:rsidRPr="00AC438C">
        <w:rPr>
          <w:rFonts w:ascii="Arial" w:hAnsi="Arial" w:cs="Arial"/>
          <w:color w:val="0D0D0D" w:themeColor="text1" w:themeTint="F2"/>
          <w:sz w:val="16"/>
          <w:szCs w:val="16"/>
          <w:lang w:val="it-IT"/>
        </w:rPr>
        <w:t>328</w:t>
      </w:r>
      <w:r w:rsidRPr="00AC438C">
        <w:rPr>
          <w:rFonts w:ascii="Arial" w:hAnsi="Arial" w:cs="Arial"/>
          <w:color w:val="0D0D0D" w:themeColor="text1" w:themeTint="F2"/>
          <w:sz w:val="16"/>
          <w:szCs w:val="16"/>
        </w:rPr>
        <w:tab/>
      </w:r>
      <w:r w:rsidRPr="00AC438C">
        <w:rPr>
          <w:rFonts w:ascii="Arial" w:hAnsi="Arial" w:cs="Arial"/>
          <w:color w:val="0D0D0D" w:themeColor="text1" w:themeTint="F2"/>
          <w:sz w:val="16"/>
          <w:szCs w:val="16"/>
        </w:rPr>
        <w:tab/>
      </w:r>
      <w:r w:rsidRPr="00AC438C">
        <w:rPr>
          <w:rFonts w:ascii="Arial" w:hAnsi="Arial" w:cs="Arial"/>
          <w:color w:val="0D0D0D" w:themeColor="text1" w:themeTint="F2"/>
          <w:sz w:val="16"/>
          <w:szCs w:val="16"/>
          <w:lang w:val="it-IT"/>
        </w:rPr>
        <w:t>88.17</w:t>
      </w:r>
    </w:p>
    <w:p w14:paraId="7DFD2006" w14:textId="4A399C90" w:rsidR="00A60779" w:rsidRPr="00AC438C" w:rsidRDefault="00A60779" w:rsidP="002A1A84">
      <w:pPr>
        <w:pStyle w:val="Articlenormaltext"/>
        <w:pBdr>
          <w:bottom w:val="single" w:sz="4" w:space="1" w:color="auto"/>
        </w:pBdr>
        <w:ind w:firstLine="0"/>
        <w:rPr>
          <w:rFonts w:ascii="Arial" w:hAnsi="Arial" w:cs="Arial"/>
          <w:color w:val="0D0D0D" w:themeColor="text1" w:themeTint="F2"/>
          <w:sz w:val="16"/>
          <w:szCs w:val="16"/>
        </w:rPr>
      </w:pPr>
      <w:r w:rsidRPr="00AC438C">
        <w:rPr>
          <w:rFonts w:ascii="Arial" w:hAnsi="Arial" w:cs="Arial"/>
          <w:color w:val="0D0D0D" w:themeColor="text1" w:themeTint="F2"/>
          <w:sz w:val="16"/>
          <w:szCs w:val="16"/>
        </w:rPr>
        <w:t>Total</w:t>
      </w:r>
      <w:r w:rsidRPr="00AC438C">
        <w:rPr>
          <w:rFonts w:ascii="Arial" w:hAnsi="Arial" w:cs="Arial"/>
          <w:color w:val="0D0D0D" w:themeColor="text1" w:themeTint="F2"/>
          <w:sz w:val="16"/>
          <w:szCs w:val="16"/>
        </w:rPr>
        <w:tab/>
      </w:r>
      <w:r w:rsidRPr="00AC438C">
        <w:rPr>
          <w:rFonts w:ascii="Arial" w:hAnsi="Arial" w:cs="Arial"/>
          <w:color w:val="0D0D0D" w:themeColor="text1" w:themeTint="F2"/>
          <w:sz w:val="16"/>
          <w:szCs w:val="16"/>
        </w:rPr>
        <w:tab/>
      </w:r>
      <w:r w:rsidRPr="00AC438C">
        <w:rPr>
          <w:rFonts w:ascii="Arial" w:hAnsi="Arial" w:cs="Arial"/>
          <w:color w:val="0D0D0D" w:themeColor="text1" w:themeTint="F2"/>
          <w:sz w:val="16"/>
          <w:szCs w:val="16"/>
        </w:rPr>
        <w:tab/>
      </w:r>
      <w:r w:rsidRPr="00AC438C">
        <w:rPr>
          <w:rFonts w:ascii="Arial" w:hAnsi="Arial" w:cs="Arial"/>
          <w:color w:val="0D0D0D" w:themeColor="text1" w:themeTint="F2"/>
          <w:sz w:val="16"/>
          <w:szCs w:val="16"/>
        </w:rPr>
        <w:tab/>
      </w:r>
      <w:r w:rsidRPr="00AC438C">
        <w:rPr>
          <w:rFonts w:ascii="Arial" w:hAnsi="Arial" w:cs="Arial"/>
          <w:color w:val="0D0D0D" w:themeColor="text1" w:themeTint="F2"/>
          <w:sz w:val="16"/>
          <w:szCs w:val="16"/>
        </w:rPr>
        <w:tab/>
        <w:t>372</w:t>
      </w:r>
      <w:r w:rsidRPr="00AC438C">
        <w:rPr>
          <w:rFonts w:ascii="Arial" w:hAnsi="Arial" w:cs="Arial"/>
          <w:color w:val="0D0D0D" w:themeColor="text1" w:themeTint="F2"/>
          <w:sz w:val="16"/>
          <w:szCs w:val="16"/>
        </w:rPr>
        <w:tab/>
      </w:r>
      <w:r w:rsidRPr="00AC438C">
        <w:rPr>
          <w:rFonts w:ascii="Arial" w:hAnsi="Arial" w:cs="Arial"/>
          <w:color w:val="0D0D0D" w:themeColor="text1" w:themeTint="F2"/>
          <w:sz w:val="16"/>
          <w:szCs w:val="16"/>
        </w:rPr>
        <w:tab/>
        <w:t>100</w:t>
      </w:r>
    </w:p>
    <w:p w14:paraId="32B043AD" w14:textId="393BD860" w:rsidR="0030369C" w:rsidRPr="00644CB1" w:rsidRDefault="73E6831A" w:rsidP="00875D97">
      <w:pPr>
        <w:pStyle w:val="2"/>
        <w:numPr>
          <w:ilvl w:val="1"/>
          <w:numId w:val="7"/>
        </w:numPr>
        <w:ind w:left="567" w:hanging="567"/>
        <w:rPr>
          <w:color w:val="0D0D0D" w:themeColor="text1" w:themeTint="F2"/>
        </w:rPr>
      </w:pPr>
      <w:r w:rsidRPr="00644CB1">
        <w:rPr>
          <w:color w:val="0D0D0D" w:themeColor="text1" w:themeTint="F2"/>
          <w:lang w:val="it-IT"/>
        </w:rPr>
        <w:t xml:space="preserve">Data collection instruments and analysis </w:t>
      </w:r>
    </w:p>
    <w:p w14:paraId="0AAFD462" w14:textId="40564741" w:rsidR="00FB3131" w:rsidRPr="00644CB1" w:rsidRDefault="00FB3131" w:rsidP="00FB3131">
      <w:pPr>
        <w:spacing w:line="264" w:lineRule="auto"/>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The Sport Event Management class combines theoretical instruction with the development of practical sport event management skills through class laboratories. The laboratory approach follows a hybrid model, as the intended skills were cultivated both virtually (through the SG) and in real- world settings (e.g., direct communication with stakeholders).</w:t>
      </w:r>
    </w:p>
    <w:p w14:paraId="16735AA4" w14:textId="5FD5E831" w:rsidR="00FB3131" w:rsidRPr="00644CB1" w:rsidRDefault="00FB3131" w:rsidP="00FB3131">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The VIFT process was structured based on the two previously mentioned models: the Unified Model of Events Management </w:t>
      </w:r>
      <w:r w:rsidR="00040A71" w:rsidRPr="00644CB1">
        <w:rPr>
          <w:rFonts w:ascii="Times New Roman" w:hAnsi="Times New Roman"/>
          <w:color w:val="0D0D0D" w:themeColor="text1" w:themeTint="F2"/>
          <w:lang w:val="en-US"/>
        </w:rPr>
        <w:fldChar w:fldCharType="begin" w:fldLock="1"/>
      </w:r>
      <w:r w:rsidR="004A6402" w:rsidRPr="00644CB1">
        <w:rPr>
          <w:rFonts w:ascii="Times New Roman" w:hAnsi="Times New Roman"/>
          <w:color w:val="0D0D0D" w:themeColor="text1" w:themeTint="F2"/>
          <w:lang w:val="en-US"/>
        </w:rPr>
        <w:instrText>ADDIN CSL_CITATION {"citationItems":[{"id":"ITEM-1","itemData":{"ISBN":"978-0-7506-5872-0","author":[{"dropping-particle":"","family":"Salem","given":"G.","non-dropping-particle":"","parse-names":false,"suffix":""},{"dropping-particle":"","family":"Jones","given":"E.","non-dropping-particle":"","parse-names":false,"suffix":""},{"dropping-particle":"","family":"Morgan","given":"N.","non-dropping-particle":"","parse-names":false,"suffix":""}],"container-title":"Festival and events management: an international arts and culture perspective","editor":[{"dropping-particle":"","family":"Yeoman","given":"I.","non-dropping-particle":"","parse-names":false,"suffix":""},{"dropping-particle":"","family":"Robertson","given":"M.","non-dropping-particle":"","parse-names":false,"suffix":""},{"dropping-particle":"","family":"Ali-Knight","given":"J.A.","non-dropping-particle":"","parse-names":false,"suffix":""},{"dropping-particle":"","family":"Drummond","given":"S.","non-dropping-particle":"","parse-names":false,"suffix":""},{"dropping-particle":"","family":"McMahon-Beattie","given":"U.","non-dropping-particle":"","parse-names":false,"suffix":""}],"id":"ITEM-1","issued":{"date-parts":[["2014"]]},"page":"14-31","publisher":"Elsevier Butterworth-Heinemann","publisher-place":"Boston, MA","title":"An overview of events management","type":"chapter"},"uris":["http://www.mendeley.com/documents/?uuid=74ce0dc2-1ee2-4d79-8055-f405e3731374"]}],"mendeley":{"formattedCitation":"[38]","plainTextFormattedCitation":"[38]","previouslyFormattedCitation":"[38]"},"properties":{"noteIndex":0},"schema":"https://github.com/citation-style-language/schema/raw/master/csl-citation.json"}</w:instrText>
      </w:r>
      <w:r w:rsidR="00040A71" w:rsidRPr="00644CB1">
        <w:rPr>
          <w:rFonts w:ascii="Times New Roman" w:hAnsi="Times New Roman"/>
          <w:color w:val="0D0D0D" w:themeColor="text1" w:themeTint="F2"/>
          <w:lang w:val="en-US"/>
        </w:rPr>
        <w:fldChar w:fldCharType="separate"/>
      </w:r>
      <w:r w:rsidR="00040A71" w:rsidRPr="00644CB1">
        <w:rPr>
          <w:rFonts w:ascii="Times New Roman" w:hAnsi="Times New Roman"/>
          <w:noProof/>
          <w:color w:val="0D0D0D" w:themeColor="text1" w:themeTint="F2"/>
          <w:lang w:val="en-US"/>
        </w:rPr>
        <w:t>[38]</w:t>
      </w:r>
      <w:r w:rsidR="00040A71"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and the Scenario-Based Education Framework </w:t>
      </w:r>
      <w:r w:rsidR="004A6402" w:rsidRPr="00644CB1">
        <w:rPr>
          <w:rFonts w:ascii="Times New Roman" w:hAnsi="Times New Roman"/>
          <w:color w:val="0D0D0D" w:themeColor="text1" w:themeTint="F2"/>
          <w:lang w:val="en-US"/>
        </w:rPr>
        <w:fldChar w:fldCharType="begin" w:fldLock="1"/>
      </w:r>
      <w:r w:rsidR="003D7E2A" w:rsidRPr="00644CB1">
        <w:rPr>
          <w:rFonts w:ascii="Times New Roman" w:hAnsi="Times New Roman"/>
          <w:color w:val="0D0D0D" w:themeColor="text1" w:themeTint="F2"/>
          <w:lang w:val="en-US"/>
        </w:rPr>
        <w:instrText>ADDIN CSL_CITATION {"citationItems":[{"id":"ITEM-1","itemData":{"ISSN":"14794403","abstract":"In this paper I describe s how students use a project management simulation game based on an attack-defense mechanism where two teams of players compete by challenging each other’s projects. The project management simulation game is intended to be played by pre-service construction workers and engineers. The gameplay has two parts: a planning part, where the player make managerial decisions about his construction site, and a challenge part where the player chooses between typical problems to occur on the opponent’s construction site. Playing the game involves analyzing both your own and you opponent’s building project for weak spots. The intention of the project management simulation game, is to provide students with an increased sensitivity towards the relation between planning and reality in complex construction projects. The project management simulation game can be interpreted both as a competitive game and as a simulation. Both of these views are meaningful and can be seen as supporting learning. Emphasizing the simulation aspect let us explain how students learn by being immersed into a simulated world, where the players identify with specific roles, live out specific situations, and experiment with relevant parameters. Emphasizing the competition game aspect we can see how play and competition allow players to experience intrinsic motivation and engagement, as well as thinking strategically about their choices, and hence put attention towards all the things that can go wrong in construction work. The goal of the paper is to investigate empirically how these two understandings influence game experience and learning outcome. This question is approached by qualitative post-game interviews about the experienced fun, competition and realism. Specific attention is given to how the understandings of the experience (for instance as a game and as a simulation) is entangled when the students describe their experience. Using the concepts frame and domain it is analyzed how the students conceptualize and make meaning of the particular educational scenario manifested by the project management simulation game. We take as an outset that students interpret the situations in the project management simulation game as relating to one or several domains, especially the domains competition and simulation. Results suggest that the views of the scenario as a competition and as a simulation do coexist, and that these views merge in a subtle way. The players consider the…","author":[{"dropping-particle":"","family":"Misfeldt","given":"Morten","non-dropping-particle":"","parse-names":false,"suffix":""}],"container-title":"Electronic Journal of e-Learning","id":"ITEM-1","issue":"3","issued":{"date-parts":[["2015"]]},"page":"181-191","title":"Scenario based education as a framework for understanding students engagement and learning in a project management simulation game","type":"article-journal","volume":"13"},"uris":["http://www.mendeley.com/documents/?uuid=092313e4-c29d-4f9b-b151-b70746c3b863"]}],"mendeley":{"formattedCitation":"[45]","plainTextFormattedCitation":"[45]","previouslyFormattedCitation":"[45]"},"properties":{"noteIndex":0},"schema":"https://github.com/citation-style-language/schema/raw/master/csl-citation.json"}</w:instrText>
      </w:r>
      <w:r w:rsidR="004A6402" w:rsidRPr="00644CB1">
        <w:rPr>
          <w:rFonts w:ascii="Times New Roman" w:hAnsi="Times New Roman"/>
          <w:color w:val="0D0D0D" w:themeColor="text1" w:themeTint="F2"/>
          <w:lang w:val="en-US"/>
        </w:rPr>
        <w:fldChar w:fldCharType="separate"/>
      </w:r>
      <w:r w:rsidR="004A6402" w:rsidRPr="00644CB1">
        <w:rPr>
          <w:rFonts w:ascii="Times New Roman" w:hAnsi="Times New Roman"/>
          <w:noProof/>
          <w:color w:val="0D0D0D" w:themeColor="text1" w:themeTint="F2"/>
          <w:lang w:val="en-US"/>
        </w:rPr>
        <w:t>[45]</w:t>
      </w:r>
      <w:r w:rsidR="004A6402"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All students participated in this study as part of their class assignments. Following the model of Salem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 </w:t>
      </w:r>
      <w:r w:rsidR="004A6402" w:rsidRPr="00644CB1">
        <w:rPr>
          <w:rFonts w:ascii="Times New Roman" w:hAnsi="Times New Roman"/>
          <w:color w:val="0D0D0D" w:themeColor="text1" w:themeTint="F2"/>
          <w:lang w:val="en-US"/>
        </w:rPr>
        <w:fldChar w:fldCharType="begin" w:fldLock="1"/>
      </w:r>
      <w:r w:rsidR="004A6402" w:rsidRPr="00644CB1">
        <w:rPr>
          <w:rFonts w:ascii="Times New Roman" w:hAnsi="Times New Roman"/>
          <w:color w:val="0D0D0D" w:themeColor="text1" w:themeTint="F2"/>
          <w:lang w:val="en-US"/>
        </w:rPr>
        <w:instrText>ADDIN CSL_CITATION {"citationItems":[{"id":"ITEM-1","itemData":{"ISBN":"978-0-7506-5872-0","author":[{"dropping-particle":"","family":"Salem","given":"G.","non-dropping-particle":"","parse-names":false,"suffix":""},{"dropping-particle":"","family":"Jones","given":"E.","non-dropping-particle":"","parse-names":false,"suffix":""},{"dropping-particle":"","family":"Morgan","given":"N.","non-dropping-particle":"","parse-names":false,"suffix":""}],"container-title":"Festival and events management: an international arts and culture perspective","editor":[{"dropping-particle":"","family":"Yeoman","given":"I.","non-dropping-particle":"","parse-names":false,"suffix":""},{"dropping-particle":"","family":"Robertson","given":"M.","non-dropping-particle":"","parse-names":false,"suffix":""},{"dropping-particle":"","family":"Ali-Knight","given":"J.A.","non-dropping-particle":"","parse-names":false,"suffix":""},{"dropping-particle":"","family":"Drummond","given":"S.","non-dropping-particle":"","parse-names":false,"suffix":""},{"dropping-particle":"","family":"McMahon-Beattie","given":"U.","non-dropping-particle":"","parse-names":false,"suffix":""}],"id":"ITEM-1","issued":{"date-parts":[["2014"]]},"page":"14-31","publisher":"Elsevier Butterworth-Heinemann","publisher-place":"Boston, MA","title":"An overview of events management","type":"chapter"},"uris":["http://www.mendeley.com/documents/?uuid=74ce0dc2-1ee2-4d79-8055-f405e3731374"]}],"mendeley":{"formattedCitation":"[38]","plainTextFormattedCitation":"[38]","previouslyFormattedCitation":"[38]"},"properties":{"noteIndex":0},"schema":"https://github.com/citation-style-language/schema/raw/master/csl-citation.json"}</w:instrText>
      </w:r>
      <w:r w:rsidR="004A6402" w:rsidRPr="00644CB1">
        <w:rPr>
          <w:rFonts w:ascii="Times New Roman" w:hAnsi="Times New Roman"/>
          <w:color w:val="0D0D0D" w:themeColor="text1" w:themeTint="F2"/>
          <w:lang w:val="en-US"/>
        </w:rPr>
        <w:fldChar w:fldCharType="separate"/>
      </w:r>
      <w:r w:rsidR="004A6402" w:rsidRPr="00644CB1">
        <w:rPr>
          <w:rFonts w:ascii="Times New Roman" w:hAnsi="Times New Roman"/>
          <w:noProof/>
          <w:color w:val="0D0D0D" w:themeColor="text1" w:themeTint="F2"/>
          <w:lang w:val="en-US"/>
        </w:rPr>
        <w:t>[38]</w:t>
      </w:r>
      <w:r w:rsidR="004A6402"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once the decision to create the event was taken, the next step was detailed planning, which involved tasks such as establishing an organizing committee, creating announcements, and mapping out the tournament. Subsequently, the tournament was implemented, including activities such as technical meetings, draws, match execution, and score table updates. Finally, an evaluation of the tournament was conducted.</w:t>
      </w:r>
    </w:p>
    <w:p w14:paraId="5D8294A2" w14:textId="29EDD000" w:rsidR="00BE5FE5" w:rsidRPr="00644CB1" w:rsidRDefault="00FB3131" w:rsidP="0006090B">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In line with this model, a scenario was developed in which all students enrolled in the event organization course assumed roles as organizing committee members and project managers, each responsible for managing the participating teams assigned to their group. Within this framework, their responsibilities included: a) communicating with participants, b) sending informational materials, c) resolving administrative issues, and d) making managerial decisions.</w:t>
      </w:r>
      <w:r w:rsidR="0006090B"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 xml:space="preserve">The data collection process was carried out through: a) a set of deliverables, b) a written test, assessing the sport event management skills acquired by the organizers, and c) the Virtual Environment Evaluation Questionnaire, developed by Chertoff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 </w:t>
      </w:r>
      <w:r w:rsidR="003D7E2A" w:rsidRPr="00644CB1">
        <w:rPr>
          <w:rFonts w:ascii="Times New Roman" w:hAnsi="Times New Roman"/>
          <w:color w:val="0D0D0D" w:themeColor="text1" w:themeTint="F2"/>
          <w:lang w:val="en-US"/>
        </w:rPr>
        <w:fldChar w:fldCharType="begin" w:fldLock="1"/>
      </w:r>
      <w:r w:rsidR="001008C6" w:rsidRPr="00644CB1">
        <w:rPr>
          <w:rFonts w:ascii="Times New Roman" w:hAnsi="Times New Roman"/>
          <w:color w:val="0D0D0D" w:themeColor="text1" w:themeTint="F2"/>
          <w:lang w:val="en-US"/>
        </w:rPr>
        <w:instrText>ADDIN CSL_CITATION {"citationItems":[{"id":"ITEM-1","itemData":{"DOI":"10.1109/VR.2010.5444804","ISBN":"9781424462582","abstract":"We present the development and evaluation of the Virtual Experience Test (VET). The VET is a survey instrument used to measure holistic virtual environment experiences based upon the five dimensions of experiential design: sensory, cognitive, affective, active, and relational. Experiential Design (ED) is a holistic approach to enhance presence in virtual environments that goes beyond existing presence theory (i.e. a focus on the sensory aspects of VE experiences) to include affective and cognitive factors. To evaluate the VET, 62 participants played the commercial video game Mirror's Edge. After gameplay both the VET and the ITC-Sense of Presence Inventory (ITC-SOPI) were administered. A principal component analysis was performed on the VET and it was determined that the actual question clustering coincided with the proposed dimensions of experiential design. Furthermore, scores from the VET were shown to have a significant relationship with presence scores on the ITC-SOPI. The results of this research produced a validated measure of holistic experience that could be used to evaluate virtual environments. Furthermore, our experiment indicates that virtual environments utilizing holistic designs can result in significantly higher presence. ©2010 IEEE.","author":[{"dropping-particle":"","family":"Chertoff","given":"Dustin B.","non-dropping-particle":"","parse-names":false,"suffix":""},{"dropping-particle":"","family":"Goldiez","given":"Brian","non-dropping-particle":"","parse-names":false,"suffix":""},{"dropping-particle":"","family":"LaViola","given":"Joseph J.","non-dropping-particle":"","parse-names":false,"suffix":""}],"container-title":"Proceedings - IEEE Virtual Reality","id":"ITEM-1","issued":{"date-parts":[["2010"]]},"page":"103-110","publisher":"IEEE","title":"Virtual experience test: A virtual environment evaluation questionnaire","type":"article-journal"},"uris":["http://www.mendeley.com/documents/?uuid=06e35755-f8da-419e-a3dd-709335fc66a8"]}],"mendeley":{"formattedCitation":"[47]","plainTextFormattedCitation":"[47]","previouslyFormattedCitation":"[47]"},"properties":{"noteIndex":0},"schema":"https://github.com/citation-style-language/schema/raw/master/csl-citation.json"}</w:instrText>
      </w:r>
      <w:r w:rsidR="003D7E2A" w:rsidRPr="00644CB1">
        <w:rPr>
          <w:rFonts w:ascii="Times New Roman" w:hAnsi="Times New Roman"/>
          <w:color w:val="0D0D0D" w:themeColor="text1" w:themeTint="F2"/>
          <w:lang w:val="en-US"/>
        </w:rPr>
        <w:fldChar w:fldCharType="separate"/>
      </w:r>
      <w:r w:rsidR="001502B0" w:rsidRPr="00644CB1">
        <w:rPr>
          <w:rFonts w:ascii="Times New Roman" w:hAnsi="Times New Roman"/>
          <w:noProof/>
          <w:color w:val="0D0D0D" w:themeColor="text1" w:themeTint="F2"/>
          <w:lang w:val="en-US"/>
        </w:rPr>
        <w:t>[47]</w:t>
      </w:r>
      <w:r w:rsidR="003D7E2A"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which evaluated both the organizers' sport management efficiency and the overall VIFT experience. The data analysis was conducted using descriptive statistics to summarize the key findings. To examine differences between participants based on gender and prior experience, an independent samples t-test was applied. </w:t>
      </w:r>
      <w:r w:rsidR="00BE5FE5" w:rsidRPr="00644CB1">
        <w:rPr>
          <w:rFonts w:ascii="Times New Roman" w:hAnsi="Times New Roman"/>
          <w:color w:val="0D0D0D" w:themeColor="text1" w:themeTint="F2"/>
          <w:lang w:val="en-US"/>
        </w:rPr>
        <w:t>Data analys</w:t>
      </w:r>
      <w:r w:rsidR="00FA65E2" w:rsidRPr="00644CB1">
        <w:rPr>
          <w:rFonts w:ascii="Times New Roman" w:hAnsi="Times New Roman"/>
          <w:color w:val="0D0D0D" w:themeColor="text1" w:themeTint="F2"/>
          <w:lang w:val="en-US"/>
        </w:rPr>
        <w:t>es</w:t>
      </w:r>
      <w:r w:rsidR="00BE5FE5" w:rsidRPr="00644CB1">
        <w:rPr>
          <w:rFonts w:ascii="Times New Roman" w:hAnsi="Times New Roman"/>
          <w:color w:val="0D0D0D" w:themeColor="text1" w:themeTint="F2"/>
          <w:lang w:val="en-US"/>
        </w:rPr>
        <w:t xml:space="preserve"> focused on descriptive statistics and independent samples t-tests </w:t>
      </w:r>
      <w:r w:rsidR="00F0418B" w:rsidRPr="00644CB1">
        <w:rPr>
          <w:rFonts w:ascii="Times New Roman" w:hAnsi="Times New Roman"/>
          <w:color w:val="0D0D0D" w:themeColor="text1" w:themeTint="F2"/>
          <w:lang w:val="en-US"/>
        </w:rPr>
        <w:t xml:space="preserve">are </w:t>
      </w:r>
      <w:r w:rsidR="00BE5FE5" w:rsidRPr="00644CB1">
        <w:rPr>
          <w:rFonts w:ascii="Times New Roman" w:hAnsi="Times New Roman"/>
          <w:color w:val="0D0D0D" w:themeColor="text1" w:themeTint="F2"/>
          <w:lang w:val="en-US"/>
        </w:rPr>
        <w:t>appropriate for this exploratory phase of research</w:t>
      </w:r>
      <w:r w:rsidR="001008C6" w:rsidRPr="00644CB1">
        <w:rPr>
          <w:rFonts w:ascii="Times New Roman" w:hAnsi="Times New Roman"/>
          <w:color w:val="0D0D0D" w:themeColor="text1" w:themeTint="F2"/>
          <w:lang w:val="en-US"/>
        </w:rPr>
        <w:t xml:space="preserve"> </w:t>
      </w:r>
      <w:r w:rsidR="001008C6" w:rsidRPr="00644CB1">
        <w:rPr>
          <w:rFonts w:ascii="Times New Roman" w:hAnsi="Times New Roman"/>
          <w:color w:val="0D0D0D" w:themeColor="text1" w:themeTint="F2"/>
          <w:lang w:val="en-US"/>
        </w:rPr>
        <w:fldChar w:fldCharType="begin" w:fldLock="1"/>
      </w:r>
      <w:r w:rsidR="003F45CE" w:rsidRPr="00644CB1">
        <w:rPr>
          <w:rFonts w:ascii="Times New Roman" w:hAnsi="Times New Roman"/>
          <w:color w:val="0D0D0D" w:themeColor="text1" w:themeTint="F2"/>
          <w:lang w:val="en-US"/>
        </w:rPr>
        <w:instrText>ADDIN CSL_CITATION {"citationItems":[{"id":"ITEM-1","itemData":{"author":[{"dropping-particle":"","family":"Akpan","given":"E. E.","non-dropping-particle":"","parse-names":false,"suffix":""},{"dropping-particle":"","family":"Clark","given":"J. L.","non-dropping-particle":"","parse-names":false,"suffix":""}],"container-title":"Int. J. Eminent Sch","id":"ITEM-1","issue":"1","issued":{"date-parts":[["2023"]]},"page":"79-88","title":"Independent T-test statistics: It’s relevance in educational research","type":"article-journal","volume":"10"},"uris":["http://www.mendeley.com/documents/?uuid=3a1c3c2d-41e7-4620-a54f-a08936888192"]}],"mendeley":{"formattedCitation":"[48]","plainTextFormattedCitation":"[48]","previouslyFormattedCitation":"[48]"},"properties":{"noteIndex":0},"schema":"https://github.com/citation-style-language/schema/raw/master/csl-citation.json"}</w:instrText>
      </w:r>
      <w:r w:rsidR="001008C6" w:rsidRPr="00644CB1">
        <w:rPr>
          <w:rFonts w:ascii="Times New Roman" w:hAnsi="Times New Roman"/>
          <w:color w:val="0D0D0D" w:themeColor="text1" w:themeTint="F2"/>
          <w:lang w:val="en-US"/>
        </w:rPr>
        <w:fldChar w:fldCharType="separate"/>
      </w:r>
      <w:r w:rsidR="001008C6" w:rsidRPr="00644CB1">
        <w:rPr>
          <w:rFonts w:ascii="Times New Roman" w:hAnsi="Times New Roman"/>
          <w:noProof/>
          <w:color w:val="0D0D0D" w:themeColor="text1" w:themeTint="F2"/>
          <w:lang w:val="en-US"/>
        </w:rPr>
        <w:t>[48]</w:t>
      </w:r>
      <w:r w:rsidR="001008C6" w:rsidRPr="00644CB1">
        <w:rPr>
          <w:rFonts w:ascii="Times New Roman" w:hAnsi="Times New Roman"/>
          <w:color w:val="0D0D0D" w:themeColor="text1" w:themeTint="F2"/>
          <w:lang w:val="en-US"/>
        </w:rPr>
        <w:fldChar w:fldCharType="end"/>
      </w:r>
      <w:r w:rsidR="00322C9D" w:rsidRPr="00644CB1">
        <w:rPr>
          <w:rFonts w:ascii="Times New Roman" w:hAnsi="Times New Roman"/>
          <w:color w:val="0D0D0D" w:themeColor="text1" w:themeTint="F2"/>
        </w:rPr>
        <w:t>.</w:t>
      </w:r>
      <w:r w:rsidR="00BE5FE5" w:rsidRPr="00644CB1">
        <w:rPr>
          <w:rFonts w:ascii="Times New Roman" w:hAnsi="Times New Roman"/>
          <w:color w:val="0D0D0D" w:themeColor="text1" w:themeTint="F2"/>
          <w:lang w:val="en-US"/>
        </w:rPr>
        <w:t xml:space="preserve"> These analytical approaches allowed for comprehensive description of learning outcomes and initial examination of group differences, establishing baseline findings that can inform more sophisticated multivariate analyses in future controlled studies with larger, more diverse samples.</w:t>
      </w:r>
      <w:r w:rsidR="00B172A6" w:rsidRPr="00644CB1">
        <w:rPr>
          <w:rFonts w:ascii="Times New Roman" w:hAnsi="Times New Roman"/>
          <w:color w:val="0D0D0D" w:themeColor="text1" w:themeTint="F2"/>
          <w:lang w:val="en-US"/>
        </w:rPr>
        <w:t xml:space="preserve"> </w:t>
      </w:r>
      <w:r w:rsidR="0016061E" w:rsidRPr="00644CB1">
        <w:rPr>
          <w:rFonts w:ascii="Times New Roman" w:hAnsi="Times New Roman"/>
          <w:color w:val="0D0D0D" w:themeColor="text1" w:themeTint="F2"/>
          <w:lang w:val="en-US"/>
        </w:rPr>
        <w:t xml:space="preserve">Additionally, a correlation analysis was performed to examine the relationship between the VIFT evaluation results and the organizers' assessments, providing insights into the </w:t>
      </w:r>
      <w:r w:rsidR="000B46C5">
        <w:rPr>
          <w:rFonts w:ascii="Times New Roman" w:hAnsi="Times New Roman"/>
          <w:color w:val="0D0D0D" w:themeColor="text1" w:themeTint="F2"/>
          <w:lang w:val="en-US"/>
        </w:rPr>
        <w:t>validity</w:t>
      </w:r>
      <w:r w:rsidR="000B46C5" w:rsidRPr="00644CB1">
        <w:rPr>
          <w:rFonts w:ascii="Times New Roman" w:hAnsi="Times New Roman"/>
          <w:color w:val="0D0D0D" w:themeColor="text1" w:themeTint="F2"/>
          <w:lang w:val="en-US"/>
        </w:rPr>
        <w:t xml:space="preserve"> </w:t>
      </w:r>
      <w:r w:rsidR="0016061E" w:rsidRPr="00644CB1">
        <w:rPr>
          <w:rFonts w:ascii="Times New Roman" w:hAnsi="Times New Roman"/>
          <w:color w:val="0D0D0D" w:themeColor="text1" w:themeTint="F2"/>
          <w:lang w:val="en-US"/>
        </w:rPr>
        <w:t>of the evaluation process.</w:t>
      </w:r>
    </w:p>
    <w:p w14:paraId="7CC1D172" w14:textId="00BEBAE9" w:rsidR="00597B71" w:rsidRPr="00644CB1" w:rsidRDefault="0016177D" w:rsidP="001436FA">
      <w:pPr>
        <w:pStyle w:val="3"/>
        <w:numPr>
          <w:ilvl w:val="2"/>
          <w:numId w:val="7"/>
        </w:numPr>
        <w:rPr>
          <w:color w:val="0D0D0D" w:themeColor="text1" w:themeTint="F2"/>
        </w:rPr>
      </w:pPr>
      <w:r w:rsidRPr="00644CB1">
        <w:rPr>
          <w:color w:val="0D0D0D" w:themeColor="text1" w:themeTint="F2"/>
        </w:rPr>
        <w:t>Deliverables</w:t>
      </w:r>
    </w:p>
    <w:p w14:paraId="56B37640" w14:textId="796DE8B5" w:rsidR="000C78D1" w:rsidRPr="00644CB1" w:rsidRDefault="73E6831A" w:rsidP="73E6831A">
      <w:pPr>
        <w:pStyle w:val="Articlenormaltext"/>
        <w:ind w:firstLine="0"/>
        <w:rPr>
          <w:color w:val="0D0D0D" w:themeColor="text1" w:themeTint="F2"/>
        </w:rPr>
      </w:pPr>
      <w:r w:rsidRPr="00644CB1">
        <w:rPr>
          <w:color w:val="0D0D0D" w:themeColor="text1" w:themeTint="F2"/>
          <w:lang w:val="it-IT"/>
        </w:rPr>
        <w:t>The deliverables, assigned as class assignments related to sport event management skills development, were an integral part of the official assessment of the organizers before, during, and after the completion of the VIFT. The organizers were required to submit a set of event management tools to the class instructor, including the organization chart, project charter (map), event timetable, and Structured Task Analysis, among others. The primary objective of the deliverables was to enhance students’ skills in areas such as timetable preparation, competition draws and scheduling, and scoreboard arrangements. The evaluation of these deliverables was conducted using a 1 to 10 grading scale.</w:t>
      </w:r>
    </w:p>
    <w:p w14:paraId="50B72E2C" w14:textId="5C951694" w:rsidR="001E616A" w:rsidRPr="00644CB1" w:rsidRDefault="001E616A" w:rsidP="00DE1E4C">
      <w:pPr>
        <w:pStyle w:val="3"/>
        <w:numPr>
          <w:ilvl w:val="2"/>
          <w:numId w:val="7"/>
        </w:numPr>
        <w:rPr>
          <w:color w:val="0D0D0D" w:themeColor="text1" w:themeTint="F2"/>
        </w:rPr>
      </w:pPr>
      <w:r w:rsidRPr="00644CB1">
        <w:rPr>
          <w:color w:val="0D0D0D" w:themeColor="text1" w:themeTint="F2"/>
        </w:rPr>
        <w:lastRenderedPageBreak/>
        <w:t xml:space="preserve">Knowledge </w:t>
      </w:r>
      <w:r w:rsidR="00DC7A8D" w:rsidRPr="00644CB1">
        <w:rPr>
          <w:color w:val="0D0D0D" w:themeColor="text1" w:themeTint="F2"/>
        </w:rPr>
        <w:t>w</w:t>
      </w:r>
      <w:r w:rsidRPr="00644CB1">
        <w:rPr>
          <w:color w:val="0D0D0D" w:themeColor="text1" w:themeTint="F2"/>
        </w:rPr>
        <w:t xml:space="preserve">ritten </w:t>
      </w:r>
      <w:r w:rsidR="00DC7A8D" w:rsidRPr="00644CB1">
        <w:rPr>
          <w:color w:val="0D0D0D" w:themeColor="text1" w:themeTint="F2"/>
        </w:rPr>
        <w:t>t</w:t>
      </w:r>
      <w:r w:rsidRPr="00644CB1">
        <w:rPr>
          <w:color w:val="0D0D0D" w:themeColor="text1" w:themeTint="F2"/>
        </w:rPr>
        <w:t>est</w:t>
      </w:r>
    </w:p>
    <w:p w14:paraId="4F9374D1" w14:textId="08CA7971" w:rsidR="00B470C8" w:rsidRPr="00644CB1" w:rsidRDefault="00B470C8" w:rsidP="00B470C8">
      <w:pPr>
        <w:pStyle w:val="Articlenormaltext"/>
        <w:rPr>
          <w:color w:val="0D0D0D" w:themeColor="text1" w:themeTint="F2"/>
          <w:szCs w:val="22"/>
        </w:rPr>
      </w:pPr>
      <w:r w:rsidRPr="00644CB1">
        <w:rPr>
          <w:color w:val="0D0D0D" w:themeColor="text1" w:themeTint="F2"/>
          <w:szCs w:val="22"/>
        </w:rPr>
        <w:t xml:space="preserve">The written test was designed to assess </w:t>
      </w:r>
      <w:proofErr w:type="gramStart"/>
      <w:r w:rsidRPr="00644CB1">
        <w:rPr>
          <w:color w:val="0D0D0D" w:themeColor="text1" w:themeTint="F2"/>
          <w:szCs w:val="22"/>
        </w:rPr>
        <w:t>students'</w:t>
      </w:r>
      <w:proofErr w:type="gramEnd"/>
      <w:r w:rsidRPr="00644CB1">
        <w:rPr>
          <w:color w:val="0D0D0D" w:themeColor="text1" w:themeTint="F2"/>
          <w:szCs w:val="22"/>
        </w:rPr>
        <w:t xml:space="preserve"> acquired theoretical knowledge on sports event management topics and was administered after the completion of the VIFT. The test development followed a systematic validation process to ensure content validity and reliability.</w:t>
      </w:r>
    </w:p>
    <w:p w14:paraId="6ECAC3CD" w14:textId="76C0EEB1" w:rsidR="00B470C8" w:rsidRPr="00644CB1" w:rsidRDefault="00B470C8" w:rsidP="00B470C8">
      <w:pPr>
        <w:pStyle w:val="Articlenormaltext"/>
        <w:rPr>
          <w:color w:val="0D0D0D" w:themeColor="text1" w:themeTint="F2"/>
          <w:szCs w:val="22"/>
        </w:rPr>
      </w:pPr>
      <w:r w:rsidRPr="00644CB1">
        <w:rPr>
          <w:color w:val="0D0D0D" w:themeColor="text1" w:themeTint="F2"/>
          <w:szCs w:val="22"/>
        </w:rPr>
        <w:t>The test was initially developed by the class instructor based on the course learning objectives and VIFT activities. Subsequently, the instrument underwent content validation by a panel of three sport management experts from SPESS faculty, who independently reviewed each question for relevance, clarity, and alignment with course objectives. The expert panel achieved 100% agreement on question relevance, with minor revisions made to improve clarity based on their recommendations.</w:t>
      </w:r>
    </w:p>
    <w:p w14:paraId="1FC29CCB" w14:textId="77777777" w:rsidR="00B470C8" w:rsidRPr="00644CB1" w:rsidRDefault="00B470C8" w:rsidP="00B470C8">
      <w:pPr>
        <w:pStyle w:val="Articlenormaltext"/>
        <w:rPr>
          <w:color w:val="0D0D0D" w:themeColor="text1" w:themeTint="F2"/>
          <w:szCs w:val="22"/>
        </w:rPr>
      </w:pPr>
      <w:r w:rsidRPr="00644CB1">
        <w:rPr>
          <w:color w:val="0D0D0D" w:themeColor="text1" w:themeTint="F2"/>
          <w:szCs w:val="22"/>
        </w:rPr>
        <w:t>The final test consisted of 20 questions (12 multiple-choice and 8 open-ended), covering six key areas of event organization: sports tournament planning (e.g., "</w:t>
      </w:r>
      <w:r w:rsidRPr="00644CB1">
        <w:rPr>
          <w:i/>
          <w:color w:val="0D0D0D" w:themeColor="text1" w:themeTint="F2"/>
          <w:szCs w:val="22"/>
        </w:rPr>
        <w:t>What do you know about the project charter map?</w:t>
      </w:r>
      <w:r w:rsidRPr="00644CB1">
        <w:rPr>
          <w:color w:val="0D0D0D" w:themeColor="text1" w:themeTint="F2"/>
          <w:szCs w:val="22"/>
        </w:rPr>
        <w:t>"), competition announcements (e.g., "</w:t>
      </w:r>
      <w:r w:rsidRPr="00644CB1">
        <w:rPr>
          <w:i/>
          <w:color w:val="0D0D0D" w:themeColor="text1" w:themeTint="F2"/>
          <w:szCs w:val="22"/>
        </w:rPr>
        <w:t>What is included in a football tournament general announcement?</w:t>
      </w:r>
      <w:r w:rsidRPr="00644CB1">
        <w:rPr>
          <w:color w:val="0D0D0D" w:themeColor="text1" w:themeTint="F2"/>
          <w:szCs w:val="22"/>
        </w:rPr>
        <w:t>"), participants' management (e.g., "</w:t>
      </w:r>
      <w:r w:rsidRPr="00644CB1">
        <w:rPr>
          <w:i/>
          <w:iCs/>
          <w:color w:val="0D0D0D" w:themeColor="text1" w:themeTint="F2"/>
          <w:szCs w:val="22"/>
        </w:rPr>
        <w:t>What kind of information should be included in a registration form?</w:t>
      </w:r>
      <w:r w:rsidRPr="00644CB1">
        <w:rPr>
          <w:color w:val="0D0D0D" w:themeColor="text1" w:themeTint="F2"/>
          <w:szCs w:val="22"/>
        </w:rPr>
        <w:t>"), technical meetings (e.g., "</w:t>
      </w:r>
      <w:r w:rsidRPr="00644CB1">
        <w:rPr>
          <w:i/>
          <w:iCs/>
          <w:color w:val="0D0D0D" w:themeColor="text1" w:themeTint="F2"/>
          <w:szCs w:val="22"/>
        </w:rPr>
        <w:t>What kind of information should be communicated to participants during a technical meeting?</w:t>
      </w:r>
      <w:r w:rsidRPr="00644CB1">
        <w:rPr>
          <w:color w:val="0D0D0D" w:themeColor="text1" w:themeTint="F2"/>
          <w:szCs w:val="22"/>
        </w:rPr>
        <w:t>"), match calculation ("</w:t>
      </w:r>
      <w:r w:rsidRPr="00644CB1">
        <w:rPr>
          <w:i/>
          <w:iCs/>
          <w:color w:val="0D0D0D" w:themeColor="text1" w:themeTint="F2"/>
          <w:szCs w:val="22"/>
        </w:rPr>
        <w:t>Which mathematical type calculates the total number of matches in a robin round system?</w:t>
      </w:r>
      <w:r w:rsidRPr="00644CB1">
        <w:rPr>
          <w:color w:val="0D0D0D" w:themeColor="text1" w:themeTint="F2"/>
          <w:szCs w:val="22"/>
        </w:rPr>
        <w:t>"), and qualification criteria (e.g., "</w:t>
      </w:r>
      <w:r w:rsidRPr="00644CB1">
        <w:rPr>
          <w:i/>
          <w:iCs/>
          <w:color w:val="0D0D0D" w:themeColor="text1" w:themeTint="F2"/>
          <w:szCs w:val="22"/>
        </w:rPr>
        <w:t>What are the most common qualification criteria for teams that are tied in the standings in a robin round system?</w:t>
      </w:r>
      <w:r w:rsidRPr="00644CB1">
        <w:rPr>
          <w:color w:val="0D0D0D" w:themeColor="text1" w:themeTint="F2"/>
          <w:szCs w:val="22"/>
        </w:rPr>
        <w:t>").</w:t>
      </w:r>
    </w:p>
    <w:p w14:paraId="32E56B35" w14:textId="77777777" w:rsidR="0090179B" w:rsidRPr="00644CB1" w:rsidRDefault="00B470C8" w:rsidP="0090179B">
      <w:pPr>
        <w:pStyle w:val="Articlenormaltext"/>
        <w:rPr>
          <w:color w:val="0D0D0D" w:themeColor="text1" w:themeTint="F2"/>
          <w:szCs w:val="22"/>
        </w:rPr>
      </w:pPr>
      <w:r w:rsidRPr="00644CB1">
        <w:rPr>
          <w:color w:val="0D0D0D" w:themeColor="text1" w:themeTint="F2"/>
          <w:szCs w:val="22"/>
        </w:rPr>
        <w:t>The assessment was conducted using a standardized 1 to 10 grading scale, with detailed rubrics provided for open-ended questions to ensure consistent evaluation.</w:t>
      </w:r>
      <w:r w:rsidR="006B2EFE" w:rsidRPr="00644CB1">
        <w:rPr>
          <w:color w:val="0D0D0D" w:themeColor="text1" w:themeTint="F2"/>
          <w:szCs w:val="22"/>
        </w:rPr>
        <w:t xml:space="preserve"> </w:t>
      </w:r>
    </w:p>
    <w:p w14:paraId="3F43E4B8" w14:textId="5AA06A06" w:rsidR="00597B71" w:rsidRPr="00644CB1" w:rsidRDefault="007E5148" w:rsidP="00DE1E4C">
      <w:pPr>
        <w:pStyle w:val="3"/>
        <w:numPr>
          <w:ilvl w:val="2"/>
          <w:numId w:val="7"/>
        </w:numPr>
        <w:rPr>
          <w:color w:val="0D0D0D" w:themeColor="text1" w:themeTint="F2"/>
        </w:rPr>
      </w:pPr>
      <w:r w:rsidRPr="00644CB1">
        <w:rPr>
          <w:color w:val="0D0D0D" w:themeColor="text1" w:themeTint="F2"/>
        </w:rPr>
        <w:t xml:space="preserve">VIFT </w:t>
      </w:r>
      <w:r w:rsidR="00DC7A8D" w:rsidRPr="00644CB1">
        <w:rPr>
          <w:color w:val="0D0D0D" w:themeColor="text1" w:themeTint="F2"/>
        </w:rPr>
        <w:t>e</w:t>
      </w:r>
      <w:r w:rsidRPr="00644CB1">
        <w:rPr>
          <w:color w:val="0D0D0D" w:themeColor="text1" w:themeTint="F2"/>
        </w:rPr>
        <w:t>valuation</w:t>
      </w:r>
    </w:p>
    <w:p w14:paraId="2420124B" w14:textId="235146C6" w:rsidR="003123E6" w:rsidRDefault="003123E6" w:rsidP="00664AA9">
      <w:pPr>
        <w:pStyle w:val="Articlenormaltext"/>
        <w:rPr>
          <w:color w:val="0D0D0D" w:themeColor="text1" w:themeTint="F2"/>
          <w:szCs w:val="22"/>
        </w:rPr>
      </w:pPr>
      <w:r w:rsidRPr="00644CB1">
        <w:rPr>
          <w:color w:val="0D0D0D" w:themeColor="text1" w:themeTint="F2"/>
          <w:szCs w:val="22"/>
        </w:rPr>
        <w:t xml:space="preserve">The VIFT evaluation utilized an adapted version of the Virtual Environment Evaluation Questionnaire developed by Chertoff </w:t>
      </w:r>
      <w:r w:rsidR="00E12378" w:rsidRPr="00644CB1">
        <w:rPr>
          <w:i/>
          <w:color w:val="0D0D0D" w:themeColor="text1" w:themeTint="F2"/>
          <w:szCs w:val="22"/>
        </w:rPr>
        <w:t>et al.</w:t>
      </w:r>
      <w:r w:rsidRPr="00644CB1">
        <w:rPr>
          <w:color w:val="0D0D0D" w:themeColor="text1" w:themeTint="F2"/>
          <w:szCs w:val="22"/>
        </w:rPr>
        <w:t xml:space="preserve"> </w:t>
      </w:r>
      <w:r w:rsidR="00D77A08" w:rsidRPr="00644CB1">
        <w:rPr>
          <w:color w:val="0D0D0D" w:themeColor="text1" w:themeTint="F2"/>
          <w:szCs w:val="22"/>
        </w:rPr>
        <w:fldChar w:fldCharType="begin" w:fldLock="1"/>
      </w:r>
      <w:r w:rsidR="001008C6" w:rsidRPr="00644CB1">
        <w:rPr>
          <w:color w:val="0D0D0D" w:themeColor="text1" w:themeTint="F2"/>
          <w:szCs w:val="22"/>
        </w:rPr>
        <w:instrText>ADDIN CSL_CITATION {"citationItems":[{"id":"ITEM-1","itemData":{"DOI":"10.1109/VR.2010.5444804","ISBN":"9781424462582","abstract":"We present the development and evaluation of the Virtual Experience Test (VET). The VET is a survey instrument used to measure holistic virtual environment experiences based upon the five dimensions of experiential design: sensory, cognitive, affective, active, and relational. Experiential Design (ED) is a holistic approach to enhance presence in virtual environments that goes beyond existing presence theory (i.e. a focus on the sensory aspects of VE experiences) to include affective and cognitive factors. To evaluate the VET, 62 participants played the commercial video game Mirror's Edge. After gameplay both the VET and the ITC-Sense of Presence Inventory (ITC-SOPI) were administered. A principal component analysis was performed on the VET and it was determined that the actual question clustering coincided with the proposed dimensions of experiential design. Furthermore, scores from the VET were shown to have a significant relationship with presence scores on the ITC-SOPI. The results of this research produced a validated measure of holistic experience that could be used to evaluate virtual environments. Furthermore, our experiment indicates that virtual environments utilizing holistic designs can result in significantly higher presence. ©2010 IEEE.","author":[{"dropping-particle":"","family":"Chertoff","given":"Dustin B.","non-dropping-particle":"","parse-names":false,"suffix":""},{"dropping-particle":"","family":"Goldiez","given":"Brian","non-dropping-particle":"","parse-names":false,"suffix":""},{"dropping-particle":"","family":"LaViola","given":"Joseph J.","non-dropping-particle":"","parse-names":false,"suffix":""}],"container-title":"Proceedings - IEEE Virtual Reality","id":"ITEM-1","issued":{"date-parts":[["2010"]]},"page":"103-110","publisher":"IEEE","title":"Virtual experience test: A virtual environment evaluation questionnaire","type":"article-journal"},"uris":["http://www.mendeley.com/documents/?uuid=06e35755-f8da-419e-a3dd-709335fc66a8"]}],"mendeley":{"formattedCitation":"[47]","plainTextFormattedCitation":"[47]","previouslyFormattedCitation":"[47]"},"properties":{"noteIndex":0},"schema":"https://github.com/citation-style-language/schema/raw/master/csl-citation.json"}</w:instrText>
      </w:r>
      <w:r w:rsidR="00D77A08" w:rsidRPr="00644CB1">
        <w:rPr>
          <w:color w:val="0D0D0D" w:themeColor="text1" w:themeTint="F2"/>
          <w:szCs w:val="22"/>
        </w:rPr>
        <w:fldChar w:fldCharType="separate"/>
      </w:r>
      <w:r w:rsidR="001502B0" w:rsidRPr="00644CB1">
        <w:rPr>
          <w:noProof/>
          <w:color w:val="0D0D0D" w:themeColor="text1" w:themeTint="F2"/>
          <w:szCs w:val="22"/>
        </w:rPr>
        <w:t>[47]</w:t>
      </w:r>
      <w:r w:rsidR="00D77A08" w:rsidRPr="00644CB1">
        <w:rPr>
          <w:color w:val="0D0D0D" w:themeColor="text1" w:themeTint="F2"/>
          <w:szCs w:val="22"/>
        </w:rPr>
        <w:fldChar w:fldCharType="end"/>
      </w:r>
      <w:r w:rsidRPr="00644CB1">
        <w:rPr>
          <w:color w:val="0D0D0D" w:themeColor="text1" w:themeTint="F2"/>
          <w:szCs w:val="22"/>
        </w:rPr>
        <w:t>. The adaptation process involved systematic modification to align the instrument with the specific objectives and context of sports event management education. The original questionnaire was modified through a two-stage process. First, questions irrelevant to the sport event management context were removed, while others were adapted to reflect the specific learning objectives of the VIFT. Second, the adapted questionnaire underwent face validity assessment by a committee of three SPESS faculty members with expertise in sport management and educational assessment. The committee reviewed each item for clarity, relevance, and appropriateness, approving the final version without recommending further changes.</w:t>
      </w:r>
      <w:r w:rsidR="00E821C4" w:rsidRPr="0062575C">
        <w:rPr>
          <w:color w:val="0D0D0D" w:themeColor="text1" w:themeTint="F2"/>
          <w:szCs w:val="22"/>
        </w:rPr>
        <w:t xml:space="preserve"> </w:t>
      </w:r>
      <w:r w:rsidR="00E821C4">
        <w:rPr>
          <w:color w:val="0D0D0D" w:themeColor="text1" w:themeTint="F2"/>
          <w:szCs w:val="22"/>
        </w:rPr>
        <w:t xml:space="preserve">The questionnaire </w:t>
      </w:r>
      <w:r w:rsidR="00FB2017" w:rsidRPr="00FB2017">
        <w:rPr>
          <w:color w:val="0D0D0D" w:themeColor="text1" w:themeTint="F2"/>
          <w:szCs w:val="22"/>
        </w:rPr>
        <w:t xml:space="preserve">included 27 questions in total; internal consistency was assessed for the Likert-type scale items only (demographic and open-ended questions were excluded). The final instrument evaluated two primary dimensions </w:t>
      </w:r>
      <w:r w:rsidR="000F2F03">
        <w:rPr>
          <w:color w:val="0D0D0D" w:themeColor="text1" w:themeTint="F2"/>
          <w:szCs w:val="22"/>
        </w:rPr>
        <w:t>(</w:t>
      </w:r>
      <w:r w:rsidR="00DC6904">
        <w:rPr>
          <w:color w:val="0D0D0D" w:themeColor="text1" w:themeTint="F2"/>
          <w:szCs w:val="22"/>
        </w:rPr>
        <w:t xml:space="preserve">subscales) </w:t>
      </w:r>
      <w:r w:rsidR="00FB2017" w:rsidRPr="00FB2017">
        <w:rPr>
          <w:color w:val="0D0D0D" w:themeColor="text1" w:themeTint="F2"/>
          <w:szCs w:val="22"/>
        </w:rPr>
        <w:t xml:space="preserve">measured with 17 Likert-type items: (a) </w:t>
      </w:r>
      <w:r w:rsidR="00980B28" w:rsidRPr="00FB2017">
        <w:rPr>
          <w:color w:val="0D0D0D" w:themeColor="text1" w:themeTint="F2"/>
          <w:szCs w:val="22"/>
        </w:rPr>
        <w:t>organizers’ efficiency in managing the virtual tournament (9 items; e.g., “The instructions I received were clear” and “The group leader kept us informed in a timely manner”)</w:t>
      </w:r>
      <w:r w:rsidR="00FB2017" w:rsidRPr="00FB2017">
        <w:rPr>
          <w:color w:val="0D0D0D" w:themeColor="text1" w:themeTint="F2"/>
          <w:szCs w:val="22"/>
        </w:rPr>
        <w:t>, and (b)</w:t>
      </w:r>
      <w:r w:rsidR="00980B28" w:rsidRPr="00980B28">
        <w:rPr>
          <w:color w:val="0D0D0D" w:themeColor="text1" w:themeTint="F2"/>
          <w:szCs w:val="22"/>
        </w:rPr>
        <w:t xml:space="preserve"> </w:t>
      </w:r>
      <w:r w:rsidR="00980B28" w:rsidRPr="00FB2017">
        <w:rPr>
          <w:color w:val="0D0D0D" w:themeColor="text1" w:themeTint="F2"/>
          <w:szCs w:val="22"/>
        </w:rPr>
        <w:t>overall VIFT organization and implementation quality (8 items; e.g., “The tournament was very well designed” and “The participation/registration process was simple and easy”)</w:t>
      </w:r>
      <w:r w:rsidR="00FB2017" w:rsidRPr="00FB2017">
        <w:rPr>
          <w:color w:val="0D0D0D" w:themeColor="text1" w:themeTint="F2"/>
          <w:szCs w:val="22"/>
        </w:rPr>
        <w:t xml:space="preserve">. Responses were recorded using a 5-point Likert scale (1 = Absolutely Disagree, 5 = Absolutely Agree). Internal consistency was </w:t>
      </w:r>
      <w:r w:rsidR="007F7D45" w:rsidRPr="00FB2017">
        <w:rPr>
          <w:color w:val="0D0D0D" w:themeColor="text1" w:themeTint="F2"/>
          <w:szCs w:val="22"/>
        </w:rPr>
        <w:t xml:space="preserve">good for </w:t>
      </w:r>
      <w:r w:rsidR="001923AA">
        <w:rPr>
          <w:color w:val="0D0D0D" w:themeColor="text1" w:themeTint="F2"/>
          <w:szCs w:val="22"/>
        </w:rPr>
        <w:t xml:space="preserve">subscale </w:t>
      </w:r>
      <w:r w:rsidR="007F7D45">
        <w:rPr>
          <w:color w:val="0D0D0D" w:themeColor="text1" w:themeTint="F2"/>
          <w:szCs w:val="22"/>
        </w:rPr>
        <w:t>(</w:t>
      </w:r>
      <w:r w:rsidR="00664AA9">
        <w:rPr>
          <w:color w:val="0D0D0D" w:themeColor="text1" w:themeTint="F2"/>
          <w:szCs w:val="22"/>
        </w:rPr>
        <w:t>a</w:t>
      </w:r>
      <w:r w:rsidR="007F7D45">
        <w:rPr>
          <w:color w:val="0D0D0D" w:themeColor="text1" w:themeTint="F2"/>
          <w:szCs w:val="22"/>
        </w:rPr>
        <w:t>)</w:t>
      </w:r>
      <w:r w:rsidR="007F7D45" w:rsidRPr="00FB2017">
        <w:rPr>
          <w:color w:val="0D0D0D" w:themeColor="text1" w:themeTint="F2"/>
          <w:szCs w:val="22"/>
        </w:rPr>
        <w:t xml:space="preserve"> (Cronbach’s α = .88; McDonald’s ω = .89)</w:t>
      </w:r>
      <w:r w:rsidR="00664AA9">
        <w:rPr>
          <w:color w:val="0D0D0D" w:themeColor="text1" w:themeTint="F2"/>
          <w:szCs w:val="22"/>
        </w:rPr>
        <w:t xml:space="preserve"> </w:t>
      </w:r>
      <w:r w:rsidR="00664AA9" w:rsidRPr="00FB2017">
        <w:rPr>
          <w:color w:val="0D0D0D" w:themeColor="text1" w:themeTint="F2"/>
          <w:szCs w:val="22"/>
        </w:rPr>
        <w:t xml:space="preserve">and </w:t>
      </w:r>
      <w:r w:rsidR="00FB2017" w:rsidRPr="00FB2017">
        <w:rPr>
          <w:color w:val="0D0D0D" w:themeColor="text1" w:themeTint="F2"/>
          <w:szCs w:val="22"/>
        </w:rPr>
        <w:t xml:space="preserve">acceptable for </w:t>
      </w:r>
      <w:r w:rsidR="001923AA">
        <w:rPr>
          <w:color w:val="0D0D0D" w:themeColor="text1" w:themeTint="F2"/>
          <w:szCs w:val="22"/>
        </w:rPr>
        <w:t>subscale</w:t>
      </w:r>
      <w:r w:rsidR="00FB2017" w:rsidRPr="00FB2017">
        <w:rPr>
          <w:color w:val="0D0D0D" w:themeColor="text1" w:themeTint="F2"/>
          <w:szCs w:val="22"/>
        </w:rPr>
        <w:t xml:space="preserve"> </w:t>
      </w:r>
      <w:r w:rsidR="009D7700" w:rsidRPr="0062575C">
        <w:rPr>
          <w:color w:val="0D0D0D" w:themeColor="text1" w:themeTint="F2"/>
          <w:szCs w:val="22"/>
        </w:rPr>
        <w:t>(</w:t>
      </w:r>
      <w:r w:rsidR="00B476C6">
        <w:rPr>
          <w:color w:val="0D0D0D" w:themeColor="text1" w:themeTint="F2"/>
          <w:szCs w:val="22"/>
        </w:rPr>
        <w:t>b</w:t>
      </w:r>
      <w:r w:rsidR="009D7700" w:rsidRPr="0062575C">
        <w:rPr>
          <w:color w:val="0D0D0D" w:themeColor="text1" w:themeTint="F2"/>
          <w:szCs w:val="22"/>
        </w:rPr>
        <w:t>)</w:t>
      </w:r>
      <w:r w:rsidR="00FB2017" w:rsidRPr="00FB2017">
        <w:rPr>
          <w:color w:val="0D0D0D" w:themeColor="text1" w:themeTint="F2"/>
          <w:szCs w:val="22"/>
        </w:rPr>
        <w:t xml:space="preserve"> (Cronbach’s α = .75; McDonald’s ω = .77). </w:t>
      </w:r>
      <w:r w:rsidR="00E11A4F" w:rsidRPr="00E11A4F">
        <w:rPr>
          <w:color w:val="0D0D0D" w:themeColor="text1" w:themeTint="F2"/>
          <w:szCs w:val="22"/>
        </w:rPr>
        <w:t xml:space="preserve">For completeness, we also report reliability for the combined set of Likert-type items across both subscales (17 items; Cronbach’s α = .857; McDonald’s ω = .883; listwise N = 205). In addition, an exploratory factor analysis (principal axis factoring with direct </w:t>
      </w:r>
      <w:proofErr w:type="spellStart"/>
      <w:r w:rsidR="00E11A4F" w:rsidRPr="00E11A4F">
        <w:rPr>
          <w:color w:val="0D0D0D" w:themeColor="text1" w:themeTint="F2"/>
          <w:szCs w:val="22"/>
        </w:rPr>
        <w:t>oblimin</w:t>
      </w:r>
      <w:proofErr w:type="spellEnd"/>
      <w:r w:rsidR="00E11A4F" w:rsidRPr="00E11A4F">
        <w:rPr>
          <w:color w:val="0D0D0D" w:themeColor="text1" w:themeTint="F2"/>
          <w:szCs w:val="22"/>
        </w:rPr>
        <w:t xml:space="preserve"> rotation</w:t>
      </w:r>
      <w:r w:rsidR="00E1661D" w:rsidRPr="0062575C">
        <w:rPr>
          <w:color w:val="0D0D0D" w:themeColor="text1" w:themeTint="F2"/>
          <w:szCs w:val="22"/>
        </w:rPr>
        <w:t xml:space="preserve">) </w:t>
      </w:r>
      <w:r w:rsidR="00E11A4F" w:rsidRPr="00E11A4F">
        <w:rPr>
          <w:color w:val="0D0D0D" w:themeColor="text1" w:themeTint="F2"/>
          <w:szCs w:val="22"/>
        </w:rPr>
        <w:t>was conducted on the 17 Likert items.</w:t>
      </w:r>
      <w:r w:rsidR="00D61EB5" w:rsidRPr="0062575C">
        <w:rPr>
          <w:color w:val="0D0D0D" w:themeColor="text1" w:themeTint="F2"/>
          <w:szCs w:val="22"/>
        </w:rPr>
        <w:t xml:space="preserve"> </w:t>
      </w:r>
      <w:r w:rsidR="00FB2017" w:rsidRPr="00FB2017">
        <w:rPr>
          <w:color w:val="0D0D0D" w:themeColor="text1" w:themeTint="F2"/>
          <w:szCs w:val="22"/>
        </w:rPr>
        <w:t>The questionnaire was distributed via Google Forms to all 328 participants (freshman students), achieving a response rate of 62.8% (206 complete questionnaires).</w:t>
      </w:r>
    </w:p>
    <w:p w14:paraId="646556FE" w14:textId="77777777" w:rsidR="006762B4" w:rsidRDefault="006762B4" w:rsidP="00664AA9">
      <w:pPr>
        <w:pStyle w:val="Articlenormaltext"/>
        <w:rPr>
          <w:color w:val="0D0D0D" w:themeColor="text1" w:themeTint="F2"/>
          <w:szCs w:val="22"/>
        </w:rPr>
      </w:pPr>
    </w:p>
    <w:p w14:paraId="5C2C31BF" w14:textId="77777777" w:rsidR="006762B4" w:rsidRPr="00FB2017" w:rsidRDefault="006762B4" w:rsidP="00664AA9">
      <w:pPr>
        <w:pStyle w:val="Articlenormaltext"/>
        <w:rPr>
          <w:color w:val="0D0D0D" w:themeColor="text1" w:themeTint="F2"/>
          <w:szCs w:val="22"/>
        </w:rPr>
      </w:pPr>
    </w:p>
    <w:p w14:paraId="782EAE60" w14:textId="2992DF85" w:rsidR="00331763" w:rsidRPr="00644CB1" w:rsidRDefault="00331763" w:rsidP="003123E6">
      <w:pPr>
        <w:pStyle w:val="2"/>
        <w:numPr>
          <w:ilvl w:val="1"/>
          <w:numId w:val="7"/>
        </w:numPr>
        <w:ind w:left="567" w:hanging="567"/>
        <w:rPr>
          <w:color w:val="0D0D0D" w:themeColor="text1" w:themeTint="F2"/>
          <w:lang w:val="it-IT"/>
        </w:rPr>
      </w:pPr>
      <w:r w:rsidRPr="00644CB1">
        <w:rPr>
          <w:color w:val="0D0D0D" w:themeColor="text1" w:themeTint="F2"/>
          <w:lang w:val="it-IT"/>
        </w:rPr>
        <w:lastRenderedPageBreak/>
        <w:t xml:space="preserve">Study </w:t>
      </w:r>
      <w:r w:rsidR="00DC7A8D" w:rsidRPr="00644CB1">
        <w:rPr>
          <w:color w:val="0D0D0D" w:themeColor="text1" w:themeTint="F2"/>
          <w:lang w:val="it-IT"/>
        </w:rPr>
        <w:t>l</w:t>
      </w:r>
      <w:r w:rsidRPr="00644CB1">
        <w:rPr>
          <w:color w:val="0D0D0D" w:themeColor="text1" w:themeTint="F2"/>
          <w:lang w:val="it-IT"/>
        </w:rPr>
        <w:t>imitations</w:t>
      </w:r>
    </w:p>
    <w:p w14:paraId="7FFFF1A7" w14:textId="13BCD173" w:rsidR="00E07D05" w:rsidRPr="00644CB1" w:rsidRDefault="0073506C" w:rsidP="00CD56A3">
      <w:pPr>
        <w:spacing w:line="264" w:lineRule="auto"/>
        <w:jc w:val="both"/>
        <w:rPr>
          <w:rFonts w:ascii="Times New Roman" w:hAnsi="Times New Roman"/>
          <w:color w:val="0D0D0D" w:themeColor="text1" w:themeTint="F2"/>
          <w:lang w:val="en-US"/>
        </w:rPr>
      </w:pPr>
      <w:r w:rsidRPr="00644CB1">
        <w:rPr>
          <w:rFonts w:ascii="Times New Roman" w:hAnsi="Times New Roman"/>
          <w:color w:val="0D0D0D" w:themeColor="text1" w:themeTint="F2"/>
        </w:rPr>
        <w:t>This study acknowledges several methodological limitations that may impact the generalizability of findings</w:t>
      </w:r>
      <w:r w:rsidR="00B3110F" w:rsidRPr="00644CB1">
        <w:rPr>
          <w:rFonts w:ascii="Times New Roman" w:hAnsi="Times New Roman"/>
          <w:color w:val="0D0D0D" w:themeColor="text1" w:themeTint="F2"/>
          <w:lang w:val="en-US"/>
        </w:rPr>
        <w:t>.</w:t>
      </w:r>
      <w:r w:rsidRPr="00644CB1">
        <w:rPr>
          <w:rFonts w:ascii="Times New Roman" w:hAnsi="Times New Roman"/>
          <w:color w:val="0D0D0D" w:themeColor="text1" w:themeTint="F2"/>
        </w:rPr>
        <w:t xml:space="preserve"> First, the absence of a control group limits our ability to establish causal relationships between the serious game intervention and learning outcomes. The study design employed a single-group pre-post assessment approach, which, while appropriate for exploratory case study research, does not allow for direct comparison with traditional teaching methods</w:t>
      </w:r>
      <w:r w:rsidR="00EA2806" w:rsidRPr="00644CB1">
        <w:rPr>
          <w:rFonts w:ascii="Times New Roman" w:hAnsi="Times New Roman"/>
          <w:color w:val="0D0D0D" w:themeColor="text1" w:themeTint="F2"/>
        </w:rPr>
        <w:t xml:space="preserve"> </w:t>
      </w:r>
      <w:r w:rsidR="003F45CE" w:rsidRPr="00644CB1">
        <w:rPr>
          <w:rFonts w:ascii="Times New Roman" w:hAnsi="Times New Roman"/>
          <w:color w:val="0D0D0D" w:themeColor="text1" w:themeTint="F2"/>
        </w:rPr>
        <w:fldChar w:fldCharType="begin" w:fldLock="1"/>
      </w:r>
      <w:r w:rsidR="009522C0" w:rsidRPr="00644CB1">
        <w:rPr>
          <w:rFonts w:ascii="Times New Roman" w:hAnsi="Times New Roman"/>
          <w:color w:val="0D0D0D" w:themeColor="text1" w:themeTint="F2"/>
        </w:rPr>
        <w:instrText>ADDIN CSL_CITATION {"citationItems":[{"id":"ITEM-1","itemData":{"author":[{"dropping-particle":"","family":"Nock","given":"Matthew K","non-dropping-particle":"","parse-names":false,"suffix":""},{"dropping-particle":"","family":"Michel","given":"Bethany D","non-dropping-particle":"","parse-names":false,"suffix":""},{"dropping-particle":"","family":"Photos","given":"Valerie I","non-dropping-particle":"","parse-names":false,"suffix":""}],"container-title":"Handbook of research methods in abnormal and clinical psychology","editor":[{"dropping-particle":"","family":"McKay","given":"D.","non-dropping-particle":"","parse-names":false,"suffix":""}],"id":"ITEM-1","issued":{"date-parts":[["2007"]]},"page":"337-350","publisher":"Sage","publisher-place":"New York, NY","title":"Single-case research designs","type":"chapter"},"uris":["http://www.mendeley.com/documents/?uuid=95349122-245d-4760-bcc9-5f9c6718bdc8"]}],"mendeley":{"formattedCitation":"[46]","plainTextFormattedCitation":"[46]","previouslyFormattedCitation":"[46]"},"properties":{"noteIndex":0},"schema":"https://github.com/citation-style-language/schema/raw/master/csl-citation.json"}</w:instrText>
      </w:r>
      <w:r w:rsidR="003F45CE" w:rsidRPr="00644CB1">
        <w:rPr>
          <w:rFonts w:ascii="Times New Roman" w:hAnsi="Times New Roman"/>
          <w:color w:val="0D0D0D" w:themeColor="text1" w:themeTint="F2"/>
        </w:rPr>
        <w:fldChar w:fldCharType="separate"/>
      </w:r>
      <w:r w:rsidR="003F45CE" w:rsidRPr="00644CB1">
        <w:rPr>
          <w:rFonts w:ascii="Times New Roman" w:hAnsi="Times New Roman"/>
          <w:noProof/>
          <w:color w:val="0D0D0D" w:themeColor="text1" w:themeTint="F2"/>
        </w:rPr>
        <w:t>[46]</w:t>
      </w:r>
      <w:r w:rsidR="003F45CE" w:rsidRPr="00644CB1">
        <w:rPr>
          <w:rFonts w:ascii="Times New Roman" w:hAnsi="Times New Roman"/>
          <w:color w:val="0D0D0D" w:themeColor="text1" w:themeTint="F2"/>
        </w:rPr>
        <w:fldChar w:fldCharType="end"/>
      </w:r>
      <w:r w:rsidRPr="00644CB1">
        <w:rPr>
          <w:color w:val="0D0D0D" w:themeColor="text1" w:themeTint="F2"/>
        </w:rPr>
        <w:t>.</w:t>
      </w:r>
      <w:r w:rsidR="007C46CD" w:rsidRPr="00644CB1">
        <w:rPr>
          <w:color w:val="0D0D0D" w:themeColor="text1" w:themeTint="F2"/>
        </w:rPr>
        <w:t xml:space="preserve"> </w:t>
      </w:r>
      <w:r w:rsidR="00B3110F" w:rsidRPr="00644CB1">
        <w:rPr>
          <w:rFonts w:ascii="Times New Roman" w:hAnsi="Times New Roman"/>
          <w:color w:val="0D0D0D" w:themeColor="text1" w:themeTint="F2"/>
          <w:lang w:val="en-US"/>
        </w:rPr>
        <w:t>This limitation was considered acceptable given the study's exploratory purpose</w:t>
      </w:r>
      <w:r w:rsidR="00765D86" w:rsidRPr="00765D86">
        <w:rPr>
          <w:rFonts w:ascii="Times New Roman" w:hAnsi="Times New Roman"/>
          <w:color w:val="0D0D0D" w:themeColor="text1" w:themeTint="F2"/>
          <w:lang w:val="en-US"/>
        </w:rPr>
        <w:t xml:space="preserve"> - </w:t>
      </w:r>
      <w:r w:rsidR="00B3110F" w:rsidRPr="00644CB1">
        <w:rPr>
          <w:rFonts w:ascii="Times New Roman" w:hAnsi="Times New Roman"/>
          <w:color w:val="0D0D0D" w:themeColor="text1" w:themeTint="F2"/>
          <w:lang w:val="en-US"/>
        </w:rPr>
        <w:t>to establish initial feasibility and generate hypotheses</w:t>
      </w:r>
      <w:r w:rsidR="00A9300D" w:rsidRPr="00A9300D">
        <w:rPr>
          <w:rFonts w:ascii="Times New Roman" w:hAnsi="Times New Roman"/>
          <w:color w:val="0D0D0D" w:themeColor="text1" w:themeTint="F2"/>
          <w:lang w:val="en-US"/>
        </w:rPr>
        <w:t xml:space="preserve"> - </w:t>
      </w:r>
      <w:r w:rsidR="00B3110F" w:rsidRPr="00644CB1">
        <w:rPr>
          <w:rFonts w:ascii="Times New Roman" w:hAnsi="Times New Roman"/>
          <w:color w:val="0D0D0D" w:themeColor="text1" w:themeTint="F2"/>
          <w:lang w:val="en-US"/>
        </w:rPr>
        <w:t>rather than test causal hypotheses.</w:t>
      </w:r>
      <w:r w:rsidR="004F27A3" w:rsidRPr="00644CB1">
        <w:rPr>
          <w:rFonts w:ascii="Times New Roman" w:hAnsi="Times New Roman"/>
          <w:color w:val="0D0D0D" w:themeColor="text1" w:themeTint="F2"/>
          <w:lang w:val="en-US"/>
        </w:rPr>
        <w:t xml:space="preserve"> </w:t>
      </w:r>
    </w:p>
    <w:p w14:paraId="283F9F6D" w14:textId="035DF3A7" w:rsidR="00E07D05" w:rsidRPr="00644CB1" w:rsidRDefault="0073506C" w:rsidP="00CD56A3">
      <w:pPr>
        <w:spacing w:line="264" w:lineRule="auto"/>
        <w:ind w:firstLine="284"/>
        <w:jc w:val="both"/>
        <w:rPr>
          <w:rFonts w:asciiTheme="majorBidi" w:hAnsiTheme="majorBidi" w:cstheme="majorBidi"/>
          <w:b/>
          <w:bCs/>
          <w:color w:val="0D0D0D" w:themeColor="text1" w:themeTint="F2"/>
          <w:lang w:val="en-US"/>
        </w:rPr>
      </w:pPr>
      <w:r w:rsidRPr="00644CB1">
        <w:rPr>
          <w:rFonts w:ascii="Times New Roman" w:hAnsi="Times New Roman"/>
          <w:color w:val="0D0D0D" w:themeColor="text1" w:themeTint="F2"/>
        </w:rPr>
        <w:t>Second, the study utilized convenience sampling, selecting participants from available students enrolled in Sport Event Management and introductory Sport Management courses at SPESS, NKUA. This sampling approach, while practical for educational research within institutional constraints,</w:t>
      </w:r>
      <w:r w:rsidR="00EA2806" w:rsidRPr="00644CB1">
        <w:rPr>
          <w:rFonts w:ascii="Times New Roman" w:hAnsi="Times New Roman"/>
          <w:color w:val="0D0D0D" w:themeColor="text1" w:themeTint="F2"/>
        </w:rPr>
        <w:t xml:space="preserve"> </w:t>
      </w:r>
      <w:r w:rsidR="00B3110F" w:rsidRPr="00644CB1">
        <w:rPr>
          <w:rFonts w:ascii="Times New Roman" w:hAnsi="Times New Roman"/>
          <w:color w:val="0D0D0D" w:themeColor="text1" w:themeTint="F2"/>
          <w:lang w:val="en-US"/>
        </w:rPr>
        <w:t xml:space="preserve">limits the external validity and generalizability of findings to broader student populations, different educational contexts, or other </w:t>
      </w:r>
      <w:r w:rsidR="00B3110F" w:rsidRPr="00644CB1">
        <w:rPr>
          <w:rFonts w:asciiTheme="majorBidi" w:hAnsiTheme="majorBidi" w:cstheme="majorBidi"/>
          <w:color w:val="0D0D0D" w:themeColor="text1" w:themeTint="F2"/>
          <w:lang w:val="en-US"/>
        </w:rPr>
        <w:t>institutional settings</w:t>
      </w:r>
      <w:r w:rsidR="00B3110F" w:rsidRPr="00644CB1">
        <w:rPr>
          <w:rFonts w:asciiTheme="majorBidi" w:hAnsiTheme="majorBidi" w:cstheme="majorBidi"/>
          <w:b/>
          <w:bCs/>
          <w:color w:val="0D0D0D" w:themeColor="text1" w:themeTint="F2"/>
          <w:lang w:val="en-US"/>
        </w:rPr>
        <w:t>.</w:t>
      </w:r>
      <w:r w:rsidR="00D71CBC" w:rsidRPr="00644CB1">
        <w:rPr>
          <w:rFonts w:asciiTheme="majorBidi" w:hAnsiTheme="majorBidi" w:cstheme="majorBidi"/>
          <w:b/>
          <w:bCs/>
          <w:color w:val="0D0D0D" w:themeColor="text1" w:themeTint="F2"/>
          <w:lang w:val="en-US"/>
        </w:rPr>
        <w:t xml:space="preserve"> </w:t>
      </w:r>
    </w:p>
    <w:p w14:paraId="73650C4F" w14:textId="22155A8D" w:rsidR="00B3110F" w:rsidRPr="00644CB1" w:rsidRDefault="00B3110F" w:rsidP="00CD56A3">
      <w:pPr>
        <w:spacing w:line="264" w:lineRule="auto"/>
        <w:ind w:firstLine="284"/>
        <w:jc w:val="both"/>
        <w:rPr>
          <w:rFonts w:ascii="Times New Roman" w:hAnsi="Times New Roman"/>
          <w:color w:val="0D0D0D" w:themeColor="text1" w:themeTint="F2"/>
          <w:lang w:val="en-US"/>
        </w:rPr>
      </w:pPr>
      <w:r w:rsidRPr="00644CB1">
        <w:rPr>
          <w:rFonts w:asciiTheme="majorBidi" w:hAnsiTheme="majorBidi" w:cstheme="majorBidi"/>
          <w:color w:val="0D0D0D" w:themeColor="text1" w:themeTint="F2"/>
          <w:lang w:val="en-US"/>
        </w:rPr>
        <w:t>Third,</w:t>
      </w:r>
      <w:r w:rsidRPr="00644CB1">
        <w:rPr>
          <w:color w:val="0D0D0D" w:themeColor="text1" w:themeTint="F2"/>
          <w:lang w:val="en-US"/>
        </w:rPr>
        <w:t xml:space="preserve"> </w:t>
      </w:r>
      <w:r w:rsidRPr="00644CB1">
        <w:rPr>
          <w:rFonts w:ascii="Times New Roman" w:hAnsi="Times New Roman"/>
          <w:color w:val="0D0D0D" w:themeColor="text1" w:themeTint="F2"/>
          <w:lang w:val="en-US"/>
        </w:rPr>
        <w:t xml:space="preserve">data analysis relied primarily on descriptive statistics and t-tests, which, while appropriate for exploratory investigations, do not capture potential interaction effects, predictive relationships, or complex patterns that multivariate techniques might reveal. </w:t>
      </w:r>
      <w:r w:rsidR="00C879D2" w:rsidRPr="00644CB1">
        <w:rPr>
          <w:rFonts w:ascii="Times New Roman" w:hAnsi="Times New Roman"/>
          <w:color w:val="0D0D0D" w:themeColor="text1" w:themeTint="F2"/>
          <w:lang w:val="en-US"/>
        </w:rPr>
        <w:t>Therefore, f</w:t>
      </w:r>
      <w:r w:rsidRPr="00644CB1">
        <w:rPr>
          <w:rFonts w:ascii="Times New Roman" w:hAnsi="Times New Roman"/>
          <w:color w:val="0D0D0D" w:themeColor="text1" w:themeTint="F2"/>
          <w:lang w:val="en-US"/>
        </w:rPr>
        <w:t>uture studies with larger samples and experimental designs would benefit from structural equation modeling, multivariate analysis of variance, or regression analyses to examine the interplay between student characteristics, learning processes, and outcomes.</w:t>
      </w:r>
      <w:r w:rsidR="00D71CBC" w:rsidRPr="00644CB1">
        <w:rPr>
          <w:rFonts w:ascii="Times New Roman" w:hAnsi="Times New Roman"/>
          <w:color w:val="0D0D0D" w:themeColor="text1" w:themeTint="F2"/>
          <w:lang w:val="en-US"/>
        </w:rPr>
        <w:t xml:space="preserve"> </w:t>
      </w:r>
    </w:p>
    <w:p w14:paraId="5A3FEB2B" w14:textId="0014EB4E" w:rsidR="00202869" w:rsidRPr="00504882" w:rsidRDefault="00202869" w:rsidP="00CD56A3">
      <w:pPr>
        <w:spacing w:line="264" w:lineRule="auto"/>
        <w:ind w:firstLine="284"/>
        <w:jc w:val="both"/>
        <w:rPr>
          <w:rFonts w:ascii="Times New Roman" w:hAnsi="Times New Roman"/>
          <w:color w:val="0D0D0D" w:themeColor="text1" w:themeTint="F2"/>
          <w:lang w:val="en-US"/>
        </w:rPr>
      </w:pPr>
      <w:r w:rsidRPr="00504882">
        <w:rPr>
          <w:rFonts w:ascii="Times New Roman" w:hAnsi="Times New Roman"/>
          <w:color w:val="0D0D0D" w:themeColor="text1" w:themeTint="F2"/>
          <w:lang w:val="en-US"/>
        </w:rPr>
        <w:t>Fourth</w:t>
      </w:r>
      <w:r w:rsidR="00B3110F" w:rsidRPr="00504882">
        <w:rPr>
          <w:rFonts w:ascii="Times New Roman" w:hAnsi="Times New Roman"/>
          <w:color w:val="0D0D0D" w:themeColor="text1" w:themeTint="F2"/>
          <w:lang w:val="en-US"/>
        </w:rPr>
        <w:t xml:space="preserve">, </w:t>
      </w:r>
      <w:r w:rsidR="004E44E2" w:rsidRPr="00504882">
        <w:rPr>
          <w:rFonts w:ascii="Times New Roman" w:hAnsi="Times New Roman"/>
          <w:lang w:val="en-US"/>
        </w:rPr>
        <w:t xml:space="preserve">while this was partially mitigated through triangulation with objective performance assessments (deliverables and written tests) the study does not explicitly address potential social desirability bias or the coupling between grading and deliverable assessment, which may have influenced students' responses and performance. Future research should implement anonymous evaluation procedures and separate grading from research data collection to reduce these threats to validity </w:t>
      </w:r>
      <w:r w:rsidR="009522C0" w:rsidRPr="00504882">
        <w:rPr>
          <w:rFonts w:ascii="Times New Roman" w:hAnsi="Times New Roman"/>
          <w:color w:val="0D0D0D" w:themeColor="text1" w:themeTint="F2"/>
          <w:lang w:val="en-US"/>
        </w:rPr>
        <w:fldChar w:fldCharType="begin" w:fldLock="1"/>
      </w:r>
      <w:r w:rsidR="00F766AC" w:rsidRPr="00504882">
        <w:rPr>
          <w:rFonts w:ascii="Times New Roman" w:hAnsi="Times New Roman"/>
          <w:color w:val="0D0D0D" w:themeColor="text1" w:themeTint="F2"/>
          <w:lang w:val="en-US"/>
        </w:rPr>
        <w:instrText>ADDIN CSL_CITATION {"citationItems":[{"id":"ITEM-1","itemData":{"DOI":"10.1136/eb-2013-101494","ISSN":"1367-6539","author":[{"dropping-particle":"","family":"Heale","given":"Roberta","non-dropping-particle":"","parse-names":false,"suffix":""},{"dropping-particle":"","family":"Forbes","given":"Dorothy","non-dropping-particle":"","parse-names":false,"suffix":""}],"container-title":"Evidence Based Nursing","id":"ITEM-1","issue":"4","issued":{"date-parts":[["2013","10"]]},"page":"98-98","title":"Understanding triangulation in research","type":"article-journal","volume":"16"},"uris":["http://www.mendeley.com/documents/?uuid=dea3e1f8-3c14-4683-9bfc-025d57e5b203"]}],"mendeley":{"formattedCitation":"[49]","plainTextFormattedCitation":"[49]","previouslyFormattedCitation":"[49]"},"properties":{"noteIndex":0},"schema":"https://github.com/citation-style-language/schema/raw/master/csl-citation.json"}</w:instrText>
      </w:r>
      <w:r w:rsidR="009522C0" w:rsidRPr="00504882">
        <w:rPr>
          <w:rFonts w:ascii="Times New Roman" w:hAnsi="Times New Roman"/>
          <w:color w:val="0D0D0D" w:themeColor="text1" w:themeTint="F2"/>
          <w:lang w:val="en-US"/>
        </w:rPr>
        <w:fldChar w:fldCharType="separate"/>
      </w:r>
      <w:r w:rsidR="009522C0" w:rsidRPr="00504882">
        <w:rPr>
          <w:rFonts w:ascii="Times New Roman" w:hAnsi="Times New Roman"/>
          <w:noProof/>
          <w:color w:val="0D0D0D" w:themeColor="text1" w:themeTint="F2"/>
          <w:lang w:val="en-US"/>
        </w:rPr>
        <w:t>[49]</w:t>
      </w:r>
      <w:r w:rsidR="009522C0" w:rsidRPr="00504882">
        <w:rPr>
          <w:rFonts w:ascii="Times New Roman" w:hAnsi="Times New Roman"/>
          <w:color w:val="0D0D0D" w:themeColor="text1" w:themeTint="F2"/>
          <w:lang w:val="en-US"/>
        </w:rPr>
        <w:fldChar w:fldCharType="end"/>
      </w:r>
      <w:r w:rsidR="00B3110F" w:rsidRPr="00504882">
        <w:rPr>
          <w:rFonts w:ascii="Times New Roman" w:hAnsi="Times New Roman"/>
          <w:color w:val="0D0D0D" w:themeColor="text1" w:themeTint="F2"/>
          <w:lang w:val="en-US"/>
        </w:rPr>
        <w:t>.</w:t>
      </w:r>
      <w:r w:rsidR="00B8169B" w:rsidRPr="00504882">
        <w:rPr>
          <w:rFonts w:ascii="Times New Roman" w:hAnsi="Times New Roman"/>
          <w:color w:val="0D0D0D" w:themeColor="text1" w:themeTint="F2"/>
          <w:lang w:val="en-US"/>
        </w:rPr>
        <w:t xml:space="preserve"> </w:t>
      </w:r>
    </w:p>
    <w:p w14:paraId="32DE17DD" w14:textId="77777777" w:rsidR="00202869" w:rsidRPr="00CD13C4" w:rsidRDefault="00202869" w:rsidP="00CD56A3">
      <w:pPr>
        <w:spacing w:line="264" w:lineRule="auto"/>
        <w:ind w:firstLine="284"/>
        <w:jc w:val="both"/>
        <w:rPr>
          <w:rFonts w:ascii="Times New Roman" w:hAnsi="Times New Roman"/>
          <w:color w:val="0D0D0D" w:themeColor="text1" w:themeTint="F2"/>
          <w:lang w:val="en-US"/>
        </w:rPr>
      </w:pPr>
      <w:r w:rsidRPr="00CD13C4">
        <w:rPr>
          <w:rFonts w:ascii="Times New Roman" w:hAnsi="Times New Roman"/>
          <w:color w:val="0D0D0D" w:themeColor="text1" w:themeTint="F2"/>
          <w:lang w:val="en-US"/>
        </w:rPr>
        <w:t xml:space="preserve">Fifth, the study does not account for potential novelty effects, whereby the innovative nature of the serious game intervention may have temporarily enhanced student engagement and performance. Longitudinal studies </w:t>
      </w:r>
      <w:proofErr w:type="gramStart"/>
      <w:r w:rsidRPr="00CD13C4">
        <w:rPr>
          <w:rFonts w:ascii="Times New Roman" w:hAnsi="Times New Roman"/>
          <w:color w:val="0D0D0D" w:themeColor="text1" w:themeTint="F2"/>
          <w:lang w:val="en-US"/>
        </w:rPr>
        <w:t>would be</w:t>
      </w:r>
      <w:proofErr w:type="gramEnd"/>
      <w:r w:rsidRPr="00CD13C4">
        <w:rPr>
          <w:rFonts w:ascii="Times New Roman" w:hAnsi="Times New Roman"/>
          <w:color w:val="0D0D0D" w:themeColor="text1" w:themeTint="F2"/>
          <w:lang w:val="en-US"/>
        </w:rPr>
        <w:t xml:space="preserve"> necessary to determine whether observed learning outcomes persist over time and whether student motivation remains elevated after the novelty diminishes.</w:t>
      </w:r>
    </w:p>
    <w:p w14:paraId="495CCE90" w14:textId="4FFA8EAA" w:rsidR="00B3110F" w:rsidRPr="00644CB1" w:rsidRDefault="00B3110F" w:rsidP="00CD56A3">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These limitations are characteristic of exploratory case study methodologies but provide essential groundwork for more rigorous experimental investigations. The findings should be interpreted as preliminary evidence establishing feasibility and initial effectiveness, generating hypotheses for future controlled studies rather than offering definitive conclusions about intervention efficacy.</w:t>
      </w:r>
    </w:p>
    <w:bookmarkEnd w:id="5"/>
    <w:p w14:paraId="33082D3E" w14:textId="0B6CD266" w:rsidR="00062709" w:rsidRPr="00933D6F" w:rsidRDefault="73E6831A" w:rsidP="00B06B47">
      <w:pPr>
        <w:pStyle w:val="1"/>
        <w:numPr>
          <w:ilvl w:val="0"/>
          <w:numId w:val="7"/>
        </w:numPr>
        <w:ind w:left="357" w:hanging="357"/>
        <w:rPr>
          <w:color w:val="5B9BD5" w:themeColor="accent1"/>
          <w:lang w:val="it-IT"/>
        </w:rPr>
      </w:pPr>
      <w:r w:rsidRPr="00933D6F">
        <w:rPr>
          <w:color w:val="5B9BD5" w:themeColor="accent1"/>
          <w:lang w:val="it-IT"/>
        </w:rPr>
        <w:t>Results</w:t>
      </w:r>
    </w:p>
    <w:p w14:paraId="5F17C033" w14:textId="77777777" w:rsidR="00BB3863" w:rsidRPr="00644CB1" w:rsidRDefault="00BB3863" w:rsidP="00BB3863">
      <w:pPr>
        <w:pStyle w:val="AbstractText"/>
        <w:rPr>
          <w:color w:val="0D0D0D" w:themeColor="text1" w:themeTint="F2"/>
          <w:spacing w:val="4"/>
          <w:sz w:val="22"/>
          <w:szCs w:val="22"/>
        </w:rPr>
      </w:pPr>
      <w:r w:rsidRPr="00644CB1">
        <w:rPr>
          <w:color w:val="0D0D0D" w:themeColor="text1" w:themeTint="F2"/>
          <w:spacing w:val="4"/>
          <w:sz w:val="22"/>
          <w:szCs w:val="22"/>
        </w:rPr>
        <w:t>In line with the adopted methodology, this section presents the study’s findings, which collectively address the main research question. The results are structured as follows:</w:t>
      </w:r>
    </w:p>
    <w:p w14:paraId="6ECEAC02" w14:textId="119B5DDD" w:rsidR="00BB3863" w:rsidRPr="00644CB1" w:rsidRDefault="00BB3863" w:rsidP="003B54A0">
      <w:pPr>
        <w:pStyle w:val="AbstractText"/>
        <w:numPr>
          <w:ilvl w:val="0"/>
          <w:numId w:val="32"/>
        </w:numPr>
        <w:rPr>
          <w:color w:val="0D0D0D" w:themeColor="text1" w:themeTint="F2"/>
          <w:spacing w:val="4"/>
          <w:sz w:val="22"/>
          <w:szCs w:val="22"/>
        </w:rPr>
      </w:pPr>
      <w:r w:rsidRPr="00644CB1">
        <w:rPr>
          <w:color w:val="0D0D0D" w:themeColor="text1" w:themeTint="F2"/>
          <w:spacing w:val="4"/>
          <w:sz w:val="22"/>
          <w:szCs w:val="22"/>
        </w:rPr>
        <w:t>Demographic data,</w:t>
      </w:r>
    </w:p>
    <w:p w14:paraId="09A9B527" w14:textId="1FED4709" w:rsidR="00BB3863" w:rsidRPr="00644CB1" w:rsidRDefault="00BB3863" w:rsidP="003B54A0">
      <w:pPr>
        <w:pStyle w:val="AbstractText"/>
        <w:numPr>
          <w:ilvl w:val="0"/>
          <w:numId w:val="32"/>
        </w:numPr>
        <w:rPr>
          <w:color w:val="0D0D0D" w:themeColor="text1" w:themeTint="F2"/>
          <w:spacing w:val="4"/>
          <w:sz w:val="22"/>
          <w:szCs w:val="22"/>
        </w:rPr>
      </w:pPr>
      <w:r w:rsidRPr="00644CB1">
        <w:rPr>
          <w:color w:val="0D0D0D" w:themeColor="text1" w:themeTint="F2"/>
          <w:spacing w:val="4"/>
          <w:sz w:val="22"/>
          <w:szCs w:val="22"/>
        </w:rPr>
        <w:t>Analysis of deliverables (examining the acquisition of skills),</w:t>
      </w:r>
    </w:p>
    <w:p w14:paraId="4E974659" w14:textId="3982118F" w:rsidR="00BB3863" w:rsidRPr="00644CB1" w:rsidRDefault="00BB3863" w:rsidP="003B54A0">
      <w:pPr>
        <w:pStyle w:val="AbstractText"/>
        <w:numPr>
          <w:ilvl w:val="0"/>
          <w:numId w:val="32"/>
        </w:numPr>
        <w:rPr>
          <w:color w:val="0D0D0D" w:themeColor="text1" w:themeTint="F2"/>
          <w:spacing w:val="4"/>
          <w:sz w:val="22"/>
          <w:szCs w:val="22"/>
        </w:rPr>
      </w:pPr>
      <w:r w:rsidRPr="00644CB1">
        <w:rPr>
          <w:color w:val="0D0D0D" w:themeColor="text1" w:themeTint="F2"/>
          <w:spacing w:val="4"/>
          <w:sz w:val="22"/>
          <w:szCs w:val="22"/>
        </w:rPr>
        <w:t>Written test results (assessing the acquisition of knowledge), and</w:t>
      </w:r>
    </w:p>
    <w:p w14:paraId="1C72B27B" w14:textId="29C57BFD" w:rsidR="00BB3863" w:rsidRPr="00644CB1" w:rsidRDefault="00BB3863" w:rsidP="003B54A0">
      <w:pPr>
        <w:pStyle w:val="AbstractText"/>
        <w:numPr>
          <w:ilvl w:val="0"/>
          <w:numId w:val="32"/>
        </w:numPr>
        <w:rPr>
          <w:color w:val="0D0D0D" w:themeColor="text1" w:themeTint="F2"/>
          <w:spacing w:val="4"/>
          <w:sz w:val="22"/>
          <w:szCs w:val="22"/>
        </w:rPr>
      </w:pPr>
      <w:r w:rsidRPr="00644CB1">
        <w:rPr>
          <w:color w:val="0D0D0D" w:themeColor="text1" w:themeTint="F2"/>
          <w:spacing w:val="4"/>
          <w:sz w:val="22"/>
          <w:szCs w:val="22"/>
        </w:rPr>
        <w:t>VIFT evaluation (demonstrating the practical application of knowledge, abilities, and skills).</w:t>
      </w:r>
    </w:p>
    <w:p w14:paraId="2CA5EB48" w14:textId="612CCFA5" w:rsidR="00812EF9" w:rsidRPr="00644CB1" w:rsidRDefault="00BB3863" w:rsidP="00984074">
      <w:pPr>
        <w:pStyle w:val="AbstractText"/>
        <w:ind w:firstLine="360"/>
        <w:rPr>
          <w:color w:val="0D0D0D" w:themeColor="text1" w:themeTint="F2"/>
          <w:spacing w:val="4"/>
          <w:sz w:val="22"/>
          <w:szCs w:val="22"/>
        </w:rPr>
      </w:pPr>
      <w:r w:rsidRPr="00644CB1">
        <w:rPr>
          <w:color w:val="0D0D0D" w:themeColor="text1" w:themeTint="F2"/>
          <w:spacing w:val="4"/>
          <w:sz w:val="22"/>
          <w:szCs w:val="22"/>
        </w:rPr>
        <w:t>This structured approach ensures a comprehensive examination of how serious games contribute to learning and skill development in the context of sports event management.</w:t>
      </w:r>
      <w:r w:rsidR="003B54A0" w:rsidRPr="00644CB1">
        <w:rPr>
          <w:color w:val="0D0D0D" w:themeColor="text1" w:themeTint="F2"/>
          <w:spacing w:val="4"/>
          <w:sz w:val="22"/>
          <w:szCs w:val="22"/>
        </w:rPr>
        <w:t xml:space="preserve"> </w:t>
      </w:r>
    </w:p>
    <w:p w14:paraId="26B98EB5" w14:textId="743FF488" w:rsidR="00BE48C4" w:rsidRPr="00644CB1" w:rsidRDefault="1D9CACE3" w:rsidP="009C6ED4">
      <w:pPr>
        <w:pStyle w:val="2"/>
        <w:numPr>
          <w:ilvl w:val="1"/>
          <w:numId w:val="7"/>
        </w:numPr>
        <w:ind w:left="567" w:hanging="567"/>
        <w:rPr>
          <w:color w:val="0D0D0D" w:themeColor="text1" w:themeTint="F2"/>
        </w:rPr>
      </w:pPr>
      <w:r w:rsidRPr="00644CB1">
        <w:rPr>
          <w:color w:val="0D0D0D" w:themeColor="text1" w:themeTint="F2"/>
          <w:lang w:val="it-IT"/>
        </w:rPr>
        <w:t>Demographics</w:t>
      </w:r>
    </w:p>
    <w:p w14:paraId="690D8BB8" w14:textId="347EB41B" w:rsidR="009A323F" w:rsidRPr="00644CB1" w:rsidRDefault="1D9CACE3" w:rsidP="00A71BFF">
      <w:pPr>
        <w:pStyle w:val="Articlenormaltext"/>
        <w:ind w:firstLine="0"/>
        <w:rPr>
          <w:color w:val="0D0D0D" w:themeColor="text1" w:themeTint="F2"/>
        </w:rPr>
      </w:pPr>
      <w:r w:rsidRPr="00644CB1">
        <w:rPr>
          <w:color w:val="0D0D0D" w:themeColor="text1" w:themeTint="F2"/>
          <w:lang w:val="it-IT"/>
        </w:rPr>
        <w:lastRenderedPageBreak/>
        <w:t>Research Group – Organizers: The organizers’ group (N = 44) was predominantly composed of women (N = 31, 70.45%), while men constituted 29.55% (N = 13). The average age of the organizers was 22.88 years (min = 21, max = 28). Research Group – Participants: The participants’ group (N = 328) consisted of freshman students enrolled in the introductory Sport Management class. The evaluation questionnaire was completed by N = 206 students (response rate = 62.80%), with an almost equal distribution between men (N = 100, 48.54%) and women (N = 106, 51.45%). The average age of participants was 19.32 years (min = 18, max = 28). Most participants (N = 155, 75.2%) reported having no prior experience with serious games.</w:t>
      </w:r>
    </w:p>
    <w:p w14:paraId="7A1BD9C4" w14:textId="4167C91B" w:rsidR="003C1F19" w:rsidRPr="00644CB1" w:rsidRDefault="003C1F19" w:rsidP="003C1F19">
      <w:pPr>
        <w:pStyle w:val="2"/>
        <w:numPr>
          <w:ilvl w:val="1"/>
          <w:numId w:val="7"/>
        </w:numPr>
        <w:ind w:left="567" w:hanging="567"/>
        <w:rPr>
          <w:color w:val="0D0D0D" w:themeColor="text1" w:themeTint="F2"/>
        </w:rPr>
      </w:pPr>
      <w:r w:rsidRPr="00644CB1">
        <w:rPr>
          <w:color w:val="0D0D0D" w:themeColor="text1" w:themeTint="F2"/>
        </w:rPr>
        <w:t xml:space="preserve">Deliverables: </w:t>
      </w:r>
      <w:r w:rsidR="00DC7A8D" w:rsidRPr="00644CB1">
        <w:rPr>
          <w:color w:val="0D0D0D" w:themeColor="text1" w:themeTint="F2"/>
        </w:rPr>
        <w:t>e</w:t>
      </w:r>
      <w:r w:rsidRPr="00644CB1">
        <w:rPr>
          <w:color w:val="0D0D0D" w:themeColor="text1" w:themeTint="F2"/>
        </w:rPr>
        <w:t xml:space="preserve">valuation of </w:t>
      </w:r>
      <w:r w:rsidR="00DC7A8D" w:rsidRPr="00644CB1">
        <w:rPr>
          <w:color w:val="0D0D0D" w:themeColor="text1" w:themeTint="F2"/>
        </w:rPr>
        <w:t>o</w:t>
      </w:r>
      <w:r w:rsidRPr="00644CB1">
        <w:rPr>
          <w:color w:val="0D0D0D" w:themeColor="text1" w:themeTint="F2"/>
        </w:rPr>
        <w:t xml:space="preserve">rganizers’ </w:t>
      </w:r>
      <w:r w:rsidR="00DC7A8D" w:rsidRPr="00644CB1">
        <w:rPr>
          <w:color w:val="0D0D0D" w:themeColor="text1" w:themeTint="F2"/>
        </w:rPr>
        <w:t>s</w:t>
      </w:r>
      <w:r w:rsidRPr="00644CB1">
        <w:rPr>
          <w:color w:val="0D0D0D" w:themeColor="text1" w:themeTint="F2"/>
        </w:rPr>
        <w:t>kills</w:t>
      </w:r>
    </w:p>
    <w:p w14:paraId="502073BA" w14:textId="2B77AC1C" w:rsidR="00BE5CE1" w:rsidRPr="00644CB1" w:rsidRDefault="00BE5CE1" w:rsidP="00D6691B">
      <w:pPr>
        <w:pStyle w:val="Articlenormaltext"/>
        <w:ind w:firstLine="0"/>
        <w:rPr>
          <w:color w:val="0D0D0D" w:themeColor="text1" w:themeTint="F2"/>
          <w:lang w:val="it-IT"/>
        </w:rPr>
      </w:pPr>
      <w:r w:rsidRPr="00644CB1">
        <w:rPr>
          <w:color w:val="0D0D0D" w:themeColor="text1" w:themeTint="F2"/>
          <w:lang w:val="it-IT"/>
        </w:rPr>
        <w:t>The organizers’ skills in sport event management were assessed through the evaluation of deliverables, which formed part of their official class grading procedure. The mean score for the deliverables was M = 8.54</w:t>
      </w:r>
      <w:r w:rsidR="00AD67B5">
        <w:rPr>
          <w:color w:val="0D0D0D" w:themeColor="text1" w:themeTint="F2"/>
          <w:lang w:val="it-IT"/>
        </w:rPr>
        <w:t>, SD = .5</w:t>
      </w:r>
      <w:r w:rsidR="00075830">
        <w:rPr>
          <w:color w:val="0D0D0D" w:themeColor="text1" w:themeTint="F2"/>
          <w:lang w:val="it-IT"/>
        </w:rPr>
        <w:t>9</w:t>
      </w:r>
      <w:r w:rsidRPr="00644CB1">
        <w:rPr>
          <w:color w:val="0D0D0D" w:themeColor="text1" w:themeTint="F2"/>
          <w:lang w:val="it-IT"/>
        </w:rPr>
        <w:t xml:space="preserve"> (see Table 2).</w:t>
      </w:r>
    </w:p>
    <w:p w14:paraId="730F0C4D" w14:textId="62066109" w:rsidR="000836EE" w:rsidRPr="00644CB1" w:rsidRDefault="000836EE" w:rsidP="000A5218">
      <w:pPr>
        <w:pStyle w:val="2"/>
        <w:numPr>
          <w:ilvl w:val="1"/>
          <w:numId w:val="7"/>
        </w:numPr>
        <w:ind w:left="567" w:hanging="567"/>
        <w:rPr>
          <w:color w:val="0D0D0D" w:themeColor="text1" w:themeTint="F2"/>
        </w:rPr>
      </w:pPr>
      <w:r w:rsidRPr="00644CB1">
        <w:rPr>
          <w:color w:val="0D0D0D" w:themeColor="text1" w:themeTint="F2"/>
        </w:rPr>
        <w:t xml:space="preserve">Written test: </w:t>
      </w:r>
      <w:r w:rsidR="00DC7A8D" w:rsidRPr="00644CB1">
        <w:rPr>
          <w:color w:val="0D0D0D" w:themeColor="text1" w:themeTint="F2"/>
        </w:rPr>
        <w:t>e</w:t>
      </w:r>
      <w:r w:rsidRPr="00644CB1">
        <w:rPr>
          <w:color w:val="0D0D0D" w:themeColor="text1" w:themeTint="F2"/>
        </w:rPr>
        <w:t>valuation of theoretical knowledge in sport event management</w:t>
      </w:r>
    </w:p>
    <w:p w14:paraId="2A7E2DC7" w14:textId="7B72E669" w:rsidR="002A32D7" w:rsidRPr="00644CB1" w:rsidRDefault="002A32D7" w:rsidP="002A32D7">
      <w:pPr>
        <w:pStyle w:val="Articlenormaltext"/>
        <w:ind w:firstLine="0"/>
        <w:rPr>
          <w:color w:val="0D0D0D" w:themeColor="text1" w:themeTint="F2"/>
        </w:rPr>
      </w:pPr>
      <w:r w:rsidRPr="00644CB1">
        <w:rPr>
          <w:color w:val="0D0D0D" w:themeColor="text1" w:themeTint="F2"/>
        </w:rPr>
        <w:t xml:space="preserve">The evaluation of the organizers’ theoretical knowledge in sport event management was conducted at the conclusion of the VIFT. To assess both the level of knowledge acquired through the gamification process and the effectiveness of the educational scenarios presented in Table 2, the organizers completed a written knowledge test upon the completion of the tournament. </w:t>
      </w:r>
    </w:p>
    <w:p w14:paraId="45AEED3B" w14:textId="5C958209" w:rsidR="002A32D7" w:rsidRPr="00A41EAA" w:rsidRDefault="002A32D7" w:rsidP="002A32D7">
      <w:pPr>
        <w:pStyle w:val="Articlenormaltext"/>
        <w:rPr>
          <w:color w:val="0D0D0D" w:themeColor="text1" w:themeTint="F2"/>
        </w:rPr>
      </w:pPr>
      <w:r w:rsidRPr="00644CB1">
        <w:rPr>
          <w:color w:val="0D0D0D" w:themeColor="text1" w:themeTint="F2"/>
        </w:rPr>
        <w:t>A total of N = 29 organizers participated in the test, of whom 24.</w:t>
      </w:r>
      <w:r w:rsidR="00EF5FC6">
        <w:rPr>
          <w:color w:val="0D0D0D" w:themeColor="text1" w:themeTint="F2"/>
        </w:rPr>
        <w:t>1</w:t>
      </w:r>
      <w:r w:rsidRPr="00644CB1">
        <w:rPr>
          <w:color w:val="0D0D0D" w:themeColor="text1" w:themeTint="F2"/>
        </w:rPr>
        <w:t>% were men (N = 7) and 7</w:t>
      </w:r>
      <w:r w:rsidR="00C271B2">
        <w:rPr>
          <w:color w:val="0D0D0D" w:themeColor="text1" w:themeTint="F2"/>
        </w:rPr>
        <w:t>5</w:t>
      </w:r>
      <w:r w:rsidRPr="00644CB1">
        <w:rPr>
          <w:color w:val="0D0D0D" w:themeColor="text1" w:themeTint="F2"/>
        </w:rPr>
        <w:t>.</w:t>
      </w:r>
      <w:r w:rsidR="00C271B2">
        <w:rPr>
          <w:color w:val="0D0D0D" w:themeColor="text1" w:themeTint="F2"/>
        </w:rPr>
        <w:t>9</w:t>
      </w:r>
      <w:r w:rsidRPr="00644CB1">
        <w:rPr>
          <w:color w:val="0D0D0D" w:themeColor="text1" w:themeTint="F2"/>
        </w:rPr>
        <w:t xml:space="preserve">% were women (N = 22). As shown in Table 3, the overall mean score of the organizers was M = 6.61 (SD = 2.46) on a 0–10 scale, which is well above the passing threshold (t = 3.522, </w:t>
      </w:r>
      <w:proofErr w:type="spellStart"/>
      <w:r w:rsidRPr="00644CB1">
        <w:rPr>
          <w:color w:val="0D0D0D" w:themeColor="text1" w:themeTint="F2"/>
        </w:rPr>
        <w:t>df</w:t>
      </w:r>
      <w:proofErr w:type="spellEnd"/>
      <w:r w:rsidRPr="00644CB1">
        <w:rPr>
          <w:color w:val="0D0D0D" w:themeColor="text1" w:themeTint="F2"/>
        </w:rPr>
        <w:t xml:space="preserve"> = 28, p </w:t>
      </w:r>
      <w:r w:rsidR="00DE3AAB" w:rsidRPr="00644CB1">
        <w:rPr>
          <w:color w:val="0D0D0D" w:themeColor="text1" w:themeTint="F2"/>
        </w:rPr>
        <w:t>&lt;</w:t>
      </w:r>
      <w:r w:rsidRPr="00644CB1">
        <w:rPr>
          <w:color w:val="0D0D0D" w:themeColor="text1" w:themeTint="F2"/>
        </w:rPr>
        <w:t xml:space="preserve"> .001</w:t>
      </w:r>
      <w:r w:rsidR="00A246DE">
        <w:rPr>
          <w:color w:val="0D0D0D" w:themeColor="text1" w:themeTint="F2"/>
        </w:rPr>
        <w:t>; 95% CI [5.67, 7.54</w:t>
      </w:r>
      <w:r w:rsidR="00CD5E5D">
        <w:rPr>
          <w:color w:val="0D0D0D" w:themeColor="text1" w:themeTint="F2"/>
        </w:rPr>
        <w:t>]</w:t>
      </w:r>
      <w:r w:rsidRPr="00644CB1">
        <w:rPr>
          <w:color w:val="0D0D0D" w:themeColor="text1" w:themeTint="F2"/>
        </w:rPr>
        <w:t>).</w:t>
      </w:r>
      <w:r w:rsidR="00CD5E5D">
        <w:rPr>
          <w:color w:val="0D0D0D" w:themeColor="text1" w:themeTint="F2"/>
        </w:rPr>
        <w:t xml:space="preserve"> The effect size </w:t>
      </w:r>
      <w:r w:rsidR="00240567">
        <w:rPr>
          <w:color w:val="0D0D0D" w:themeColor="text1" w:themeTint="F2"/>
        </w:rPr>
        <w:t>relative to the passin</w:t>
      </w:r>
      <w:r w:rsidR="00AD51D8">
        <w:rPr>
          <w:color w:val="0D0D0D" w:themeColor="text1" w:themeTint="F2"/>
        </w:rPr>
        <w:t>g</w:t>
      </w:r>
      <w:r w:rsidR="00240567">
        <w:rPr>
          <w:color w:val="0D0D0D" w:themeColor="text1" w:themeTint="F2"/>
        </w:rPr>
        <w:t xml:space="preserve"> </w:t>
      </w:r>
      <w:r w:rsidR="00AD51D8">
        <w:rPr>
          <w:color w:val="0D0D0D" w:themeColor="text1" w:themeTint="F2"/>
        </w:rPr>
        <w:t xml:space="preserve">threshold </w:t>
      </w:r>
      <w:r w:rsidR="00035467">
        <w:rPr>
          <w:color w:val="0D0D0D" w:themeColor="text1" w:themeTint="F2"/>
        </w:rPr>
        <w:t xml:space="preserve">was Cohen’s </w:t>
      </w:r>
      <w:r w:rsidR="008E0151">
        <w:rPr>
          <w:color w:val="0D0D0D" w:themeColor="text1" w:themeTint="F2"/>
        </w:rPr>
        <w:t xml:space="preserve">d = .65, </w:t>
      </w:r>
      <w:r w:rsidR="00A41EAA" w:rsidRPr="00EF24D6">
        <w:rPr>
          <w:color w:val="0D0D0D" w:themeColor="text1" w:themeTint="F2"/>
        </w:rPr>
        <w:t xml:space="preserve">95% </w:t>
      </w:r>
      <w:r w:rsidR="00A41EAA">
        <w:rPr>
          <w:color w:val="0D0D0D" w:themeColor="text1" w:themeTint="F2"/>
        </w:rPr>
        <w:t xml:space="preserve">CI </w:t>
      </w:r>
      <w:r w:rsidR="00AD29D8">
        <w:rPr>
          <w:color w:val="0D0D0D" w:themeColor="text1" w:themeTint="F2"/>
        </w:rPr>
        <w:t xml:space="preserve">[.25, 1.05], </w:t>
      </w:r>
      <w:r w:rsidR="008E0151">
        <w:rPr>
          <w:color w:val="0D0D0D" w:themeColor="text1" w:themeTint="F2"/>
        </w:rPr>
        <w:t>indicating a medium</w:t>
      </w:r>
      <w:r w:rsidR="004E18FC">
        <w:rPr>
          <w:color w:val="0D0D0D" w:themeColor="text1" w:themeTint="F2"/>
        </w:rPr>
        <w:t xml:space="preserve"> to large effect.</w:t>
      </w:r>
    </w:p>
    <w:p w14:paraId="2588F495" w14:textId="7544C6D1" w:rsidR="002A32D7" w:rsidRPr="00644CB1" w:rsidRDefault="002A32D7" w:rsidP="001D0F5D">
      <w:pPr>
        <w:pStyle w:val="Articlenormaltext"/>
        <w:rPr>
          <w:color w:val="0D0D0D" w:themeColor="text1" w:themeTint="F2"/>
        </w:rPr>
      </w:pPr>
      <w:r w:rsidRPr="00644CB1">
        <w:rPr>
          <w:color w:val="0D0D0D" w:themeColor="text1" w:themeTint="F2"/>
        </w:rPr>
        <w:t>When considering gender differences, the mean performance for men was M = 5.34</w:t>
      </w:r>
      <w:r w:rsidR="00741AEE">
        <w:rPr>
          <w:color w:val="0D0D0D" w:themeColor="text1" w:themeTint="F2"/>
        </w:rPr>
        <w:t xml:space="preserve"> </w:t>
      </w:r>
      <w:r w:rsidR="000C5A02">
        <w:rPr>
          <w:color w:val="0D0D0D" w:themeColor="text1" w:themeTint="F2"/>
        </w:rPr>
        <w:t>(SD = 2.48)</w:t>
      </w:r>
      <w:r w:rsidRPr="00644CB1">
        <w:rPr>
          <w:color w:val="0D0D0D" w:themeColor="text1" w:themeTint="F2"/>
        </w:rPr>
        <w:t>, while for women, it was M = 7.01</w:t>
      </w:r>
      <w:r w:rsidR="00741AEE">
        <w:rPr>
          <w:color w:val="0D0D0D" w:themeColor="text1" w:themeTint="F2"/>
        </w:rPr>
        <w:t xml:space="preserve"> </w:t>
      </w:r>
      <w:r w:rsidR="00DB2677">
        <w:rPr>
          <w:color w:val="0D0D0D" w:themeColor="text1" w:themeTint="F2"/>
        </w:rPr>
        <w:t>(SD = 2.36)</w:t>
      </w:r>
      <w:r w:rsidRPr="00644CB1">
        <w:rPr>
          <w:color w:val="0D0D0D" w:themeColor="text1" w:themeTint="F2"/>
        </w:rPr>
        <w:t xml:space="preserve">. </w:t>
      </w:r>
      <w:r w:rsidR="00217903">
        <w:rPr>
          <w:color w:val="0D0D0D" w:themeColor="text1" w:themeTint="F2"/>
        </w:rPr>
        <w:t xml:space="preserve">An </w:t>
      </w:r>
      <w:r w:rsidR="00E2660A">
        <w:rPr>
          <w:color w:val="0D0D0D" w:themeColor="text1" w:themeTint="F2"/>
        </w:rPr>
        <w:t>independent samples</w:t>
      </w:r>
      <w:r w:rsidR="00F12A4B">
        <w:rPr>
          <w:color w:val="0D0D0D" w:themeColor="text1" w:themeTint="F2"/>
        </w:rPr>
        <w:t xml:space="preserve"> t-test shows that this difference in </w:t>
      </w:r>
      <w:r w:rsidR="00232C28">
        <w:rPr>
          <w:color w:val="0D0D0D" w:themeColor="text1" w:themeTint="F2"/>
        </w:rPr>
        <w:t xml:space="preserve">knowledge acquisition between genders </w:t>
      </w:r>
      <w:r w:rsidR="000C35F6">
        <w:rPr>
          <w:color w:val="0D0D0D" w:themeColor="text1" w:themeTint="F2"/>
        </w:rPr>
        <w:t xml:space="preserve">was not statistically significant </w:t>
      </w:r>
      <w:r w:rsidRPr="00644CB1">
        <w:rPr>
          <w:color w:val="0D0D0D" w:themeColor="text1" w:themeTint="F2"/>
        </w:rPr>
        <w:t xml:space="preserve">(t = -1.606, </w:t>
      </w:r>
      <w:proofErr w:type="spellStart"/>
      <w:r w:rsidRPr="00644CB1">
        <w:rPr>
          <w:color w:val="0D0D0D" w:themeColor="text1" w:themeTint="F2"/>
        </w:rPr>
        <w:t>df</w:t>
      </w:r>
      <w:proofErr w:type="spellEnd"/>
      <w:r w:rsidRPr="00644CB1">
        <w:rPr>
          <w:color w:val="0D0D0D" w:themeColor="text1" w:themeTint="F2"/>
        </w:rPr>
        <w:t xml:space="preserve"> = 27, p = .</w:t>
      </w:r>
      <w:r w:rsidR="004725A9" w:rsidRPr="00EF24D6">
        <w:rPr>
          <w:color w:val="0D0D0D" w:themeColor="text1" w:themeTint="F2"/>
        </w:rPr>
        <w:t>120</w:t>
      </w:r>
      <w:r w:rsidR="00F9401D" w:rsidRPr="00EF24D6">
        <w:rPr>
          <w:color w:val="0D0D0D" w:themeColor="text1" w:themeTint="F2"/>
        </w:rPr>
        <w:t>)</w:t>
      </w:r>
      <w:r w:rsidR="00E2660A">
        <w:rPr>
          <w:color w:val="0D0D0D" w:themeColor="text1" w:themeTint="F2"/>
        </w:rPr>
        <w:t xml:space="preserve">. The estimated </w:t>
      </w:r>
      <w:r w:rsidR="00C22FA0">
        <w:rPr>
          <w:color w:val="0D0D0D" w:themeColor="text1" w:themeTint="F2"/>
        </w:rPr>
        <w:t>mean difference (women-men) was 1.67 (95</w:t>
      </w:r>
      <w:r w:rsidR="004408B4">
        <w:rPr>
          <w:color w:val="0D0D0D" w:themeColor="text1" w:themeTint="F2"/>
        </w:rPr>
        <w:t>% CI [</w:t>
      </w:r>
      <w:r w:rsidR="00606BD5">
        <w:rPr>
          <w:color w:val="0D0D0D" w:themeColor="text1" w:themeTint="F2"/>
        </w:rPr>
        <w:t xml:space="preserve">-.46, 3.79]), and the effect size was </w:t>
      </w:r>
      <w:r w:rsidR="008D6479">
        <w:rPr>
          <w:color w:val="0D0D0D" w:themeColor="text1" w:themeTint="F2"/>
        </w:rPr>
        <w:t>moderate</w:t>
      </w:r>
      <w:r w:rsidR="00BC0BAD">
        <w:rPr>
          <w:color w:val="0D0D0D" w:themeColor="text1" w:themeTint="F2"/>
        </w:rPr>
        <w:t xml:space="preserve"> (</w:t>
      </w:r>
      <w:proofErr w:type="spellStart"/>
      <w:r w:rsidR="00654EBD">
        <w:rPr>
          <w:color w:val="0D0D0D" w:themeColor="text1" w:themeTint="F2"/>
        </w:rPr>
        <w:t>Cohens’s</w:t>
      </w:r>
      <w:proofErr w:type="spellEnd"/>
      <w:r w:rsidR="00BC0BAD">
        <w:rPr>
          <w:color w:val="0D0D0D" w:themeColor="text1" w:themeTint="F2"/>
        </w:rPr>
        <w:t xml:space="preserve"> </w:t>
      </w:r>
      <w:r w:rsidR="00654EBD">
        <w:rPr>
          <w:color w:val="0D0D0D" w:themeColor="text1" w:themeTint="F2"/>
        </w:rPr>
        <w:t>d</w:t>
      </w:r>
      <w:r w:rsidR="00BC0BAD">
        <w:rPr>
          <w:color w:val="0D0D0D" w:themeColor="text1" w:themeTint="F2"/>
        </w:rPr>
        <w:t xml:space="preserve"> = .70, 95% CI </w:t>
      </w:r>
      <w:r w:rsidR="007272C4">
        <w:rPr>
          <w:color w:val="0D0D0D" w:themeColor="text1" w:themeTint="F2"/>
        </w:rPr>
        <w:t>[-.17, 1.57])</w:t>
      </w:r>
      <w:r w:rsidR="00532518" w:rsidRPr="00644CB1">
        <w:rPr>
          <w:color w:val="0D0D0D" w:themeColor="text1" w:themeTint="F2"/>
        </w:rPr>
        <w:t>.</w:t>
      </w:r>
    </w:p>
    <w:p w14:paraId="76C69C6A" w14:textId="6A8C308A" w:rsidR="00C773E9" w:rsidRPr="004F5ED6" w:rsidRDefault="002A32D7" w:rsidP="00532518">
      <w:pPr>
        <w:pStyle w:val="Articlenormaltext"/>
        <w:rPr>
          <w:color w:val="0D0D0D" w:themeColor="text1" w:themeTint="F2"/>
        </w:rPr>
      </w:pPr>
      <w:r w:rsidRPr="00644CB1">
        <w:rPr>
          <w:color w:val="0D0D0D" w:themeColor="text1" w:themeTint="F2"/>
        </w:rPr>
        <w:t xml:space="preserve">Regarding the impact of prior knowledge in sport event management, the t-test analysis (t = -2.264, </w:t>
      </w:r>
      <w:proofErr w:type="spellStart"/>
      <w:r w:rsidRPr="00644CB1">
        <w:rPr>
          <w:color w:val="0D0D0D" w:themeColor="text1" w:themeTint="F2"/>
        </w:rPr>
        <w:t>df</w:t>
      </w:r>
      <w:proofErr w:type="spellEnd"/>
      <w:r w:rsidRPr="00644CB1">
        <w:rPr>
          <w:color w:val="0D0D0D" w:themeColor="text1" w:themeTint="F2"/>
        </w:rPr>
        <w:t xml:space="preserve"> = 27, p = .032) showed that organizers with prior knowledge (M = 8.04, SD = 1.49) achieved significantly higher academic performance compared to those without prior knowledge (M = 5.96, SD = 2.55)</w:t>
      </w:r>
      <w:r w:rsidR="004F5ED6" w:rsidRPr="00EF24D6">
        <w:rPr>
          <w:color w:val="0D0D0D" w:themeColor="text1" w:themeTint="F2"/>
        </w:rPr>
        <w:t xml:space="preserve">, </w:t>
      </w:r>
      <w:r w:rsidR="004F5ED6">
        <w:rPr>
          <w:color w:val="0D0D0D" w:themeColor="text1" w:themeTint="F2"/>
        </w:rPr>
        <w:t xml:space="preserve">with a mean difference of 2.08, </w:t>
      </w:r>
      <w:r w:rsidR="00E81F98">
        <w:rPr>
          <w:color w:val="0D0D0D" w:themeColor="text1" w:themeTint="F2"/>
        </w:rPr>
        <w:t>95% CI [.2</w:t>
      </w:r>
      <w:r w:rsidR="000D4E6D">
        <w:rPr>
          <w:color w:val="0D0D0D" w:themeColor="text1" w:themeTint="F2"/>
        </w:rPr>
        <w:t>0</w:t>
      </w:r>
      <w:r w:rsidR="00E81F98">
        <w:rPr>
          <w:color w:val="0D0D0D" w:themeColor="text1" w:themeTint="F2"/>
        </w:rPr>
        <w:t>, 3.97]</w:t>
      </w:r>
      <w:r w:rsidR="000D4E6D">
        <w:rPr>
          <w:color w:val="0D0D0D" w:themeColor="text1" w:themeTint="F2"/>
        </w:rPr>
        <w:t>, and a large effect size (Cohen’s d =.91, 95% [.09, 1.</w:t>
      </w:r>
      <w:r w:rsidR="00CB323F">
        <w:rPr>
          <w:color w:val="0D0D0D" w:themeColor="text1" w:themeTint="F2"/>
        </w:rPr>
        <w:t>73]).</w:t>
      </w:r>
    </w:p>
    <w:p w14:paraId="2E88DCA7" w14:textId="77777777" w:rsidR="00DE4CF2" w:rsidRPr="00644CB1" w:rsidRDefault="00DE4CF2">
      <w:pPr>
        <w:spacing w:line="240" w:lineRule="auto"/>
        <w:rPr>
          <w:rFonts w:ascii="Times New Roman" w:hAnsi="Times New Roman"/>
          <w:color w:val="0D0D0D" w:themeColor="text1" w:themeTint="F2"/>
          <w:spacing w:val="4"/>
          <w:lang w:val="en-US"/>
        </w:rPr>
      </w:pPr>
    </w:p>
    <w:p w14:paraId="24C59A5F" w14:textId="77777777" w:rsidR="000836EE" w:rsidRPr="00644CB1" w:rsidRDefault="000836EE" w:rsidP="00543A46">
      <w:pPr>
        <w:tabs>
          <w:tab w:val="left" w:pos="851"/>
        </w:tabs>
        <w:spacing w:after="120" w:line="240" w:lineRule="auto"/>
        <w:rPr>
          <w:rFonts w:ascii="Arial" w:hAnsi="Arial" w:cs="Arial"/>
          <w:color w:val="0D0D0D" w:themeColor="text1" w:themeTint="F2"/>
          <w:sz w:val="18"/>
          <w:szCs w:val="18"/>
          <w:lang w:val="en-US"/>
        </w:rPr>
      </w:pPr>
      <w:r w:rsidRPr="00644CB1">
        <w:rPr>
          <w:rFonts w:ascii="Arial" w:hAnsi="Arial" w:cs="Arial"/>
          <w:b/>
          <w:bCs/>
          <w:color w:val="0D0D0D" w:themeColor="text1" w:themeTint="F2"/>
          <w:sz w:val="18"/>
          <w:szCs w:val="18"/>
          <w:lang w:val="en-US"/>
        </w:rPr>
        <w:t>Table 2:</w:t>
      </w:r>
      <w:r w:rsidRPr="00644CB1">
        <w:rPr>
          <w:rFonts w:ascii="Arial" w:hAnsi="Arial" w:cs="Arial"/>
          <w:color w:val="0D0D0D" w:themeColor="text1" w:themeTint="F2"/>
          <w:sz w:val="18"/>
          <w:szCs w:val="18"/>
          <w:lang w:val="en-US"/>
        </w:rPr>
        <w:t xml:space="preserve"> Deliverables: Educational scenarios, objectives &amp; instructor’s evaluation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6"/>
        <w:gridCol w:w="2465"/>
        <w:gridCol w:w="2777"/>
        <w:gridCol w:w="1940"/>
      </w:tblGrid>
      <w:tr w:rsidR="00644CB1" w:rsidRPr="0014087A" w14:paraId="5A8E4205" w14:textId="77777777" w:rsidTr="00B06B47">
        <w:trPr>
          <w:tblHeader/>
          <w:tblCellSpacing w:w="15" w:type="dxa"/>
        </w:trPr>
        <w:tc>
          <w:tcPr>
            <w:tcW w:w="0" w:type="auto"/>
            <w:tcBorders>
              <w:top w:val="single" w:sz="4" w:space="0" w:color="auto"/>
              <w:bottom w:val="single" w:sz="4" w:space="0" w:color="auto"/>
            </w:tcBorders>
            <w:vAlign w:val="center"/>
            <w:hideMark/>
          </w:tcPr>
          <w:p w14:paraId="5C88C6BF" w14:textId="0CC5C211"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 xml:space="preserve">Salem </w:t>
            </w:r>
            <w:r w:rsidR="00E12378" w:rsidRPr="0014087A">
              <w:rPr>
                <w:rFonts w:ascii="Arial" w:hAnsi="Arial" w:cs="Arial"/>
                <w:i/>
                <w:iCs/>
                <w:color w:val="0D0D0D" w:themeColor="text1" w:themeTint="F2"/>
                <w:sz w:val="16"/>
                <w:szCs w:val="16"/>
              </w:rPr>
              <w:t>et al.</w:t>
            </w:r>
            <w:r w:rsidRPr="0014087A">
              <w:rPr>
                <w:rFonts w:ascii="Arial" w:hAnsi="Arial" w:cs="Arial"/>
                <w:color w:val="0D0D0D" w:themeColor="text1" w:themeTint="F2"/>
                <w:sz w:val="16"/>
                <w:szCs w:val="16"/>
              </w:rPr>
              <w:t xml:space="preserve"> </w:t>
            </w:r>
            <w:r w:rsidR="00453268" w:rsidRPr="0014087A">
              <w:rPr>
                <w:rFonts w:ascii="Arial" w:hAnsi="Arial" w:cs="Arial"/>
                <w:color w:val="0D0D0D" w:themeColor="text1" w:themeTint="F2"/>
                <w:sz w:val="16"/>
                <w:szCs w:val="16"/>
                <w:lang w:val="el-GR"/>
              </w:rPr>
              <w:fldChar w:fldCharType="begin" w:fldLock="1"/>
            </w:r>
            <w:r w:rsidR="00DC7A93" w:rsidRPr="0014087A">
              <w:rPr>
                <w:rFonts w:ascii="Arial" w:hAnsi="Arial" w:cs="Arial"/>
                <w:color w:val="0D0D0D" w:themeColor="text1" w:themeTint="F2"/>
                <w:sz w:val="16"/>
                <w:szCs w:val="16"/>
                <w:lang w:val="el-GR"/>
              </w:rPr>
              <w:instrText>ADDIN CSL_CITATION {"citationItems":[{"id":"ITEM-1","itemData":{"ISBN":"978-0-7506-5872-0","author":[{"dropping-particle":"","family":"Salem","given":"G.","non-dropping-particle":"","parse-names":false,"suffix":""},{"dropping-particle":"","family":"Jones","given":"E.","non-dropping-particle":"","parse-names":false,"suffix":""},{"dropping-particle":"","family":"Morgan","given":"N.","non-dropping-particle":"","parse-names":false,"suffix":""}],"container-title":"Festival and events management: an international arts and culture perspective","editor":[{"dropping-particle":"","family":"Yeoman","given":"I.","non-dropping-particle":"","parse-names":false,"suffix":""},{"dropping-particle":"","family":"Robertson","given":"M.","non-dropping-particle":"","parse-names":false,"suffix":""},{"dropping-particle":"","family":"Ali-Knight","given":"J.A.","non-dropping-particle":"","parse-names":false,"suffix":""},{"dropping-particle":"","family":"Drummond","given":"S.","non-dropping-particle":"","parse-names":false,"suffix":""},{"dropping-particle":"","family":"McMahon-Beattie","given":"U.","non-dropping-particle":"","parse-names":false,"suffix":""}],"id":"ITEM-1","issued":{"date-parts":[["2014"]]},"page":"14-31","publisher":"Elsevier Butterworth-Heinemann","publisher-place":"Boston, MA","title":"An overview of events management","type":"chapter"},"uris":["http://www.mendeley.com/documents/?uuid=74ce0dc2-1ee2-4d79-8055-f405e3731374"]}],"mendeley":{"formattedCitation":"[38]","plainTextFormattedCitation":"[38]","previouslyFormattedCitation":"[38]"},"properties":{"noteIndex":0},"schema":"https://github.com/citation-style-language/schema/raw/master/csl-citation.json"}</w:instrText>
            </w:r>
            <w:r w:rsidR="00453268" w:rsidRPr="0014087A">
              <w:rPr>
                <w:rFonts w:ascii="Arial" w:hAnsi="Arial" w:cs="Arial"/>
                <w:color w:val="0D0D0D" w:themeColor="text1" w:themeTint="F2"/>
                <w:sz w:val="16"/>
                <w:szCs w:val="16"/>
                <w:lang w:val="el-GR"/>
              </w:rPr>
              <w:fldChar w:fldCharType="separate"/>
            </w:r>
            <w:r w:rsidR="00125D2D" w:rsidRPr="0014087A">
              <w:rPr>
                <w:rFonts w:ascii="Arial" w:hAnsi="Arial" w:cs="Arial"/>
                <w:noProof/>
                <w:color w:val="0D0D0D" w:themeColor="text1" w:themeTint="F2"/>
                <w:sz w:val="16"/>
                <w:szCs w:val="16"/>
                <w:lang w:val="el-GR"/>
              </w:rPr>
              <w:t>[38]</w:t>
            </w:r>
            <w:r w:rsidR="00453268" w:rsidRPr="0014087A">
              <w:rPr>
                <w:rFonts w:ascii="Arial" w:hAnsi="Arial" w:cs="Arial"/>
                <w:color w:val="0D0D0D" w:themeColor="text1" w:themeTint="F2"/>
                <w:sz w:val="16"/>
                <w:szCs w:val="16"/>
                <w:lang w:val="el-GR"/>
              </w:rPr>
              <w:fldChar w:fldCharType="end"/>
            </w:r>
            <w:r w:rsidRPr="0014087A">
              <w:rPr>
                <w:rFonts w:ascii="Arial" w:hAnsi="Arial" w:cs="Arial"/>
                <w:color w:val="0D0D0D" w:themeColor="text1" w:themeTint="F2"/>
                <w:sz w:val="16"/>
                <w:szCs w:val="16"/>
                <w:lang w:val="el-GR"/>
              </w:rPr>
              <w:t xml:space="preserve"> </w:t>
            </w:r>
            <w:r w:rsidRPr="0014087A">
              <w:rPr>
                <w:rFonts w:ascii="Arial" w:hAnsi="Arial" w:cs="Arial"/>
                <w:color w:val="0D0D0D" w:themeColor="text1" w:themeTint="F2"/>
                <w:sz w:val="16"/>
                <w:szCs w:val="16"/>
              </w:rPr>
              <w:t>Model</w:t>
            </w:r>
          </w:p>
        </w:tc>
        <w:tc>
          <w:tcPr>
            <w:tcW w:w="0" w:type="auto"/>
            <w:tcBorders>
              <w:top w:val="single" w:sz="4" w:space="0" w:color="auto"/>
              <w:bottom w:val="single" w:sz="4" w:space="0" w:color="auto"/>
            </w:tcBorders>
            <w:vAlign w:val="center"/>
            <w:hideMark/>
          </w:tcPr>
          <w:p w14:paraId="063D6222"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Educational Scenario / Task</w:t>
            </w:r>
          </w:p>
        </w:tc>
        <w:tc>
          <w:tcPr>
            <w:tcW w:w="0" w:type="auto"/>
            <w:tcBorders>
              <w:top w:val="single" w:sz="4" w:space="0" w:color="auto"/>
              <w:bottom w:val="single" w:sz="4" w:space="0" w:color="auto"/>
            </w:tcBorders>
            <w:vAlign w:val="center"/>
            <w:hideMark/>
          </w:tcPr>
          <w:p w14:paraId="7BEA7688"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Learning Objective / Skill Developed</w:t>
            </w:r>
          </w:p>
        </w:tc>
        <w:tc>
          <w:tcPr>
            <w:tcW w:w="0" w:type="auto"/>
            <w:tcBorders>
              <w:top w:val="single" w:sz="4" w:space="0" w:color="auto"/>
              <w:bottom w:val="single" w:sz="4" w:space="0" w:color="auto"/>
            </w:tcBorders>
            <w:vAlign w:val="center"/>
            <w:hideMark/>
          </w:tcPr>
          <w:p w14:paraId="6CD24AD8" w14:textId="77777777" w:rsidR="002B03BD" w:rsidRPr="0014087A" w:rsidRDefault="002B03BD" w:rsidP="000173AD">
            <w:pPr>
              <w:jc w:val="cente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Instructor’s Mean Evaluation Score (M)</w:t>
            </w:r>
          </w:p>
        </w:tc>
      </w:tr>
      <w:tr w:rsidR="00644CB1" w:rsidRPr="0014087A" w14:paraId="6945AFEC" w14:textId="77777777" w:rsidTr="000173AD">
        <w:trPr>
          <w:tblCellSpacing w:w="15" w:type="dxa"/>
        </w:trPr>
        <w:tc>
          <w:tcPr>
            <w:tcW w:w="0" w:type="auto"/>
            <w:vAlign w:val="center"/>
            <w:hideMark/>
          </w:tcPr>
          <w:p w14:paraId="1E8795E8"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Decision</w:t>
            </w:r>
          </w:p>
        </w:tc>
        <w:tc>
          <w:tcPr>
            <w:tcW w:w="0" w:type="auto"/>
            <w:vAlign w:val="center"/>
            <w:hideMark/>
          </w:tcPr>
          <w:p w14:paraId="528EA1D3"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1. Create the event’s organization chart</w:t>
            </w:r>
          </w:p>
        </w:tc>
        <w:tc>
          <w:tcPr>
            <w:tcW w:w="0" w:type="auto"/>
            <w:vAlign w:val="center"/>
            <w:hideMark/>
          </w:tcPr>
          <w:p w14:paraId="44E2EC80"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Create an event org chart using office software</w:t>
            </w:r>
          </w:p>
        </w:tc>
        <w:tc>
          <w:tcPr>
            <w:tcW w:w="0" w:type="auto"/>
            <w:vAlign w:val="center"/>
            <w:hideMark/>
          </w:tcPr>
          <w:p w14:paraId="5097C3F7"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7.85</w:t>
            </w:r>
          </w:p>
        </w:tc>
      </w:tr>
      <w:tr w:rsidR="00644CB1" w:rsidRPr="0014087A" w14:paraId="47F723F8" w14:textId="77777777" w:rsidTr="000173AD">
        <w:trPr>
          <w:tblCellSpacing w:w="15" w:type="dxa"/>
        </w:trPr>
        <w:tc>
          <w:tcPr>
            <w:tcW w:w="0" w:type="auto"/>
            <w:vAlign w:val="center"/>
            <w:hideMark/>
          </w:tcPr>
          <w:p w14:paraId="317ADEBB" w14:textId="77777777" w:rsidR="002B03BD" w:rsidRPr="0014087A" w:rsidRDefault="002B03BD" w:rsidP="000173AD">
            <w:pPr>
              <w:rPr>
                <w:rFonts w:ascii="Arial" w:hAnsi="Arial" w:cs="Arial"/>
                <w:color w:val="0D0D0D" w:themeColor="text1" w:themeTint="F2"/>
                <w:sz w:val="16"/>
                <w:szCs w:val="16"/>
              </w:rPr>
            </w:pPr>
          </w:p>
        </w:tc>
        <w:tc>
          <w:tcPr>
            <w:tcW w:w="0" w:type="auto"/>
            <w:vAlign w:val="center"/>
            <w:hideMark/>
          </w:tcPr>
          <w:p w14:paraId="51BF7849"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2. Create the project map of the event</w:t>
            </w:r>
          </w:p>
        </w:tc>
        <w:tc>
          <w:tcPr>
            <w:tcW w:w="0" w:type="auto"/>
            <w:vAlign w:val="center"/>
            <w:hideMark/>
          </w:tcPr>
          <w:p w14:paraId="397665E2"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Develop a project map using Word/Excel</w:t>
            </w:r>
          </w:p>
        </w:tc>
        <w:tc>
          <w:tcPr>
            <w:tcW w:w="0" w:type="auto"/>
            <w:vAlign w:val="center"/>
            <w:hideMark/>
          </w:tcPr>
          <w:p w14:paraId="0E2F4F05"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8.24</w:t>
            </w:r>
          </w:p>
        </w:tc>
      </w:tr>
      <w:tr w:rsidR="00644CB1" w:rsidRPr="0014087A" w14:paraId="277115FE" w14:textId="77777777" w:rsidTr="000173AD">
        <w:trPr>
          <w:tblCellSpacing w:w="15" w:type="dxa"/>
        </w:trPr>
        <w:tc>
          <w:tcPr>
            <w:tcW w:w="0" w:type="auto"/>
            <w:vAlign w:val="center"/>
            <w:hideMark/>
          </w:tcPr>
          <w:p w14:paraId="6F2BC0ED"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Detailed Planning</w:t>
            </w:r>
          </w:p>
        </w:tc>
        <w:tc>
          <w:tcPr>
            <w:tcW w:w="0" w:type="auto"/>
            <w:vAlign w:val="center"/>
            <w:hideMark/>
          </w:tcPr>
          <w:p w14:paraId="7C952A26"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3. Create a timetable for the event</w:t>
            </w:r>
          </w:p>
        </w:tc>
        <w:tc>
          <w:tcPr>
            <w:tcW w:w="0" w:type="auto"/>
            <w:vAlign w:val="center"/>
            <w:hideMark/>
          </w:tcPr>
          <w:p w14:paraId="017EDCEF"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Develop timetables using Excel</w:t>
            </w:r>
          </w:p>
        </w:tc>
        <w:tc>
          <w:tcPr>
            <w:tcW w:w="0" w:type="auto"/>
            <w:vAlign w:val="center"/>
            <w:hideMark/>
          </w:tcPr>
          <w:p w14:paraId="7AEE6A4D"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7.05</w:t>
            </w:r>
          </w:p>
        </w:tc>
      </w:tr>
      <w:tr w:rsidR="00644CB1" w:rsidRPr="0014087A" w14:paraId="22A1123C" w14:textId="77777777" w:rsidTr="000173AD">
        <w:trPr>
          <w:tblCellSpacing w:w="15" w:type="dxa"/>
        </w:trPr>
        <w:tc>
          <w:tcPr>
            <w:tcW w:w="0" w:type="auto"/>
            <w:vAlign w:val="center"/>
            <w:hideMark/>
          </w:tcPr>
          <w:p w14:paraId="3865869E" w14:textId="77777777" w:rsidR="002B03BD" w:rsidRPr="0014087A" w:rsidRDefault="002B03BD" w:rsidP="000173AD">
            <w:pPr>
              <w:rPr>
                <w:rFonts w:ascii="Arial" w:hAnsi="Arial" w:cs="Arial"/>
                <w:color w:val="0D0D0D" w:themeColor="text1" w:themeTint="F2"/>
                <w:sz w:val="16"/>
                <w:szCs w:val="16"/>
              </w:rPr>
            </w:pPr>
          </w:p>
        </w:tc>
        <w:tc>
          <w:tcPr>
            <w:tcW w:w="0" w:type="auto"/>
            <w:vAlign w:val="center"/>
            <w:hideMark/>
          </w:tcPr>
          <w:p w14:paraId="29EA30F8"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4. Produce a Structured Task Analysis</w:t>
            </w:r>
          </w:p>
        </w:tc>
        <w:tc>
          <w:tcPr>
            <w:tcW w:w="0" w:type="auto"/>
            <w:vAlign w:val="center"/>
            <w:hideMark/>
          </w:tcPr>
          <w:p w14:paraId="18655E35"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Conduct structured task analysis using Word/Excel</w:t>
            </w:r>
          </w:p>
        </w:tc>
        <w:tc>
          <w:tcPr>
            <w:tcW w:w="0" w:type="auto"/>
            <w:vAlign w:val="center"/>
            <w:hideMark/>
          </w:tcPr>
          <w:p w14:paraId="03DBCF01"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7.43</w:t>
            </w:r>
          </w:p>
        </w:tc>
      </w:tr>
      <w:tr w:rsidR="00644CB1" w:rsidRPr="0014087A" w14:paraId="5FC78D62" w14:textId="77777777" w:rsidTr="000173AD">
        <w:trPr>
          <w:tblCellSpacing w:w="15" w:type="dxa"/>
        </w:trPr>
        <w:tc>
          <w:tcPr>
            <w:tcW w:w="0" w:type="auto"/>
            <w:vAlign w:val="center"/>
            <w:hideMark/>
          </w:tcPr>
          <w:p w14:paraId="18455C78" w14:textId="77777777" w:rsidR="002B03BD" w:rsidRPr="0014087A" w:rsidRDefault="002B03BD" w:rsidP="000173AD">
            <w:pPr>
              <w:rPr>
                <w:rFonts w:ascii="Arial" w:hAnsi="Arial" w:cs="Arial"/>
                <w:color w:val="0D0D0D" w:themeColor="text1" w:themeTint="F2"/>
                <w:sz w:val="16"/>
                <w:szCs w:val="16"/>
              </w:rPr>
            </w:pPr>
          </w:p>
        </w:tc>
        <w:tc>
          <w:tcPr>
            <w:tcW w:w="0" w:type="auto"/>
            <w:vAlign w:val="center"/>
            <w:hideMark/>
          </w:tcPr>
          <w:p w14:paraId="37F924D0"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5. Design &amp; distribute registration forms</w:t>
            </w:r>
          </w:p>
        </w:tc>
        <w:tc>
          <w:tcPr>
            <w:tcW w:w="0" w:type="auto"/>
            <w:vAlign w:val="center"/>
            <w:hideMark/>
          </w:tcPr>
          <w:p w14:paraId="6C060265"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Use Word/Google Forms to collect team registrations</w:t>
            </w:r>
          </w:p>
        </w:tc>
        <w:tc>
          <w:tcPr>
            <w:tcW w:w="0" w:type="auto"/>
            <w:vAlign w:val="center"/>
            <w:hideMark/>
          </w:tcPr>
          <w:p w14:paraId="3D96DDCB"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8.32</w:t>
            </w:r>
          </w:p>
        </w:tc>
      </w:tr>
      <w:tr w:rsidR="00644CB1" w:rsidRPr="0014087A" w14:paraId="0F60EF72" w14:textId="77777777" w:rsidTr="000173AD">
        <w:trPr>
          <w:tblCellSpacing w:w="15" w:type="dxa"/>
        </w:trPr>
        <w:tc>
          <w:tcPr>
            <w:tcW w:w="0" w:type="auto"/>
            <w:vAlign w:val="center"/>
            <w:hideMark/>
          </w:tcPr>
          <w:p w14:paraId="0587E43D" w14:textId="77777777" w:rsidR="002B03BD" w:rsidRPr="0014087A" w:rsidRDefault="002B03BD" w:rsidP="000173AD">
            <w:pPr>
              <w:rPr>
                <w:rFonts w:ascii="Arial" w:hAnsi="Arial" w:cs="Arial"/>
                <w:color w:val="0D0D0D" w:themeColor="text1" w:themeTint="F2"/>
                <w:sz w:val="16"/>
                <w:szCs w:val="16"/>
              </w:rPr>
            </w:pPr>
          </w:p>
        </w:tc>
        <w:tc>
          <w:tcPr>
            <w:tcW w:w="0" w:type="auto"/>
            <w:vAlign w:val="center"/>
            <w:hideMark/>
          </w:tcPr>
          <w:p w14:paraId="494BA065"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6. Accept teams and conduct competition draws</w:t>
            </w:r>
          </w:p>
        </w:tc>
        <w:tc>
          <w:tcPr>
            <w:tcW w:w="0" w:type="auto"/>
            <w:vAlign w:val="center"/>
            <w:hideMark/>
          </w:tcPr>
          <w:p w14:paraId="75553148"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Use office tools and random.org for draw process</w:t>
            </w:r>
          </w:p>
        </w:tc>
        <w:tc>
          <w:tcPr>
            <w:tcW w:w="0" w:type="auto"/>
            <w:vAlign w:val="center"/>
            <w:hideMark/>
          </w:tcPr>
          <w:p w14:paraId="60509B41"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8.75</w:t>
            </w:r>
          </w:p>
        </w:tc>
      </w:tr>
      <w:tr w:rsidR="00644CB1" w:rsidRPr="0014087A" w14:paraId="4A15DB2B" w14:textId="77777777" w:rsidTr="000173AD">
        <w:trPr>
          <w:tblCellSpacing w:w="15" w:type="dxa"/>
        </w:trPr>
        <w:tc>
          <w:tcPr>
            <w:tcW w:w="0" w:type="auto"/>
            <w:vAlign w:val="center"/>
            <w:hideMark/>
          </w:tcPr>
          <w:p w14:paraId="14CEB24C" w14:textId="77777777" w:rsidR="002B03BD" w:rsidRPr="0014087A" w:rsidRDefault="002B03BD" w:rsidP="000173AD">
            <w:pPr>
              <w:rPr>
                <w:rFonts w:ascii="Arial" w:hAnsi="Arial" w:cs="Arial"/>
                <w:color w:val="0D0D0D" w:themeColor="text1" w:themeTint="F2"/>
                <w:sz w:val="16"/>
                <w:szCs w:val="16"/>
              </w:rPr>
            </w:pPr>
          </w:p>
        </w:tc>
        <w:tc>
          <w:tcPr>
            <w:tcW w:w="0" w:type="auto"/>
            <w:vAlign w:val="center"/>
            <w:hideMark/>
          </w:tcPr>
          <w:p w14:paraId="589AC4D5"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7. Group teams and create a competition schedule</w:t>
            </w:r>
          </w:p>
        </w:tc>
        <w:tc>
          <w:tcPr>
            <w:tcW w:w="0" w:type="auto"/>
            <w:vAlign w:val="center"/>
            <w:hideMark/>
          </w:tcPr>
          <w:p w14:paraId="447DF433"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Create schedules using Word/Excel</w:t>
            </w:r>
          </w:p>
        </w:tc>
        <w:tc>
          <w:tcPr>
            <w:tcW w:w="0" w:type="auto"/>
            <w:vAlign w:val="center"/>
            <w:hideMark/>
          </w:tcPr>
          <w:p w14:paraId="2F0E13AF"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8.80</w:t>
            </w:r>
          </w:p>
        </w:tc>
      </w:tr>
      <w:tr w:rsidR="00644CB1" w:rsidRPr="0014087A" w14:paraId="4713B0B1" w14:textId="77777777" w:rsidTr="000173AD">
        <w:trPr>
          <w:tblCellSpacing w:w="15" w:type="dxa"/>
        </w:trPr>
        <w:tc>
          <w:tcPr>
            <w:tcW w:w="0" w:type="auto"/>
            <w:vAlign w:val="center"/>
            <w:hideMark/>
          </w:tcPr>
          <w:p w14:paraId="4385DC1C" w14:textId="77777777" w:rsidR="002B03BD" w:rsidRPr="0014087A" w:rsidRDefault="002B03BD" w:rsidP="000173AD">
            <w:pPr>
              <w:rPr>
                <w:rFonts w:ascii="Arial" w:hAnsi="Arial" w:cs="Arial"/>
                <w:color w:val="0D0D0D" w:themeColor="text1" w:themeTint="F2"/>
                <w:sz w:val="16"/>
                <w:szCs w:val="16"/>
              </w:rPr>
            </w:pPr>
          </w:p>
        </w:tc>
        <w:tc>
          <w:tcPr>
            <w:tcW w:w="0" w:type="auto"/>
            <w:vAlign w:val="center"/>
            <w:hideMark/>
          </w:tcPr>
          <w:p w14:paraId="0159EFB3"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8. Communicate with team managers</w:t>
            </w:r>
          </w:p>
        </w:tc>
        <w:tc>
          <w:tcPr>
            <w:tcW w:w="0" w:type="auto"/>
            <w:vAlign w:val="center"/>
            <w:hideMark/>
          </w:tcPr>
          <w:p w14:paraId="724D4B1D"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Develop verbal and written communication skills</w:t>
            </w:r>
          </w:p>
        </w:tc>
        <w:tc>
          <w:tcPr>
            <w:tcW w:w="0" w:type="auto"/>
            <w:vAlign w:val="center"/>
            <w:hideMark/>
          </w:tcPr>
          <w:p w14:paraId="1A47945F"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8.75</w:t>
            </w:r>
          </w:p>
        </w:tc>
      </w:tr>
      <w:tr w:rsidR="00644CB1" w:rsidRPr="0014087A" w14:paraId="4429E258" w14:textId="77777777" w:rsidTr="000173AD">
        <w:trPr>
          <w:tblCellSpacing w:w="15" w:type="dxa"/>
        </w:trPr>
        <w:tc>
          <w:tcPr>
            <w:tcW w:w="0" w:type="auto"/>
            <w:vAlign w:val="center"/>
            <w:hideMark/>
          </w:tcPr>
          <w:p w14:paraId="596E4845" w14:textId="77777777" w:rsidR="002B03BD" w:rsidRPr="0014087A" w:rsidRDefault="002B03BD" w:rsidP="000173AD">
            <w:pPr>
              <w:rPr>
                <w:rFonts w:ascii="Arial" w:hAnsi="Arial" w:cs="Arial"/>
                <w:color w:val="0D0D0D" w:themeColor="text1" w:themeTint="F2"/>
                <w:sz w:val="16"/>
                <w:szCs w:val="16"/>
              </w:rPr>
            </w:pPr>
          </w:p>
        </w:tc>
        <w:tc>
          <w:tcPr>
            <w:tcW w:w="0" w:type="auto"/>
            <w:vAlign w:val="center"/>
            <w:hideMark/>
          </w:tcPr>
          <w:p w14:paraId="76D77453"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9. Execute technical meeting (VIFT)</w:t>
            </w:r>
          </w:p>
        </w:tc>
        <w:tc>
          <w:tcPr>
            <w:tcW w:w="0" w:type="auto"/>
            <w:vAlign w:val="center"/>
            <w:hideMark/>
          </w:tcPr>
          <w:p w14:paraId="42969E9F"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Practice public speaking and information delivery</w:t>
            </w:r>
          </w:p>
        </w:tc>
        <w:tc>
          <w:tcPr>
            <w:tcW w:w="0" w:type="auto"/>
            <w:vAlign w:val="center"/>
            <w:hideMark/>
          </w:tcPr>
          <w:p w14:paraId="27500704"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8.90</w:t>
            </w:r>
          </w:p>
        </w:tc>
      </w:tr>
      <w:tr w:rsidR="00644CB1" w:rsidRPr="0014087A" w14:paraId="33F5F856" w14:textId="77777777" w:rsidTr="000173AD">
        <w:trPr>
          <w:tblCellSpacing w:w="15" w:type="dxa"/>
        </w:trPr>
        <w:tc>
          <w:tcPr>
            <w:tcW w:w="0" w:type="auto"/>
            <w:vAlign w:val="center"/>
            <w:hideMark/>
          </w:tcPr>
          <w:p w14:paraId="15DD2529" w14:textId="77777777" w:rsidR="002B03BD" w:rsidRPr="0014087A" w:rsidRDefault="002B03BD" w:rsidP="000173AD">
            <w:pPr>
              <w:rPr>
                <w:rFonts w:ascii="Arial" w:hAnsi="Arial" w:cs="Arial"/>
                <w:color w:val="0D0D0D" w:themeColor="text1" w:themeTint="F2"/>
                <w:sz w:val="16"/>
                <w:szCs w:val="16"/>
              </w:rPr>
            </w:pPr>
          </w:p>
        </w:tc>
        <w:tc>
          <w:tcPr>
            <w:tcW w:w="0" w:type="auto"/>
            <w:vAlign w:val="center"/>
            <w:hideMark/>
          </w:tcPr>
          <w:p w14:paraId="5FE74B8B"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10. Develop the VIFT website</w:t>
            </w:r>
          </w:p>
        </w:tc>
        <w:tc>
          <w:tcPr>
            <w:tcW w:w="0" w:type="auto"/>
            <w:vAlign w:val="center"/>
            <w:hideMark/>
          </w:tcPr>
          <w:p w14:paraId="4749EF6F"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Design and publish websites using open platforms</w:t>
            </w:r>
          </w:p>
        </w:tc>
        <w:tc>
          <w:tcPr>
            <w:tcW w:w="0" w:type="auto"/>
            <w:vAlign w:val="center"/>
            <w:hideMark/>
          </w:tcPr>
          <w:p w14:paraId="7A734A4A"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8.74</w:t>
            </w:r>
          </w:p>
        </w:tc>
      </w:tr>
      <w:tr w:rsidR="00644CB1" w:rsidRPr="0014087A" w14:paraId="3095F0AD" w14:textId="77777777" w:rsidTr="000173AD">
        <w:trPr>
          <w:tblCellSpacing w:w="15" w:type="dxa"/>
        </w:trPr>
        <w:tc>
          <w:tcPr>
            <w:tcW w:w="0" w:type="auto"/>
            <w:vAlign w:val="center"/>
            <w:hideMark/>
          </w:tcPr>
          <w:p w14:paraId="7E44D407" w14:textId="77777777" w:rsidR="002B03BD" w:rsidRPr="0014087A" w:rsidRDefault="002B03BD" w:rsidP="000173AD">
            <w:pPr>
              <w:rPr>
                <w:rFonts w:ascii="Arial" w:hAnsi="Arial" w:cs="Arial"/>
                <w:color w:val="0D0D0D" w:themeColor="text1" w:themeTint="F2"/>
                <w:sz w:val="16"/>
                <w:szCs w:val="16"/>
              </w:rPr>
            </w:pPr>
          </w:p>
        </w:tc>
        <w:tc>
          <w:tcPr>
            <w:tcW w:w="0" w:type="auto"/>
            <w:vAlign w:val="center"/>
            <w:hideMark/>
          </w:tcPr>
          <w:p w14:paraId="31871A1D"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11. Prepare sponsorship proposals</w:t>
            </w:r>
          </w:p>
        </w:tc>
        <w:tc>
          <w:tcPr>
            <w:tcW w:w="0" w:type="auto"/>
            <w:vAlign w:val="center"/>
            <w:hideMark/>
          </w:tcPr>
          <w:p w14:paraId="270190E5"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Understand sponsorship planning processes</w:t>
            </w:r>
          </w:p>
        </w:tc>
        <w:tc>
          <w:tcPr>
            <w:tcW w:w="0" w:type="auto"/>
            <w:vAlign w:val="center"/>
            <w:hideMark/>
          </w:tcPr>
          <w:p w14:paraId="02206A2D"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8.34</w:t>
            </w:r>
          </w:p>
        </w:tc>
      </w:tr>
      <w:tr w:rsidR="00644CB1" w:rsidRPr="0014087A" w14:paraId="5AD74FD2" w14:textId="77777777" w:rsidTr="000173AD">
        <w:trPr>
          <w:tblCellSpacing w:w="15" w:type="dxa"/>
        </w:trPr>
        <w:tc>
          <w:tcPr>
            <w:tcW w:w="0" w:type="auto"/>
            <w:vAlign w:val="center"/>
            <w:hideMark/>
          </w:tcPr>
          <w:p w14:paraId="033EFCC3"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Implementation</w:t>
            </w:r>
          </w:p>
        </w:tc>
        <w:tc>
          <w:tcPr>
            <w:tcW w:w="0" w:type="auto"/>
            <w:vAlign w:val="center"/>
            <w:hideMark/>
          </w:tcPr>
          <w:p w14:paraId="22737C24"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12. Run VIFT – problem solving</w:t>
            </w:r>
          </w:p>
        </w:tc>
        <w:tc>
          <w:tcPr>
            <w:tcW w:w="0" w:type="auto"/>
            <w:vAlign w:val="center"/>
            <w:hideMark/>
          </w:tcPr>
          <w:p w14:paraId="436E2681"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Apply problem-solving during live event operations</w:t>
            </w:r>
          </w:p>
        </w:tc>
        <w:tc>
          <w:tcPr>
            <w:tcW w:w="0" w:type="auto"/>
            <w:vAlign w:val="center"/>
            <w:hideMark/>
          </w:tcPr>
          <w:p w14:paraId="73C800E5"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8.97</w:t>
            </w:r>
          </w:p>
        </w:tc>
      </w:tr>
      <w:tr w:rsidR="00644CB1" w:rsidRPr="0014087A" w14:paraId="2AFCAD36" w14:textId="77777777" w:rsidTr="000173AD">
        <w:trPr>
          <w:tblCellSpacing w:w="15" w:type="dxa"/>
        </w:trPr>
        <w:tc>
          <w:tcPr>
            <w:tcW w:w="0" w:type="auto"/>
            <w:vAlign w:val="center"/>
            <w:hideMark/>
          </w:tcPr>
          <w:p w14:paraId="111E043B" w14:textId="77777777" w:rsidR="002B03BD" w:rsidRPr="0014087A" w:rsidRDefault="002B03BD" w:rsidP="000173AD">
            <w:pPr>
              <w:rPr>
                <w:rFonts w:ascii="Arial" w:hAnsi="Arial" w:cs="Arial"/>
                <w:color w:val="0D0D0D" w:themeColor="text1" w:themeTint="F2"/>
                <w:sz w:val="16"/>
                <w:szCs w:val="16"/>
              </w:rPr>
            </w:pPr>
          </w:p>
        </w:tc>
        <w:tc>
          <w:tcPr>
            <w:tcW w:w="0" w:type="auto"/>
            <w:vAlign w:val="center"/>
            <w:hideMark/>
          </w:tcPr>
          <w:p w14:paraId="47951636"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13. Run VIFT – decision making</w:t>
            </w:r>
          </w:p>
        </w:tc>
        <w:tc>
          <w:tcPr>
            <w:tcW w:w="0" w:type="auto"/>
            <w:vAlign w:val="center"/>
            <w:hideMark/>
          </w:tcPr>
          <w:p w14:paraId="3D81FA19"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Develop critical decision-making abilities</w:t>
            </w:r>
          </w:p>
        </w:tc>
        <w:tc>
          <w:tcPr>
            <w:tcW w:w="0" w:type="auto"/>
            <w:vAlign w:val="center"/>
            <w:hideMark/>
          </w:tcPr>
          <w:p w14:paraId="3E645AD0"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9.13</w:t>
            </w:r>
          </w:p>
        </w:tc>
      </w:tr>
      <w:tr w:rsidR="00644CB1" w:rsidRPr="0014087A" w14:paraId="18AFD816" w14:textId="77777777" w:rsidTr="000173AD">
        <w:trPr>
          <w:tblCellSpacing w:w="15" w:type="dxa"/>
        </w:trPr>
        <w:tc>
          <w:tcPr>
            <w:tcW w:w="0" w:type="auto"/>
            <w:vAlign w:val="center"/>
            <w:hideMark/>
          </w:tcPr>
          <w:p w14:paraId="3A8DCDAE" w14:textId="77777777" w:rsidR="002B03BD" w:rsidRPr="0014087A" w:rsidRDefault="002B03BD" w:rsidP="000173AD">
            <w:pPr>
              <w:rPr>
                <w:rFonts w:ascii="Arial" w:hAnsi="Arial" w:cs="Arial"/>
                <w:color w:val="0D0D0D" w:themeColor="text1" w:themeTint="F2"/>
                <w:sz w:val="16"/>
                <w:szCs w:val="16"/>
              </w:rPr>
            </w:pPr>
          </w:p>
        </w:tc>
        <w:tc>
          <w:tcPr>
            <w:tcW w:w="0" w:type="auto"/>
            <w:vAlign w:val="center"/>
            <w:hideMark/>
          </w:tcPr>
          <w:p w14:paraId="6D18569D"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14. Update scoreboard</w:t>
            </w:r>
          </w:p>
        </w:tc>
        <w:tc>
          <w:tcPr>
            <w:tcW w:w="0" w:type="auto"/>
            <w:vAlign w:val="center"/>
            <w:hideMark/>
          </w:tcPr>
          <w:p w14:paraId="59BFAD09"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Learn scoreboard management using Word/Excel</w:t>
            </w:r>
          </w:p>
        </w:tc>
        <w:tc>
          <w:tcPr>
            <w:tcW w:w="0" w:type="auto"/>
            <w:vAlign w:val="center"/>
            <w:hideMark/>
          </w:tcPr>
          <w:p w14:paraId="295E109B"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9.15</w:t>
            </w:r>
          </w:p>
        </w:tc>
      </w:tr>
      <w:tr w:rsidR="00644CB1" w:rsidRPr="0014087A" w14:paraId="13420066" w14:textId="77777777" w:rsidTr="000173AD">
        <w:trPr>
          <w:tblCellSpacing w:w="15" w:type="dxa"/>
        </w:trPr>
        <w:tc>
          <w:tcPr>
            <w:tcW w:w="0" w:type="auto"/>
            <w:vAlign w:val="center"/>
            <w:hideMark/>
          </w:tcPr>
          <w:p w14:paraId="2D018C4D" w14:textId="77777777" w:rsidR="002B03BD" w:rsidRPr="0014087A" w:rsidRDefault="002B03BD" w:rsidP="000173AD">
            <w:pPr>
              <w:rPr>
                <w:rFonts w:ascii="Arial" w:hAnsi="Arial" w:cs="Arial"/>
                <w:color w:val="0D0D0D" w:themeColor="text1" w:themeTint="F2"/>
                <w:sz w:val="16"/>
                <w:szCs w:val="16"/>
              </w:rPr>
            </w:pPr>
          </w:p>
        </w:tc>
        <w:tc>
          <w:tcPr>
            <w:tcW w:w="0" w:type="auto"/>
            <w:vAlign w:val="center"/>
            <w:hideMark/>
          </w:tcPr>
          <w:p w14:paraId="2F702450"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15. Declare promoting teams</w:t>
            </w:r>
          </w:p>
        </w:tc>
        <w:tc>
          <w:tcPr>
            <w:tcW w:w="0" w:type="auto"/>
            <w:vAlign w:val="center"/>
            <w:hideMark/>
          </w:tcPr>
          <w:p w14:paraId="7C2DEFB2"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Apply competition rules and scoreboard logic</w:t>
            </w:r>
          </w:p>
        </w:tc>
        <w:tc>
          <w:tcPr>
            <w:tcW w:w="0" w:type="auto"/>
            <w:vAlign w:val="center"/>
            <w:hideMark/>
          </w:tcPr>
          <w:p w14:paraId="09516951"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9.15</w:t>
            </w:r>
          </w:p>
        </w:tc>
      </w:tr>
      <w:tr w:rsidR="00644CB1" w:rsidRPr="0014087A" w14:paraId="7C697C51" w14:textId="77777777" w:rsidTr="000173AD">
        <w:trPr>
          <w:tblCellSpacing w:w="15" w:type="dxa"/>
        </w:trPr>
        <w:tc>
          <w:tcPr>
            <w:tcW w:w="0" w:type="auto"/>
            <w:vAlign w:val="center"/>
            <w:hideMark/>
          </w:tcPr>
          <w:p w14:paraId="661616D4" w14:textId="77777777" w:rsidR="002B03BD" w:rsidRPr="0014087A" w:rsidRDefault="002B03BD" w:rsidP="000173AD">
            <w:pPr>
              <w:rPr>
                <w:rFonts w:ascii="Arial" w:hAnsi="Arial" w:cs="Arial"/>
                <w:color w:val="0D0D0D" w:themeColor="text1" w:themeTint="F2"/>
                <w:sz w:val="16"/>
                <w:szCs w:val="16"/>
              </w:rPr>
            </w:pPr>
          </w:p>
        </w:tc>
        <w:tc>
          <w:tcPr>
            <w:tcW w:w="0" w:type="auto"/>
            <w:vAlign w:val="center"/>
            <w:hideMark/>
          </w:tcPr>
          <w:p w14:paraId="7876B1AE"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16. Maintain VIFT website</w:t>
            </w:r>
          </w:p>
        </w:tc>
        <w:tc>
          <w:tcPr>
            <w:tcW w:w="0" w:type="auto"/>
            <w:vAlign w:val="center"/>
            <w:hideMark/>
          </w:tcPr>
          <w:p w14:paraId="7C8B6B46"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Gain skills in website administration</w:t>
            </w:r>
          </w:p>
        </w:tc>
        <w:tc>
          <w:tcPr>
            <w:tcW w:w="0" w:type="auto"/>
            <w:vAlign w:val="center"/>
            <w:hideMark/>
          </w:tcPr>
          <w:p w14:paraId="0B9F616E"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8.84</w:t>
            </w:r>
          </w:p>
        </w:tc>
      </w:tr>
      <w:tr w:rsidR="00644CB1" w:rsidRPr="0014087A" w14:paraId="04460B4F" w14:textId="77777777" w:rsidTr="000173AD">
        <w:trPr>
          <w:tblCellSpacing w:w="15" w:type="dxa"/>
        </w:trPr>
        <w:tc>
          <w:tcPr>
            <w:tcW w:w="0" w:type="auto"/>
            <w:vAlign w:val="center"/>
            <w:hideMark/>
          </w:tcPr>
          <w:p w14:paraId="75D33AF0" w14:textId="77777777" w:rsidR="002B03BD" w:rsidRPr="0014087A" w:rsidRDefault="002B03BD" w:rsidP="000173AD">
            <w:pPr>
              <w:rPr>
                <w:rFonts w:ascii="Arial" w:hAnsi="Arial" w:cs="Arial"/>
                <w:color w:val="0D0D0D" w:themeColor="text1" w:themeTint="F2"/>
                <w:sz w:val="16"/>
                <w:szCs w:val="16"/>
              </w:rPr>
            </w:pPr>
          </w:p>
        </w:tc>
        <w:tc>
          <w:tcPr>
            <w:tcW w:w="0" w:type="auto"/>
            <w:vAlign w:val="center"/>
            <w:hideMark/>
          </w:tcPr>
          <w:p w14:paraId="438911C8"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17. Implement sponsorship program</w:t>
            </w:r>
          </w:p>
        </w:tc>
        <w:tc>
          <w:tcPr>
            <w:tcW w:w="0" w:type="auto"/>
            <w:vAlign w:val="center"/>
            <w:hideMark/>
          </w:tcPr>
          <w:p w14:paraId="7C7C0496"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Learn sales, negotiation, and event closing</w:t>
            </w:r>
          </w:p>
        </w:tc>
        <w:tc>
          <w:tcPr>
            <w:tcW w:w="0" w:type="auto"/>
            <w:vAlign w:val="center"/>
            <w:hideMark/>
          </w:tcPr>
          <w:p w14:paraId="3CC8F404"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8.24</w:t>
            </w:r>
          </w:p>
        </w:tc>
      </w:tr>
      <w:tr w:rsidR="002B03BD" w:rsidRPr="0014087A" w14:paraId="6B6AC868" w14:textId="77777777" w:rsidTr="00A83CE7">
        <w:trPr>
          <w:tblCellSpacing w:w="15" w:type="dxa"/>
        </w:trPr>
        <w:tc>
          <w:tcPr>
            <w:tcW w:w="0" w:type="auto"/>
            <w:tcBorders>
              <w:bottom w:val="single" w:sz="4" w:space="0" w:color="auto"/>
            </w:tcBorders>
            <w:vAlign w:val="center"/>
            <w:hideMark/>
          </w:tcPr>
          <w:p w14:paraId="0E2C7E9D"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Evaluation</w:t>
            </w:r>
          </w:p>
        </w:tc>
        <w:tc>
          <w:tcPr>
            <w:tcW w:w="0" w:type="auto"/>
            <w:tcBorders>
              <w:bottom w:val="single" w:sz="4" w:space="0" w:color="auto"/>
            </w:tcBorders>
            <w:vAlign w:val="center"/>
            <w:hideMark/>
          </w:tcPr>
          <w:p w14:paraId="5C020741" w14:textId="77777777" w:rsidR="002B03BD" w:rsidRPr="0014087A" w:rsidRDefault="002B03BD" w:rsidP="000173AD">
            <w:pPr>
              <w:rPr>
                <w:rFonts w:ascii="Arial" w:hAnsi="Arial" w:cs="Arial"/>
                <w:color w:val="0D0D0D" w:themeColor="text1" w:themeTint="F2"/>
                <w:sz w:val="16"/>
                <w:szCs w:val="16"/>
              </w:rPr>
            </w:pPr>
            <w:r w:rsidRPr="0014087A">
              <w:rPr>
                <w:rFonts w:ascii="Arial" w:hAnsi="Arial" w:cs="Arial"/>
                <w:color w:val="0D0D0D" w:themeColor="text1" w:themeTint="F2"/>
                <w:sz w:val="16"/>
                <w:szCs w:val="16"/>
              </w:rPr>
              <w:t>18. Evaluate the VIFT</w:t>
            </w:r>
          </w:p>
        </w:tc>
        <w:tc>
          <w:tcPr>
            <w:tcW w:w="0" w:type="auto"/>
            <w:tcBorders>
              <w:bottom w:val="single" w:sz="4" w:space="0" w:color="auto"/>
            </w:tcBorders>
            <w:vAlign w:val="center"/>
            <w:hideMark/>
          </w:tcPr>
          <w:p w14:paraId="54DD279F" w14:textId="77777777" w:rsidR="002B03BD" w:rsidRPr="0014087A" w:rsidRDefault="002B03BD" w:rsidP="000173AD">
            <w:pPr>
              <w:rPr>
                <w:rFonts w:ascii="Arial" w:hAnsi="Arial" w:cs="Arial"/>
                <w:color w:val="0D0D0D" w:themeColor="text1" w:themeTint="F2"/>
                <w:sz w:val="16"/>
                <w:szCs w:val="16"/>
                <w:lang w:val="en-US"/>
              </w:rPr>
            </w:pPr>
            <w:r w:rsidRPr="0014087A">
              <w:rPr>
                <w:rFonts w:ascii="Arial" w:hAnsi="Arial" w:cs="Arial"/>
                <w:color w:val="0D0D0D" w:themeColor="text1" w:themeTint="F2"/>
                <w:sz w:val="16"/>
                <w:szCs w:val="16"/>
                <w:lang w:val="en-US"/>
              </w:rPr>
              <w:t>Learn event evaluation, issue analysis, solution proposals</w:t>
            </w:r>
          </w:p>
        </w:tc>
        <w:tc>
          <w:tcPr>
            <w:tcW w:w="0" w:type="auto"/>
            <w:tcBorders>
              <w:bottom w:val="single" w:sz="4" w:space="0" w:color="auto"/>
            </w:tcBorders>
            <w:vAlign w:val="center"/>
            <w:hideMark/>
          </w:tcPr>
          <w:p w14:paraId="4345E4E4" w14:textId="77777777" w:rsidR="002B03BD" w:rsidRPr="0014087A" w:rsidRDefault="002B03BD" w:rsidP="000173AD">
            <w:pPr>
              <w:jc w:val="center"/>
              <w:rPr>
                <w:rFonts w:ascii="Arial" w:hAnsi="Arial" w:cs="Arial"/>
                <w:color w:val="0D0D0D" w:themeColor="text1" w:themeTint="F2"/>
                <w:sz w:val="16"/>
                <w:szCs w:val="16"/>
              </w:rPr>
            </w:pPr>
            <w:r w:rsidRPr="0014087A">
              <w:rPr>
                <w:rFonts w:ascii="Arial" w:hAnsi="Arial" w:cs="Arial"/>
                <w:color w:val="0D0D0D" w:themeColor="text1" w:themeTint="F2"/>
                <w:sz w:val="16"/>
                <w:szCs w:val="16"/>
              </w:rPr>
              <w:t>9.07</w:t>
            </w:r>
          </w:p>
        </w:tc>
      </w:tr>
    </w:tbl>
    <w:p w14:paraId="42A979E5" w14:textId="77777777" w:rsidR="002B03BD" w:rsidRPr="00644CB1" w:rsidRDefault="002B03BD" w:rsidP="00543A46">
      <w:pPr>
        <w:tabs>
          <w:tab w:val="left" w:pos="851"/>
        </w:tabs>
        <w:spacing w:after="120" w:line="240" w:lineRule="auto"/>
        <w:rPr>
          <w:rFonts w:ascii="Arial" w:hAnsi="Arial" w:cs="Arial"/>
          <w:b/>
          <w:bCs/>
          <w:color w:val="0D0D0D" w:themeColor="text1" w:themeTint="F2"/>
          <w:sz w:val="18"/>
          <w:szCs w:val="18"/>
        </w:rPr>
      </w:pPr>
    </w:p>
    <w:p w14:paraId="1EAFE39F" w14:textId="32A9060B" w:rsidR="002329FC" w:rsidRPr="00644CB1" w:rsidRDefault="002329FC" w:rsidP="00543A46">
      <w:pPr>
        <w:tabs>
          <w:tab w:val="left" w:pos="851"/>
        </w:tabs>
        <w:spacing w:after="120" w:line="240" w:lineRule="auto"/>
        <w:rPr>
          <w:rFonts w:ascii="Arial" w:hAnsi="Arial" w:cs="Arial"/>
          <w:color w:val="0D0D0D" w:themeColor="text1" w:themeTint="F2"/>
          <w:sz w:val="18"/>
          <w:szCs w:val="18"/>
        </w:rPr>
      </w:pPr>
      <w:r w:rsidRPr="00644CB1">
        <w:rPr>
          <w:rFonts w:ascii="Arial" w:hAnsi="Arial" w:cs="Arial"/>
          <w:b/>
          <w:bCs/>
          <w:color w:val="0D0D0D" w:themeColor="text1" w:themeTint="F2"/>
          <w:sz w:val="18"/>
          <w:szCs w:val="18"/>
          <w:lang w:val="en-US"/>
        </w:rPr>
        <w:t>Table 3:</w:t>
      </w:r>
      <w:r w:rsidRPr="00644CB1">
        <w:rPr>
          <w:rFonts w:ascii="Arial" w:hAnsi="Arial" w:cs="Arial"/>
          <w:color w:val="0D0D0D" w:themeColor="text1" w:themeTint="F2"/>
          <w:sz w:val="18"/>
          <w:szCs w:val="18"/>
          <w:lang w:val="en-US"/>
        </w:rPr>
        <w:t xml:space="preserve"> </w:t>
      </w:r>
      <w:r w:rsidR="00A930B7" w:rsidRPr="00644CB1">
        <w:rPr>
          <w:rFonts w:ascii="Arial" w:hAnsi="Arial" w:cs="Arial"/>
          <w:color w:val="0D0D0D" w:themeColor="text1" w:themeTint="F2"/>
          <w:sz w:val="18"/>
          <w:szCs w:val="18"/>
          <w:lang w:val="en-US"/>
        </w:rPr>
        <w:t xml:space="preserve">Written test: </w:t>
      </w:r>
      <w:r w:rsidR="00094DB9" w:rsidRPr="00644CB1">
        <w:rPr>
          <w:rFonts w:ascii="Arial" w:hAnsi="Arial" w:cs="Arial"/>
          <w:color w:val="0D0D0D" w:themeColor="text1" w:themeTint="F2"/>
          <w:sz w:val="18"/>
          <w:szCs w:val="18"/>
          <w:lang w:val="en-US"/>
        </w:rPr>
        <w:t>T</w:t>
      </w:r>
      <w:r w:rsidRPr="00644CB1">
        <w:rPr>
          <w:rFonts w:ascii="Arial" w:hAnsi="Arial" w:cs="Arial"/>
          <w:color w:val="0D0D0D" w:themeColor="text1" w:themeTint="F2"/>
          <w:sz w:val="18"/>
          <w:szCs w:val="18"/>
          <w:lang w:val="en-US"/>
        </w:rPr>
        <w:t>heoretical knowledge o</w:t>
      </w:r>
      <w:r w:rsidR="00094DB9" w:rsidRPr="00644CB1">
        <w:rPr>
          <w:rFonts w:ascii="Arial" w:hAnsi="Arial" w:cs="Arial"/>
          <w:color w:val="0D0D0D" w:themeColor="text1" w:themeTint="F2"/>
          <w:sz w:val="18"/>
          <w:szCs w:val="18"/>
          <w:lang w:val="en-US"/>
        </w:rPr>
        <w:t>n</w:t>
      </w:r>
      <w:r w:rsidRPr="00644CB1">
        <w:rPr>
          <w:rFonts w:ascii="Arial" w:hAnsi="Arial" w:cs="Arial"/>
          <w:color w:val="0D0D0D" w:themeColor="text1" w:themeTint="F2"/>
          <w:sz w:val="18"/>
          <w:szCs w:val="18"/>
          <w:lang w:val="en-US"/>
        </w:rPr>
        <w:t xml:space="preserve"> sport event management by gender and prior experience </w:t>
      </w:r>
    </w:p>
    <w:tbl>
      <w:tblPr>
        <w:tblW w:w="8550" w:type="dxa"/>
        <w:tblLayout w:type="fixed"/>
        <w:tblLook w:val="0600" w:firstRow="0" w:lastRow="0" w:firstColumn="0" w:lastColumn="0" w:noHBand="1" w:noVBand="1"/>
      </w:tblPr>
      <w:tblGrid>
        <w:gridCol w:w="2552"/>
        <w:gridCol w:w="1588"/>
        <w:gridCol w:w="1341"/>
        <w:gridCol w:w="1449"/>
        <w:gridCol w:w="1620"/>
      </w:tblGrid>
      <w:tr w:rsidR="00644CB1" w:rsidRPr="00D974E0" w14:paraId="46103CDD" w14:textId="77777777" w:rsidTr="00B06B47">
        <w:trPr>
          <w:trHeight w:val="360"/>
        </w:trPr>
        <w:tc>
          <w:tcPr>
            <w:tcW w:w="2552" w:type="dxa"/>
            <w:tcBorders>
              <w:top w:val="single" w:sz="4" w:space="0" w:color="auto"/>
              <w:bottom w:val="single" w:sz="4" w:space="0" w:color="auto"/>
            </w:tcBorders>
            <w:tcMar>
              <w:top w:w="100" w:type="dxa"/>
              <w:left w:w="100" w:type="dxa"/>
              <w:bottom w:w="100" w:type="dxa"/>
              <w:right w:w="100" w:type="dxa"/>
            </w:tcMar>
          </w:tcPr>
          <w:p w14:paraId="5CBC110B" w14:textId="186CBEAF" w:rsidR="002329FC" w:rsidRPr="00D974E0" w:rsidRDefault="002B03BD">
            <w:pPr>
              <w:pStyle w:val="TableText"/>
              <w:rPr>
                <w:color w:val="0D0D0D" w:themeColor="text1" w:themeTint="F2"/>
              </w:rPr>
            </w:pPr>
            <w:r w:rsidRPr="00D974E0">
              <w:rPr>
                <w:color w:val="0D0D0D" w:themeColor="text1" w:themeTint="F2"/>
              </w:rPr>
              <w:t>Category</w:t>
            </w:r>
          </w:p>
        </w:tc>
        <w:tc>
          <w:tcPr>
            <w:tcW w:w="1588" w:type="dxa"/>
            <w:tcBorders>
              <w:top w:val="single" w:sz="4" w:space="0" w:color="auto"/>
              <w:bottom w:val="single" w:sz="4" w:space="0" w:color="auto"/>
            </w:tcBorders>
            <w:tcMar>
              <w:top w:w="100" w:type="dxa"/>
              <w:left w:w="100" w:type="dxa"/>
              <w:bottom w:w="100" w:type="dxa"/>
              <w:right w:w="100" w:type="dxa"/>
            </w:tcMar>
          </w:tcPr>
          <w:p w14:paraId="35E6BB5F" w14:textId="77777777" w:rsidR="002329FC" w:rsidRPr="00D974E0" w:rsidRDefault="002329FC">
            <w:pPr>
              <w:pStyle w:val="TableText"/>
              <w:rPr>
                <w:color w:val="0D0D0D" w:themeColor="text1" w:themeTint="F2"/>
              </w:rPr>
            </w:pPr>
            <w:r w:rsidRPr="00D974E0">
              <w:rPr>
                <w:color w:val="0D0D0D" w:themeColor="text1" w:themeTint="F2"/>
              </w:rPr>
              <w:t>Mean score (range 0-10)</w:t>
            </w:r>
          </w:p>
        </w:tc>
        <w:tc>
          <w:tcPr>
            <w:tcW w:w="1341" w:type="dxa"/>
            <w:tcBorders>
              <w:top w:val="single" w:sz="4" w:space="0" w:color="auto"/>
              <w:bottom w:val="single" w:sz="4" w:space="0" w:color="auto"/>
            </w:tcBorders>
            <w:tcMar>
              <w:top w:w="100" w:type="dxa"/>
              <w:left w:w="100" w:type="dxa"/>
              <w:bottom w:w="100" w:type="dxa"/>
              <w:right w:w="100" w:type="dxa"/>
            </w:tcMar>
          </w:tcPr>
          <w:p w14:paraId="6FAF0652" w14:textId="77777777" w:rsidR="002329FC" w:rsidRPr="00D974E0" w:rsidRDefault="002329FC">
            <w:pPr>
              <w:pStyle w:val="TableText"/>
              <w:rPr>
                <w:color w:val="0D0D0D" w:themeColor="text1" w:themeTint="F2"/>
              </w:rPr>
            </w:pPr>
            <w:r w:rsidRPr="00D974E0">
              <w:rPr>
                <w:color w:val="0D0D0D" w:themeColor="text1" w:themeTint="F2"/>
              </w:rPr>
              <w:t>Standard</w:t>
            </w:r>
          </w:p>
          <w:p w14:paraId="28927DB0" w14:textId="77777777" w:rsidR="002329FC" w:rsidRPr="00D974E0" w:rsidRDefault="002329FC">
            <w:pPr>
              <w:pStyle w:val="TableText"/>
              <w:rPr>
                <w:color w:val="0D0D0D" w:themeColor="text1" w:themeTint="F2"/>
              </w:rPr>
            </w:pPr>
            <w:r w:rsidRPr="00D974E0">
              <w:rPr>
                <w:color w:val="0D0D0D" w:themeColor="text1" w:themeTint="F2"/>
              </w:rPr>
              <w:t>deviation</w:t>
            </w:r>
          </w:p>
        </w:tc>
        <w:tc>
          <w:tcPr>
            <w:tcW w:w="1449" w:type="dxa"/>
            <w:tcBorders>
              <w:top w:val="single" w:sz="4" w:space="0" w:color="auto"/>
              <w:bottom w:val="single" w:sz="4" w:space="0" w:color="auto"/>
            </w:tcBorders>
          </w:tcPr>
          <w:p w14:paraId="05A9CC09" w14:textId="4EB8869F" w:rsidR="008C58C0" w:rsidRPr="00D974E0" w:rsidRDefault="002B03BD" w:rsidP="008C58C0">
            <w:pPr>
              <w:pStyle w:val="TableText"/>
              <w:jc w:val="center"/>
              <w:rPr>
                <w:color w:val="0D0D0D" w:themeColor="text1" w:themeTint="F2"/>
              </w:rPr>
            </w:pPr>
            <w:r w:rsidRPr="00D974E0">
              <w:rPr>
                <w:color w:val="0D0D0D" w:themeColor="text1" w:themeTint="F2"/>
              </w:rPr>
              <w:t>Frequency</w:t>
            </w:r>
          </w:p>
          <w:p w14:paraId="16EC9332" w14:textId="39C6409E" w:rsidR="002329FC" w:rsidRPr="00D974E0" w:rsidRDefault="002329FC" w:rsidP="008C58C0">
            <w:pPr>
              <w:pStyle w:val="TableText"/>
              <w:jc w:val="center"/>
              <w:rPr>
                <w:color w:val="0D0D0D" w:themeColor="text1" w:themeTint="F2"/>
              </w:rPr>
            </w:pPr>
            <w:r w:rsidRPr="00D974E0">
              <w:rPr>
                <w:color w:val="0D0D0D" w:themeColor="text1" w:themeTint="F2"/>
              </w:rPr>
              <w:t>f</w:t>
            </w:r>
          </w:p>
        </w:tc>
        <w:tc>
          <w:tcPr>
            <w:tcW w:w="1620" w:type="dxa"/>
            <w:tcBorders>
              <w:top w:val="single" w:sz="4" w:space="0" w:color="auto"/>
              <w:bottom w:val="single" w:sz="4" w:space="0" w:color="auto"/>
            </w:tcBorders>
          </w:tcPr>
          <w:p w14:paraId="2BF283CF" w14:textId="181168F1" w:rsidR="008C58C0" w:rsidRPr="00D974E0" w:rsidRDefault="002B03BD" w:rsidP="008C58C0">
            <w:pPr>
              <w:pStyle w:val="TableText"/>
              <w:jc w:val="center"/>
              <w:rPr>
                <w:color w:val="0D0D0D" w:themeColor="text1" w:themeTint="F2"/>
              </w:rPr>
            </w:pPr>
            <w:r w:rsidRPr="00D974E0">
              <w:rPr>
                <w:color w:val="0D0D0D" w:themeColor="text1" w:themeTint="F2"/>
              </w:rPr>
              <w:t>Percentage</w:t>
            </w:r>
          </w:p>
          <w:p w14:paraId="0CD798DE" w14:textId="56CA5A2E" w:rsidR="002329FC" w:rsidRPr="00D974E0" w:rsidRDefault="002329FC" w:rsidP="008C58C0">
            <w:pPr>
              <w:pStyle w:val="TableText"/>
              <w:jc w:val="center"/>
              <w:rPr>
                <w:color w:val="0D0D0D" w:themeColor="text1" w:themeTint="F2"/>
              </w:rPr>
            </w:pPr>
            <w:r w:rsidRPr="00D974E0">
              <w:rPr>
                <w:color w:val="0D0D0D" w:themeColor="text1" w:themeTint="F2"/>
              </w:rPr>
              <w:t>%</w:t>
            </w:r>
          </w:p>
        </w:tc>
      </w:tr>
      <w:tr w:rsidR="00644CB1" w:rsidRPr="00D974E0" w14:paraId="6A35A5D4" w14:textId="77777777" w:rsidTr="00B06B47">
        <w:trPr>
          <w:trHeight w:val="316"/>
        </w:trPr>
        <w:tc>
          <w:tcPr>
            <w:tcW w:w="2552" w:type="dxa"/>
            <w:tcMar>
              <w:top w:w="100" w:type="dxa"/>
              <w:left w:w="100" w:type="dxa"/>
              <w:bottom w:w="100" w:type="dxa"/>
              <w:right w:w="100" w:type="dxa"/>
            </w:tcMar>
          </w:tcPr>
          <w:p w14:paraId="77FBB74F" w14:textId="77777777" w:rsidR="002329FC" w:rsidRPr="00D974E0" w:rsidRDefault="002329FC">
            <w:pPr>
              <w:pStyle w:val="TableText"/>
              <w:rPr>
                <w:color w:val="0D0D0D" w:themeColor="text1" w:themeTint="F2"/>
              </w:rPr>
            </w:pPr>
            <w:r w:rsidRPr="00D974E0">
              <w:rPr>
                <w:color w:val="0D0D0D" w:themeColor="text1" w:themeTint="F2"/>
              </w:rPr>
              <w:t>Men</w:t>
            </w:r>
          </w:p>
        </w:tc>
        <w:tc>
          <w:tcPr>
            <w:tcW w:w="1588" w:type="dxa"/>
            <w:tcMar>
              <w:top w:w="100" w:type="dxa"/>
              <w:left w:w="100" w:type="dxa"/>
              <w:bottom w:w="100" w:type="dxa"/>
              <w:right w:w="100" w:type="dxa"/>
            </w:tcMar>
          </w:tcPr>
          <w:p w14:paraId="0EB4476A" w14:textId="77777777" w:rsidR="002329FC" w:rsidRPr="00D974E0" w:rsidRDefault="002329FC">
            <w:pPr>
              <w:pStyle w:val="TableText"/>
              <w:rPr>
                <w:color w:val="0D0D0D" w:themeColor="text1" w:themeTint="F2"/>
              </w:rPr>
            </w:pPr>
            <w:r w:rsidRPr="00D974E0">
              <w:rPr>
                <w:color w:val="0D0D0D" w:themeColor="text1" w:themeTint="F2"/>
              </w:rPr>
              <w:t>5.34</w:t>
            </w:r>
          </w:p>
        </w:tc>
        <w:tc>
          <w:tcPr>
            <w:tcW w:w="1341" w:type="dxa"/>
            <w:tcMar>
              <w:top w:w="100" w:type="dxa"/>
              <w:left w:w="100" w:type="dxa"/>
              <w:bottom w:w="100" w:type="dxa"/>
              <w:right w:w="100" w:type="dxa"/>
            </w:tcMar>
          </w:tcPr>
          <w:p w14:paraId="35246EC5" w14:textId="77777777" w:rsidR="002329FC" w:rsidRPr="00D974E0" w:rsidRDefault="002329FC">
            <w:pPr>
              <w:pStyle w:val="TableText"/>
              <w:rPr>
                <w:color w:val="0D0D0D" w:themeColor="text1" w:themeTint="F2"/>
              </w:rPr>
            </w:pPr>
            <w:r w:rsidRPr="00D974E0">
              <w:rPr>
                <w:color w:val="0D0D0D" w:themeColor="text1" w:themeTint="F2"/>
              </w:rPr>
              <w:t>2.48</w:t>
            </w:r>
          </w:p>
        </w:tc>
        <w:tc>
          <w:tcPr>
            <w:tcW w:w="1449" w:type="dxa"/>
          </w:tcPr>
          <w:p w14:paraId="51BA5D6C" w14:textId="77777777" w:rsidR="002329FC" w:rsidRPr="00D974E0" w:rsidRDefault="002329FC">
            <w:pPr>
              <w:pStyle w:val="TableText"/>
              <w:rPr>
                <w:color w:val="0D0D0D" w:themeColor="text1" w:themeTint="F2"/>
              </w:rPr>
            </w:pPr>
            <w:r w:rsidRPr="00D974E0">
              <w:rPr>
                <w:color w:val="0D0D0D" w:themeColor="text1" w:themeTint="F2"/>
              </w:rPr>
              <w:t>7</w:t>
            </w:r>
          </w:p>
        </w:tc>
        <w:tc>
          <w:tcPr>
            <w:tcW w:w="1620" w:type="dxa"/>
          </w:tcPr>
          <w:p w14:paraId="759EDA9D" w14:textId="163A1F0D" w:rsidR="002329FC" w:rsidRPr="00D974E0" w:rsidRDefault="002329FC">
            <w:pPr>
              <w:pStyle w:val="TableText"/>
              <w:rPr>
                <w:color w:val="0D0D0D" w:themeColor="text1" w:themeTint="F2"/>
              </w:rPr>
            </w:pPr>
            <w:r w:rsidRPr="00D974E0">
              <w:rPr>
                <w:color w:val="0D0D0D" w:themeColor="text1" w:themeTint="F2"/>
              </w:rPr>
              <w:t>24</w:t>
            </w:r>
            <w:r w:rsidR="00722297" w:rsidRPr="00D974E0">
              <w:rPr>
                <w:color w:val="0D0D0D" w:themeColor="text1" w:themeTint="F2"/>
              </w:rPr>
              <w:t>.1</w:t>
            </w:r>
          </w:p>
        </w:tc>
      </w:tr>
      <w:tr w:rsidR="00644CB1" w:rsidRPr="00D974E0" w14:paraId="04464734" w14:textId="77777777" w:rsidTr="00B06B47">
        <w:trPr>
          <w:trHeight w:val="235"/>
        </w:trPr>
        <w:tc>
          <w:tcPr>
            <w:tcW w:w="2552" w:type="dxa"/>
            <w:tcMar>
              <w:top w:w="100" w:type="dxa"/>
              <w:left w:w="100" w:type="dxa"/>
              <w:bottom w:w="100" w:type="dxa"/>
              <w:right w:w="100" w:type="dxa"/>
            </w:tcMar>
          </w:tcPr>
          <w:p w14:paraId="2727AC54" w14:textId="2ED4E4F1" w:rsidR="002329FC" w:rsidRPr="00D974E0" w:rsidRDefault="00E84D42">
            <w:pPr>
              <w:pStyle w:val="TableText"/>
              <w:rPr>
                <w:color w:val="0D0D0D" w:themeColor="text1" w:themeTint="F2"/>
              </w:rPr>
            </w:pPr>
            <w:r w:rsidRPr="00D974E0">
              <w:rPr>
                <w:color w:val="0D0D0D" w:themeColor="text1" w:themeTint="F2"/>
              </w:rPr>
              <w:t>W</w:t>
            </w:r>
            <w:r w:rsidR="002329FC" w:rsidRPr="00D974E0">
              <w:rPr>
                <w:color w:val="0D0D0D" w:themeColor="text1" w:themeTint="F2"/>
              </w:rPr>
              <w:t>omen</w:t>
            </w:r>
          </w:p>
        </w:tc>
        <w:tc>
          <w:tcPr>
            <w:tcW w:w="1588" w:type="dxa"/>
            <w:tcMar>
              <w:top w:w="100" w:type="dxa"/>
              <w:left w:w="100" w:type="dxa"/>
              <w:bottom w:w="100" w:type="dxa"/>
              <w:right w:w="100" w:type="dxa"/>
            </w:tcMar>
          </w:tcPr>
          <w:p w14:paraId="380AE516" w14:textId="77777777" w:rsidR="002329FC" w:rsidRPr="00D974E0" w:rsidRDefault="002329FC">
            <w:pPr>
              <w:pStyle w:val="TableText"/>
              <w:rPr>
                <w:color w:val="0D0D0D" w:themeColor="text1" w:themeTint="F2"/>
              </w:rPr>
            </w:pPr>
            <w:r w:rsidRPr="00D974E0">
              <w:rPr>
                <w:color w:val="0D0D0D" w:themeColor="text1" w:themeTint="F2"/>
              </w:rPr>
              <w:t>7.01</w:t>
            </w:r>
          </w:p>
        </w:tc>
        <w:tc>
          <w:tcPr>
            <w:tcW w:w="1341" w:type="dxa"/>
            <w:tcMar>
              <w:top w:w="100" w:type="dxa"/>
              <w:left w:w="100" w:type="dxa"/>
              <w:bottom w:w="100" w:type="dxa"/>
              <w:right w:w="100" w:type="dxa"/>
            </w:tcMar>
          </w:tcPr>
          <w:p w14:paraId="15035D47" w14:textId="77777777" w:rsidR="002329FC" w:rsidRPr="00D974E0" w:rsidRDefault="002329FC">
            <w:pPr>
              <w:pStyle w:val="TableText"/>
              <w:rPr>
                <w:color w:val="0D0D0D" w:themeColor="text1" w:themeTint="F2"/>
              </w:rPr>
            </w:pPr>
            <w:r w:rsidRPr="00D974E0">
              <w:rPr>
                <w:color w:val="0D0D0D" w:themeColor="text1" w:themeTint="F2"/>
              </w:rPr>
              <w:t>2.36</w:t>
            </w:r>
          </w:p>
        </w:tc>
        <w:tc>
          <w:tcPr>
            <w:tcW w:w="1449" w:type="dxa"/>
          </w:tcPr>
          <w:p w14:paraId="3D1E2FEE" w14:textId="77777777" w:rsidR="002329FC" w:rsidRPr="00D974E0" w:rsidRDefault="002329FC">
            <w:pPr>
              <w:pStyle w:val="TableText"/>
              <w:rPr>
                <w:color w:val="0D0D0D" w:themeColor="text1" w:themeTint="F2"/>
              </w:rPr>
            </w:pPr>
            <w:r w:rsidRPr="00D974E0">
              <w:rPr>
                <w:color w:val="0D0D0D" w:themeColor="text1" w:themeTint="F2"/>
              </w:rPr>
              <w:t>22</w:t>
            </w:r>
          </w:p>
        </w:tc>
        <w:tc>
          <w:tcPr>
            <w:tcW w:w="1620" w:type="dxa"/>
          </w:tcPr>
          <w:p w14:paraId="4A218DB5" w14:textId="1F2F1EA3" w:rsidR="002329FC" w:rsidRPr="00D974E0" w:rsidRDefault="002329FC">
            <w:pPr>
              <w:pStyle w:val="TableText"/>
              <w:rPr>
                <w:color w:val="0D0D0D" w:themeColor="text1" w:themeTint="F2"/>
              </w:rPr>
            </w:pPr>
            <w:r w:rsidRPr="00D974E0">
              <w:rPr>
                <w:color w:val="0D0D0D" w:themeColor="text1" w:themeTint="F2"/>
              </w:rPr>
              <w:t>7</w:t>
            </w:r>
            <w:r w:rsidR="00722297" w:rsidRPr="00D974E0">
              <w:rPr>
                <w:color w:val="0D0D0D" w:themeColor="text1" w:themeTint="F2"/>
              </w:rPr>
              <w:t>5.9</w:t>
            </w:r>
          </w:p>
        </w:tc>
      </w:tr>
      <w:tr w:rsidR="00644CB1" w:rsidRPr="00D974E0" w14:paraId="400BE391" w14:textId="77777777" w:rsidTr="00B06B47">
        <w:tc>
          <w:tcPr>
            <w:tcW w:w="2552" w:type="dxa"/>
            <w:tcMar>
              <w:top w:w="100" w:type="dxa"/>
              <w:left w:w="100" w:type="dxa"/>
              <w:bottom w:w="100" w:type="dxa"/>
              <w:right w:w="100" w:type="dxa"/>
            </w:tcMar>
          </w:tcPr>
          <w:p w14:paraId="17263F54" w14:textId="77777777" w:rsidR="002329FC" w:rsidRPr="00D974E0" w:rsidRDefault="002329FC">
            <w:pPr>
              <w:pStyle w:val="TableText"/>
              <w:rPr>
                <w:color w:val="0D0D0D" w:themeColor="text1" w:themeTint="F2"/>
              </w:rPr>
            </w:pPr>
            <w:r w:rsidRPr="00D974E0">
              <w:rPr>
                <w:color w:val="0D0D0D" w:themeColor="text1" w:themeTint="F2"/>
              </w:rPr>
              <w:t>With prior experience</w:t>
            </w:r>
          </w:p>
        </w:tc>
        <w:tc>
          <w:tcPr>
            <w:tcW w:w="1588" w:type="dxa"/>
            <w:tcMar>
              <w:top w:w="100" w:type="dxa"/>
              <w:left w:w="100" w:type="dxa"/>
              <w:bottom w:w="100" w:type="dxa"/>
              <w:right w:w="100" w:type="dxa"/>
            </w:tcMar>
          </w:tcPr>
          <w:p w14:paraId="31583E27" w14:textId="77777777" w:rsidR="002329FC" w:rsidRPr="00D974E0" w:rsidRDefault="002329FC">
            <w:pPr>
              <w:pStyle w:val="TableText"/>
              <w:rPr>
                <w:color w:val="0D0D0D" w:themeColor="text1" w:themeTint="F2"/>
              </w:rPr>
            </w:pPr>
            <w:r w:rsidRPr="00D974E0">
              <w:rPr>
                <w:color w:val="0D0D0D" w:themeColor="text1" w:themeTint="F2"/>
              </w:rPr>
              <w:t>8.04</w:t>
            </w:r>
          </w:p>
        </w:tc>
        <w:tc>
          <w:tcPr>
            <w:tcW w:w="1341" w:type="dxa"/>
            <w:tcMar>
              <w:top w:w="100" w:type="dxa"/>
              <w:left w:w="100" w:type="dxa"/>
              <w:bottom w:w="100" w:type="dxa"/>
              <w:right w:w="100" w:type="dxa"/>
            </w:tcMar>
          </w:tcPr>
          <w:p w14:paraId="21552055" w14:textId="77777777" w:rsidR="002329FC" w:rsidRPr="00D974E0" w:rsidRDefault="002329FC">
            <w:pPr>
              <w:pStyle w:val="TableText"/>
              <w:rPr>
                <w:color w:val="0D0D0D" w:themeColor="text1" w:themeTint="F2"/>
              </w:rPr>
            </w:pPr>
            <w:r w:rsidRPr="00D974E0">
              <w:rPr>
                <w:color w:val="0D0D0D" w:themeColor="text1" w:themeTint="F2"/>
              </w:rPr>
              <w:t>1.49</w:t>
            </w:r>
          </w:p>
        </w:tc>
        <w:tc>
          <w:tcPr>
            <w:tcW w:w="1449" w:type="dxa"/>
          </w:tcPr>
          <w:p w14:paraId="59C61F44" w14:textId="77777777" w:rsidR="002329FC" w:rsidRPr="00D974E0" w:rsidRDefault="002329FC">
            <w:pPr>
              <w:pStyle w:val="TableText"/>
              <w:rPr>
                <w:color w:val="0D0D0D" w:themeColor="text1" w:themeTint="F2"/>
              </w:rPr>
            </w:pPr>
            <w:r w:rsidRPr="00D974E0">
              <w:rPr>
                <w:color w:val="0D0D0D" w:themeColor="text1" w:themeTint="F2"/>
              </w:rPr>
              <w:t>9</w:t>
            </w:r>
          </w:p>
        </w:tc>
        <w:tc>
          <w:tcPr>
            <w:tcW w:w="1620" w:type="dxa"/>
          </w:tcPr>
          <w:p w14:paraId="20AA4AFF" w14:textId="77777777" w:rsidR="002329FC" w:rsidRPr="00D974E0" w:rsidRDefault="002329FC">
            <w:pPr>
              <w:pStyle w:val="TableText"/>
              <w:rPr>
                <w:color w:val="0D0D0D" w:themeColor="text1" w:themeTint="F2"/>
              </w:rPr>
            </w:pPr>
            <w:r w:rsidRPr="00D974E0">
              <w:rPr>
                <w:color w:val="0D0D0D" w:themeColor="text1" w:themeTint="F2"/>
              </w:rPr>
              <w:t>31</w:t>
            </w:r>
          </w:p>
        </w:tc>
      </w:tr>
      <w:tr w:rsidR="00644CB1" w:rsidRPr="00D974E0" w14:paraId="2641776D" w14:textId="77777777" w:rsidTr="00B06B47">
        <w:tc>
          <w:tcPr>
            <w:tcW w:w="2552" w:type="dxa"/>
            <w:tcMar>
              <w:top w:w="100" w:type="dxa"/>
              <w:left w:w="100" w:type="dxa"/>
              <w:bottom w:w="100" w:type="dxa"/>
              <w:right w:w="100" w:type="dxa"/>
            </w:tcMar>
          </w:tcPr>
          <w:p w14:paraId="2325FDBB" w14:textId="77777777" w:rsidR="002329FC" w:rsidRPr="00D974E0" w:rsidRDefault="002329FC">
            <w:pPr>
              <w:pStyle w:val="TableText"/>
              <w:rPr>
                <w:color w:val="0D0D0D" w:themeColor="text1" w:themeTint="F2"/>
              </w:rPr>
            </w:pPr>
            <w:r w:rsidRPr="00D974E0">
              <w:rPr>
                <w:color w:val="0D0D0D" w:themeColor="text1" w:themeTint="F2"/>
              </w:rPr>
              <w:t>Without prior experience</w:t>
            </w:r>
          </w:p>
        </w:tc>
        <w:tc>
          <w:tcPr>
            <w:tcW w:w="1588" w:type="dxa"/>
            <w:tcMar>
              <w:top w:w="100" w:type="dxa"/>
              <w:left w:w="100" w:type="dxa"/>
              <w:bottom w:w="100" w:type="dxa"/>
              <w:right w:w="100" w:type="dxa"/>
            </w:tcMar>
          </w:tcPr>
          <w:p w14:paraId="0383B06D" w14:textId="77777777" w:rsidR="002329FC" w:rsidRPr="00D974E0" w:rsidRDefault="002329FC">
            <w:pPr>
              <w:pStyle w:val="TableText"/>
              <w:rPr>
                <w:color w:val="0D0D0D" w:themeColor="text1" w:themeTint="F2"/>
              </w:rPr>
            </w:pPr>
            <w:r w:rsidRPr="00D974E0">
              <w:rPr>
                <w:color w:val="0D0D0D" w:themeColor="text1" w:themeTint="F2"/>
              </w:rPr>
              <w:t>5.96</w:t>
            </w:r>
          </w:p>
        </w:tc>
        <w:tc>
          <w:tcPr>
            <w:tcW w:w="1341" w:type="dxa"/>
            <w:tcMar>
              <w:top w:w="100" w:type="dxa"/>
              <w:left w:w="100" w:type="dxa"/>
              <w:bottom w:w="100" w:type="dxa"/>
              <w:right w:w="100" w:type="dxa"/>
            </w:tcMar>
          </w:tcPr>
          <w:p w14:paraId="6E13EFA1" w14:textId="77777777" w:rsidR="002329FC" w:rsidRPr="00D974E0" w:rsidRDefault="002329FC">
            <w:pPr>
              <w:pStyle w:val="TableText"/>
              <w:rPr>
                <w:color w:val="0D0D0D" w:themeColor="text1" w:themeTint="F2"/>
              </w:rPr>
            </w:pPr>
            <w:r w:rsidRPr="00D974E0">
              <w:rPr>
                <w:color w:val="0D0D0D" w:themeColor="text1" w:themeTint="F2"/>
              </w:rPr>
              <w:t>2.55</w:t>
            </w:r>
          </w:p>
        </w:tc>
        <w:tc>
          <w:tcPr>
            <w:tcW w:w="1449" w:type="dxa"/>
          </w:tcPr>
          <w:p w14:paraId="0DDCEFDF" w14:textId="77777777" w:rsidR="002329FC" w:rsidRPr="00D974E0" w:rsidRDefault="002329FC">
            <w:pPr>
              <w:pStyle w:val="TableText"/>
              <w:rPr>
                <w:color w:val="0D0D0D" w:themeColor="text1" w:themeTint="F2"/>
              </w:rPr>
            </w:pPr>
            <w:r w:rsidRPr="00D974E0">
              <w:rPr>
                <w:color w:val="0D0D0D" w:themeColor="text1" w:themeTint="F2"/>
              </w:rPr>
              <w:t>20</w:t>
            </w:r>
          </w:p>
        </w:tc>
        <w:tc>
          <w:tcPr>
            <w:tcW w:w="1620" w:type="dxa"/>
          </w:tcPr>
          <w:p w14:paraId="6FEB0591" w14:textId="77777777" w:rsidR="002329FC" w:rsidRPr="00D974E0" w:rsidRDefault="002329FC">
            <w:pPr>
              <w:pStyle w:val="TableText"/>
              <w:rPr>
                <w:color w:val="0D0D0D" w:themeColor="text1" w:themeTint="F2"/>
              </w:rPr>
            </w:pPr>
            <w:r w:rsidRPr="00D974E0">
              <w:rPr>
                <w:color w:val="0D0D0D" w:themeColor="text1" w:themeTint="F2"/>
              </w:rPr>
              <w:t>69</w:t>
            </w:r>
          </w:p>
        </w:tc>
      </w:tr>
      <w:tr w:rsidR="00644CB1" w:rsidRPr="00D974E0" w14:paraId="5FBA66A0" w14:textId="77777777" w:rsidTr="00B06B47">
        <w:tc>
          <w:tcPr>
            <w:tcW w:w="2552" w:type="dxa"/>
            <w:tcBorders>
              <w:bottom w:val="single" w:sz="4" w:space="0" w:color="auto"/>
            </w:tcBorders>
            <w:tcMar>
              <w:top w:w="100" w:type="dxa"/>
              <w:left w:w="100" w:type="dxa"/>
              <w:bottom w:w="100" w:type="dxa"/>
              <w:right w:w="100" w:type="dxa"/>
            </w:tcMar>
          </w:tcPr>
          <w:p w14:paraId="388F4BDE" w14:textId="77777777" w:rsidR="002329FC" w:rsidRPr="00D974E0" w:rsidRDefault="002329FC">
            <w:pPr>
              <w:pStyle w:val="TableText"/>
              <w:rPr>
                <w:color w:val="0D0D0D" w:themeColor="text1" w:themeTint="F2"/>
              </w:rPr>
            </w:pPr>
            <w:r w:rsidRPr="00D974E0">
              <w:rPr>
                <w:color w:val="0D0D0D" w:themeColor="text1" w:themeTint="F2"/>
              </w:rPr>
              <w:t>Total</w:t>
            </w:r>
          </w:p>
        </w:tc>
        <w:tc>
          <w:tcPr>
            <w:tcW w:w="1588" w:type="dxa"/>
            <w:tcBorders>
              <w:bottom w:val="single" w:sz="4" w:space="0" w:color="auto"/>
            </w:tcBorders>
            <w:tcMar>
              <w:top w:w="100" w:type="dxa"/>
              <w:left w:w="100" w:type="dxa"/>
              <w:bottom w:w="100" w:type="dxa"/>
              <w:right w:w="100" w:type="dxa"/>
            </w:tcMar>
          </w:tcPr>
          <w:p w14:paraId="6C5E511F" w14:textId="77777777" w:rsidR="002329FC" w:rsidRPr="00D974E0" w:rsidRDefault="002329FC">
            <w:pPr>
              <w:pStyle w:val="TableText"/>
              <w:rPr>
                <w:color w:val="0D0D0D" w:themeColor="text1" w:themeTint="F2"/>
              </w:rPr>
            </w:pPr>
            <w:r w:rsidRPr="00D974E0">
              <w:rPr>
                <w:color w:val="0D0D0D" w:themeColor="text1" w:themeTint="F2"/>
              </w:rPr>
              <w:t>6.61</w:t>
            </w:r>
          </w:p>
        </w:tc>
        <w:tc>
          <w:tcPr>
            <w:tcW w:w="1341" w:type="dxa"/>
            <w:tcBorders>
              <w:bottom w:val="single" w:sz="4" w:space="0" w:color="auto"/>
            </w:tcBorders>
            <w:tcMar>
              <w:top w:w="100" w:type="dxa"/>
              <w:left w:w="100" w:type="dxa"/>
              <w:bottom w:w="100" w:type="dxa"/>
              <w:right w:w="100" w:type="dxa"/>
            </w:tcMar>
          </w:tcPr>
          <w:p w14:paraId="795B0B6B" w14:textId="77777777" w:rsidR="002329FC" w:rsidRPr="00D974E0" w:rsidRDefault="002329FC">
            <w:pPr>
              <w:pStyle w:val="TableText"/>
              <w:rPr>
                <w:color w:val="0D0D0D" w:themeColor="text1" w:themeTint="F2"/>
              </w:rPr>
            </w:pPr>
            <w:r w:rsidRPr="00D974E0">
              <w:rPr>
                <w:color w:val="0D0D0D" w:themeColor="text1" w:themeTint="F2"/>
              </w:rPr>
              <w:t>2.46</w:t>
            </w:r>
          </w:p>
        </w:tc>
        <w:tc>
          <w:tcPr>
            <w:tcW w:w="1449" w:type="dxa"/>
            <w:tcBorders>
              <w:bottom w:val="single" w:sz="4" w:space="0" w:color="auto"/>
            </w:tcBorders>
          </w:tcPr>
          <w:p w14:paraId="34D1FD23" w14:textId="77777777" w:rsidR="002329FC" w:rsidRPr="00D974E0" w:rsidRDefault="002329FC">
            <w:pPr>
              <w:pStyle w:val="TableText"/>
              <w:rPr>
                <w:color w:val="0D0D0D" w:themeColor="text1" w:themeTint="F2"/>
              </w:rPr>
            </w:pPr>
            <w:r w:rsidRPr="00D974E0">
              <w:rPr>
                <w:color w:val="0D0D0D" w:themeColor="text1" w:themeTint="F2"/>
              </w:rPr>
              <w:t>29</w:t>
            </w:r>
          </w:p>
        </w:tc>
        <w:tc>
          <w:tcPr>
            <w:tcW w:w="1620" w:type="dxa"/>
            <w:tcBorders>
              <w:bottom w:val="single" w:sz="4" w:space="0" w:color="auto"/>
            </w:tcBorders>
          </w:tcPr>
          <w:p w14:paraId="76E8E587" w14:textId="77777777" w:rsidR="002329FC" w:rsidRPr="00D974E0" w:rsidRDefault="002329FC">
            <w:pPr>
              <w:pStyle w:val="TableText"/>
              <w:rPr>
                <w:color w:val="0D0D0D" w:themeColor="text1" w:themeTint="F2"/>
              </w:rPr>
            </w:pPr>
            <w:r w:rsidRPr="00D974E0">
              <w:rPr>
                <w:color w:val="0D0D0D" w:themeColor="text1" w:themeTint="F2"/>
              </w:rPr>
              <w:t>100</w:t>
            </w:r>
          </w:p>
        </w:tc>
      </w:tr>
    </w:tbl>
    <w:p w14:paraId="16D5FBCA" w14:textId="2494B323" w:rsidR="00BE48C4" w:rsidRPr="00644CB1" w:rsidRDefault="00726CE5" w:rsidP="000A5218">
      <w:pPr>
        <w:pStyle w:val="2"/>
        <w:numPr>
          <w:ilvl w:val="1"/>
          <w:numId w:val="7"/>
        </w:numPr>
        <w:ind w:left="567" w:hanging="567"/>
        <w:rPr>
          <w:color w:val="0D0D0D" w:themeColor="text1" w:themeTint="F2"/>
        </w:rPr>
      </w:pPr>
      <w:r w:rsidRPr="00644CB1">
        <w:rPr>
          <w:color w:val="0D0D0D" w:themeColor="text1" w:themeTint="F2"/>
        </w:rPr>
        <w:t xml:space="preserve">VIFT </w:t>
      </w:r>
      <w:r w:rsidR="00DC7A8D" w:rsidRPr="00644CB1">
        <w:rPr>
          <w:color w:val="0D0D0D" w:themeColor="text1" w:themeTint="F2"/>
        </w:rPr>
        <w:t>e</w:t>
      </w:r>
      <w:r w:rsidR="00234FB7" w:rsidRPr="00644CB1">
        <w:rPr>
          <w:color w:val="0D0D0D" w:themeColor="text1" w:themeTint="F2"/>
        </w:rPr>
        <w:t xml:space="preserve">valuation: </w:t>
      </w:r>
      <w:r w:rsidR="00DC7A8D" w:rsidRPr="00644CB1">
        <w:rPr>
          <w:color w:val="0D0D0D" w:themeColor="text1" w:themeTint="F2"/>
        </w:rPr>
        <w:t>o</w:t>
      </w:r>
      <w:r w:rsidR="00550860" w:rsidRPr="00644CB1">
        <w:rPr>
          <w:color w:val="0D0D0D" w:themeColor="text1" w:themeTint="F2"/>
        </w:rPr>
        <w:t>rganizers</w:t>
      </w:r>
      <w:r w:rsidR="00F00179" w:rsidRPr="00644CB1">
        <w:rPr>
          <w:color w:val="0D0D0D" w:themeColor="text1" w:themeTint="F2"/>
        </w:rPr>
        <w:t xml:space="preserve">, organization </w:t>
      </w:r>
      <w:r w:rsidR="001601EF" w:rsidRPr="00644CB1">
        <w:rPr>
          <w:color w:val="0D0D0D" w:themeColor="text1" w:themeTint="F2"/>
        </w:rPr>
        <w:t xml:space="preserve">&amp; </w:t>
      </w:r>
      <w:r w:rsidR="00F00179" w:rsidRPr="00644CB1">
        <w:rPr>
          <w:color w:val="0D0D0D" w:themeColor="text1" w:themeTint="F2"/>
        </w:rPr>
        <w:t xml:space="preserve">implementation </w:t>
      </w:r>
    </w:p>
    <w:p w14:paraId="17B3683E" w14:textId="6FF71072" w:rsidR="00B5288A" w:rsidRPr="00644CB1" w:rsidRDefault="00B5288A" w:rsidP="005D6059">
      <w:pPr>
        <w:pStyle w:val="Articlenormaltext"/>
        <w:ind w:firstLine="0"/>
        <w:rPr>
          <w:color w:val="0D0D0D" w:themeColor="text1" w:themeTint="F2"/>
          <w:lang w:val="it-IT"/>
        </w:rPr>
      </w:pPr>
      <w:r w:rsidRPr="00644CB1">
        <w:rPr>
          <w:color w:val="0D0D0D" w:themeColor="text1" w:themeTint="F2"/>
          <w:lang w:val="it-IT"/>
        </w:rPr>
        <w:t xml:space="preserve">Following the completion of the VIFT, participants evaluated the organizers’ efficiency in sport event management </w:t>
      </w:r>
      <w:r w:rsidR="000C3433" w:rsidRPr="00B20949">
        <w:rPr>
          <w:color w:val="0D0D0D" w:themeColor="text1" w:themeTint="F2"/>
        </w:rPr>
        <w:t>(</w:t>
      </w:r>
      <w:r w:rsidR="000C3433">
        <w:rPr>
          <w:color w:val="0D0D0D" w:themeColor="text1" w:themeTint="F2"/>
        </w:rPr>
        <w:t>subscale</w:t>
      </w:r>
      <w:r w:rsidR="00EC000E">
        <w:rPr>
          <w:color w:val="0D0D0D" w:themeColor="text1" w:themeTint="F2"/>
        </w:rPr>
        <w:t xml:space="preserve"> a</w:t>
      </w:r>
      <w:r w:rsidR="000C3433">
        <w:rPr>
          <w:color w:val="0D0D0D" w:themeColor="text1" w:themeTint="F2"/>
        </w:rPr>
        <w:t xml:space="preserve">) </w:t>
      </w:r>
      <w:r w:rsidRPr="00644CB1">
        <w:rPr>
          <w:color w:val="0D0D0D" w:themeColor="text1" w:themeTint="F2"/>
          <w:lang w:val="it-IT"/>
        </w:rPr>
        <w:t xml:space="preserve">as well as the overall organization and implementation of the VIFT </w:t>
      </w:r>
      <w:r w:rsidR="000C3433">
        <w:rPr>
          <w:color w:val="0D0D0D" w:themeColor="text1" w:themeTint="F2"/>
          <w:lang w:val="it-IT"/>
        </w:rPr>
        <w:t>(</w:t>
      </w:r>
      <w:r w:rsidR="00EC000E">
        <w:rPr>
          <w:color w:val="0D0D0D" w:themeColor="text1" w:themeTint="F2"/>
          <w:lang w:val="it-IT"/>
        </w:rPr>
        <w:t xml:space="preserve">subscale b) </w:t>
      </w:r>
      <w:r w:rsidRPr="00644CB1">
        <w:rPr>
          <w:color w:val="0D0D0D" w:themeColor="text1" w:themeTint="F2"/>
          <w:lang w:val="it-IT"/>
        </w:rPr>
        <w:t xml:space="preserve">using the </w:t>
      </w:r>
      <w:r w:rsidR="00A71BFF" w:rsidRPr="00644CB1">
        <w:rPr>
          <w:color w:val="0D0D0D" w:themeColor="text1" w:themeTint="F2"/>
          <w:szCs w:val="22"/>
        </w:rPr>
        <w:t>Virtual Environment Evaluation Questionnaire</w:t>
      </w:r>
      <w:r w:rsidRPr="00644CB1">
        <w:rPr>
          <w:color w:val="0D0D0D" w:themeColor="text1" w:themeTint="F2"/>
          <w:lang w:val="it-IT"/>
        </w:rPr>
        <w:t xml:space="preserve">. </w:t>
      </w:r>
      <w:r w:rsidR="0026633D" w:rsidRPr="0026633D">
        <w:rPr>
          <w:color w:val="0D0D0D" w:themeColor="text1" w:themeTint="F2"/>
          <w:lang w:val="it-IT"/>
        </w:rPr>
        <w:t>To support the use of the two subscale scores reported below, an exploratory factor analysis indicated a two-factor structure for the 17 Likert-type items (KMO = .857; Bartlett’s χ²(136) = 1462.04, p &lt; .001; see Table 8).</w:t>
      </w:r>
      <w:r w:rsidR="0026633D" w:rsidRPr="00B20949">
        <w:rPr>
          <w:color w:val="0D0D0D" w:themeColor="text1" w:themeTint="F2"/>
        </w:rPr>
        <w:t xml:space="preserve"> </w:t>
      </w:r>
      <w:r w:rsidRPr="00644CB1">
        <w:rPr>
          <w:color w:val="0D0D0D" w:themeColor="text1" w:themeTint="F2"/>
          <w:lang w:val="it-IT"/>
        </w:rPr>
        <w:t>The questionnaire was completed by N = 206 participants, of whom 51.45% were women and 48.54% were men.</w:t>
      </w:r>
    </w:p>
    <w:p w14:paraId="56E8E237" w14:textId="43C3405F" w:rsidR="00B5288A" w:rsidRPr="00644CB1" w:rsidRDefault="00B5288A" w:rsidP="00B5288A">
      <w:pPr>
        <w:pStyle w:val="Articlenormaltext"/>
        <w:rPr>
          <w:color w:val="0D0D0D" w:themeColor="text1" w:themeTint="F2"/>
          <w:lang w:val="it-IT"/>
        </w:rPr>
      </w:pPr>
      <w:r w:rsidRPr="00644CB1">
        <w:rPr>
          <w:color w:val="0D0D0D" w:themeColor="text1" w:themeTint="F2"/>
          <w:lang w:val="it-IT"/>
        </w:rPr>
        <w:t>As shown in Table 4, the organizers received high ratings from the participants regarding their sport event management efficiency, with a mean score of M = 4.82 on a 1–5 Likert scale (SD = .36).</w:t>
      </w:r>
      <w:r w:rsidR="000A7D91" w:rsidRPr="00644CB1">
        <w:rPr>
          <w:color w:val="0D0D0D" w:themeColor="text1" w:themeTint="F2"/>
        </w:rPr>
        <w:t xml:space="preserve"> </w:t>
      </w:r>
      <w:r w:rsidRPr="00644CB1">
        <w:rPr>
          <w:color w:val="0D0D0D" w:themeColor="text1" w:themeTint="F2"/>
          <w:lang w:val="it-IT"/>
        </w:rPr>
        <w:t>Responses were recorded on a 1–5 Likert scale, where:</w:t>
      </w:r>
    </w:p>
    <w:p w14:paraId="60E40991" w14:textId="2E330194" w:rsidR="00B5288A" w:rsidRPr="00644CB1" w:rsidRDefault="00B5288A" w:rsidP="00543D9E">
      <w:pPr>
        <w:pStyle w:val="Articlenormaltext"/>
        <w:numPr>
          <w:ilvl w:val="0"/>
          <w:numId w:val="33"/>
        </w:numPr>
        <w:rPr>
          <w:color w:val="0D0D0D" w:themeColor="text1" w:themeTint="F2"/>
          <w:lang w:val="it-IT"/>
        </w:rPr>
      </w:pPr>
      <w:r w:rsidRPr="00644CB1">
        <w:rPr>
          <w:color w:val="0D0D0D" w:themeColor="text1" w:themeTint="F2"/>
          <w:lang w:val="it-IT"/>
        </w:rPr>
        <w:t>1 = Very Poor</w:t>
      </w:r>
    </w:p>
    <w:p w14:paraId="274FE462" w14:textId="7257B0A2" w:rsidR="00B5288A" w:rsidRPr="00644CB1" w:rsidRDefault="00B5288A" w:rsidP="00543D9E">
      <w:pPr>
        <w:pStyle w:val="Articlenormaltext"/>
        <w:numPr>
          <w:ilvl w:val="0"/>
          <w:numId w:val="33"/>
        </w:numPr>
        <w:rPr>
          <w:color w:val="0D0D0D" w:themeColor="text1" w:themeTint="F2"/>
          <w:lang w:val="it-IT"/>
        </w:rPr>
      </w:pPr>
      <w:r w:rsidRPr="00644CB1">
        <w:rPr>
          <w:color w:val="0D0D0D" w:themeColor="text1" w:themeTint="F2"/>
          <w:lang w:val="it-IT"/>
        </w:rPr>
        <w:t>2 = Poor</w:t>
      </w:r>
    </w:p>
    <w:p w14:paraId="3EF93BE0" w14:textId="06577D02" w:rsidR="00B5288A" w:rsidRPr="00644CB1" w:rsidRDefault="00B5288A" w:rsidP="00543D9E">
      <w:pPr>
        <w:pStyle w:val="Articlenormaltext"/>
        <w:numPr>
          <w:ilvl w:val="0"/>
          <w:numId w:val="33"/>
        </w:numPr>
        <w:rPr>
          <w:color w:val="0D0D0D" w:themeColor="text1" w:themeTint="F2"/>
          <w:lang w:val="it-IT"/>
        </w:rPr>
      </w:pPr>
      <w:r w:rsidRPr="00644CB1">
        <w:rPr>
          <w:color w:val="0D0D0D" w:themeColor="text1" w:themeTint="F2"/>
          <w:lang w:val="it-IT"/>
        </w:rPr>
        <w:t>3 = Satisfactory</w:t>
      </w:r>
    </w:p>
    <w:p w14:paraId="7A7AC3A8" w14:textId="6919962B" w:rsidR="00B5288A" w:rsidRPr="00644CB1" w:rsidRDefault="00B5288A" w:rsidP="00543D9E">
      <w:pPr>
        <w:pStyle w:val="Articlenormaltext"/>
        <w:numPr>
          <w:ilvl w:val="0"/>
          <w:numId w:val="33"/>
        </w:numPr>
        <w:rPr>
          <w:color w:val="0D0D0D" w:themeColor="text1" w:themeTint="F2"/>
          <w:lang w:val="it-IT"/>
        </w:rPr>
      </w:pPr>
      <w:r w:rsidRPr="00644CB1">
        <w:rPr>
          <w:color w:val="0D0D0D" w:themeColor="text1" w:themeTint="F2"/>
          <w:lang w:val="it-IT"/>
        </w:rPr>
        <w:t>4 = Very Good</w:t>
      </w:r>
    </w:p>
    <w:p w14:paraId="52B10894" w14:textId="4A845EFA" w:rsidR="00B5288A" w:rsidRPr="00644CB1" w:rsidRDefault="00B5288A" w:rsidP="00543D9E">
      <w:pPr>
        <w:pStyle w:val="Articlenormaltext"/>
        <w:numPr>
          <w:ilvl w:val="0"/>
          <w:numId w:val="33"/>
        </w:numPr>
        <w:rPr>
          <w:color w:val="0D0D0D" w:themeColor="text1" w:themeTint="F2"/>
          <w:lang w:val="it-IT"/>
        </w:rPr>
      </w:pPr>
      <w:r w:rsidRPr="00644CB1">
        <w:rPr>
          <w:color w:val="0D0D0D" w:themeColor="text1" w:themeTint="F2"/>
          <w:lang w:val="it-IT"/>
        </w:rPr>
        <w:lastRenderedPageBreak/>
        <w:t>5 = Perfect</w:t>
      </w:r>
    </w:p>
    <w:p w14:paraId="36FC29F3" w14:textId="6DB71A65" w:rsidR="008A2099" w:rsidRPr="00644CB1" w:rsidRDefault="00B5288A" w:rsidP="00543D9E">
      <w:pPr>
        <w:pStyle w:val="Articlenormaltext"/>
        <w:ind w:firstLine="360"/>
        <w:rPr>
          <w:color w:val="0D0D0D" w:themeColor="text1" w:themeTint="F2"/>
        </w:rPr>
      </w:pPr>
      <w:r w:rsidRPr="00644CB1">
        <w:rPr>
          <w:color w:val="0D0D0D" w:themeColor="text1" w:themeTint="F2"/>
          <w:lang w:val="it-IT"/>
        </w:rPr>
        <w:t xml:space="preserve">The results indicate that </w:t>
      </w:r>
      <w:r w:rsidR="00192663" w:rsidRPr="00644CB1">
        <w:rPr>
          <w:color w:val="0D0D0D" w:themeColor="text1" w:themeTint="F2"/>
          <w:lang w:val="it-IT"/>
        </w:rPr>
        <w:t>most</w:t>
      </w:r>
      <w:r w:rsidRPr="00644CB1">
        <w:rPr>
          <w:color w:val="0D0D0D" w:themeColor="text1" w:themeTint="F2"/>
          <w:lang w:val="it-IT"/>
        </w:rPr>
        <w:t xml:space="preserve"> participants (N = 156, 75.72%) rated the VIFT management as </w:t>
      </w:r>
      <w:r w:rsidR="001006F7" w:rsidRPr="00644CB1">
        <w:rPr>
          <w:color w:val="0D0D0D" w:themeColor="text1" w:themeTint="F2"/>
          <w:lang w:val="it-IT"/>
        </w:rPr>
        <w:t>«</w:t>
      </w:r>
      <w:r w:rsidRPr="00644CB1">
        <w:rPr>
          <w:color w:val="0D0D0D" w:themeColor="text1" w:themeTint="F2"/>
          <w:lang w:val="it-IT"/>
        </w:rPr>
        <w:t>Perfect</w:t>
      </w:r>
      <w:r w:rsidR="001006F7" w:rsidRPr="00644CB1">
        <w:rPr>
          <w:color w:val="0D0D0D" w:themeColor="text1" w:themeTint="F2"/>
          <w:lang w:val="it-IT"/>
        </w:rPr>
        <w:t>»</w:t>
      </w:r>
      <w:r w:rsidRPr="00644CB1">
        <w:rPr>
          <w:color w:val="0D0D0D" w:themeColor="text1" w:themeTint="F2"/>
          <w:lang w:val="it-IT"/>
        </w:rPr>
        <w:t xml:space="preserve">, while an additional 18.92% (N = 39) rated it as </w:t>
      </w:r>
      <w:r w:rsidR="001006F7" w:rsidRPr="00644CB1">
        <w:rPr>
          <w:color w:val="0D0D0D" w:themeColor="text1" w:themeTint="F2"/>
          <w:lang w:val="it-IT"/>
        </w:rPr>
        <w:t>«</w:t>
      </w:r>
      <w:r w:rsidRPr="00644CB1">
        <w:rPr>
          <w:color w:val="0D0D0D" w:themeColor="text1" w:themeTint="F2"/>
          <w:lang w:val="it-IT"/>
        </w:rPr>
        <w:t>Very Good</w:t>
      </w:r>
      <w:r w:rsidR="001006F7" w:rsidRPr="00644CB1">
        <w:rPr>
          <w:color w:val="0D0D0D" w:themeColor="text1" w:themeTint="F2"/>
          <w:lang w:val="it-IT"/>
        </w:rPr>
        <w:t>»</w:t>
      </w:r>
      <w:r w:rsidRPr="00644CB1">
        <w:rPr>
          <w:color w:val="0D0D0D" w:themeColor="text1" w:themeTint="F2"/>
          <w:lang w:val="it-IT"/>
        </w:rPr>
        <w:t>. The overall mean score was M = 4.82 (SD = .36), reflecting high level of satisfaction with the event management. The full results are presented in Table 4.</w:t>
      </w:r>
    </w:p>
    <w:p w14:paraId="3CB72A51" w14:textId="711920B0" w:rsidR="00E32156" w:rsidRPr="00644CB1" w:rsidRDefault="00F97FF8" w:rsidP="00543D9E">
      <w:pPr>
        <w:pStyle w:val="Articlenormaltext"/>
        <w:ind w:firstLine="360"/>
        <w:rPr>
          <w:color w:val="0D0D0D" w:themeColor="text1" w:themeTint="F2"/>
        </w:rPr>
      </w:pPr>
      <w:r w:rsidRPr="00644CB1">
        <w:rPr>
          <w:color w:val="0D0D0D" w:themeColor="text1" w:themeTint="F2"/>
        </w:rPr>
        <w:t xml:space="preserve">Regarding gender differences, the t-test analysis (t = .896, </w:t>
      </w:r>
      <w:proofErr w:type="spellStart"/>
      <w:r w:rsidRPr="00644CB1">
        <w:rPr>
          <w:color w:val="0D0D0D" w:themeColor="text1" w:themeTint="F2"/>
        </w:rPr>
        <w:t>df</w:t>
      </w:r>
      <w:proofErr w:type="spellEnd"/>
      <w:r w:rsidRPr="00644CB1">
        <w:rPr>
          <w:color w:val="0D0D0D" w:themeColor="text1" w:themeTint="F2"/>
        </w:rPr>
        <w:t xml:space="preserve"> = 204, p = .371) indicated that there was no statistically significant difference between men (M = 4.84, SD = .29) and women (M = 4.79, SD = .41) in their evaluation of the overall effort of the organizers (see Table 5</w:t>
      </w:r>
      <w:r w:rsidR="00E85080">
        <w:rPr>
          <w:color w:val="0D0D0D" w:themeColor="text1" w:themeTint="F2"/>
        </w:rPr>
        <w:t xml:space="preserve">; </w:t>
      </w:r>
      <w:r w:rsidR="00E85080" w:rsidRPr="00B20949">
        <w:rPr>
          <w:color w:val="0D0D0D" w:themeColor="text1" w:themeTint="F2"/>
        </w:rPr>
        <w:t>95%</w:t>
      </w:r>
      <w:r w:rsidR="00E85080">
        <w:rPr>
          <w:color w:val="0D0D0D" w:themeColor="text1" w:themeTint="F2"/>
        </w:rPr>
        <w:t xml:space="preserve"> CI for the mean difference</w:t>
      </w:r>
      <w:r w:rsidR="008D0B0E">
        <w:rPr>
          <w:color w:val="0D0D0D" w:themeColor="text1" w:themeTint="F2"/>
        </w:rPr>
        <w:t xml:space="preserve"> [-.14, .05]; </w:t>
      </w:r>
      <w:proofErr w:type="spellStart"/>
      <w:r w:rsidR="008D0B0E">
        <w:rPr>
          <w:color w:val="0D0D0D" w:themeColor="text1" w:themeTint="F2"/>
        </w:rPr>
        <w:t>Cohens’s</w:t>
      </w:r>
      <w:proofErr w:type="spellEnd"/>
      <w:r w:rsidR="008D0B0E">
        <w:rPr>
          <w:color w:val="0D0D0D" w:themeColor="text1" w:themeTint="F2"/>
        </w:rPr>
        <w:t xml:space="preserve"> d</w:t>
      </w:r>
      <w:r w:rsidR="00B26592">
        <w:rPr>
          <w:color w:val="0D0D0D" w:themeColor="text1" w:themeTint="F2"/>
        </w:rPr>
        <w:t xml:space="preserve"> </w:t>
      </w:r>
      <w:r w:rsidR="008D0B0E">
        <w:rPr>
          <w:color w:val="0D0D0D" w:themeColor="text1" w:themeTint="F2"/>
        </w:rPr>
        <w:t>=</w:t>
      </w:r>
      <w:r w:rsidR="00B26592">
        <w:rPr>
          <w:color w:val="0D0D0D" w:themeColor="text1" w:themeTint="F2"/>
        </w:rPr>
        <w:t xml:space="preserve"> -.13, 95%</w:t>
      </w:r>
      <w:r w:rsidR="005B3B06">
        <w:rPr>
          <w:color w:val="0D0D0D" w:themeColor="text1" w:themeTint="F2"/>
        </w:rPr>
        <w:t xml:space="preserve"> CI [-.40, .15]</w:t>
      </w:r>
      <w:r w:rsidRPr="00644CB1">
        <w:rPr>
          <w:color w:val="0D0D0D" w:themeColor="text1" w:themeTint="F2"/>
        </w:rPr>
        <w:t>).</w:t>
      </w:r>
    </w:p>
    <w:p w14:paraId="78574AC9" w14:textId="2B46EA42" w:rsidR="001A66B1" w:rsidRPr="00644CB1" w:rsidRDefault="00AC71BF" w:rsidP="00EC24F4">
      <w:pPr>
        <w:pStyle w:val="Articlenormaltext"/>
        <w:rPr>
          <w:color w:val="0D0D0D" w:themeColor="text1" w:themeTint="F2"/>
          <w:szCs w:val="22"/>
        </w:rPr>
      </w:pPr>
      <w:r w:rsidRPr="00644CB1">
        <w:rPr>
          <w:color w:val="0D0D0D" w:themeColor="text1" w:themeTint="F2"/>
          <w:szCs w:val="22"/>
        </w:rPr>
        <w:t>The frequency distribution of the VIFT evaluation results is presented in Table 6, using a 1–5 Likert scale (1 = Very Poor, 5 = Perfect).</w:t>
      </w:r>
      <w:r w:rsidR="00EC24F4" w:rsidRPr="00644CB1">
        <w:rPr>
          <w:color w:val="0D0D0D" w:themeColor="text1" w:themeTint="F2"/>
          <w:szCs w:val="22"/>
        </w:rPr>
        <w:t xml:space="preserve"> </w:t>
      </w:r>
      <w:r w:rsidR="00B16F9F" w:rsidRPr="00644CB1">
        <w:rPr>
          <w:color w:val="0D0D0D" w:themeColor="text1" w:themeTint="F2"/>
          <w:szCs w:val="22"/>
        </w:rPr>
        <w:t xml:space="preserve">According to the results, 48.06% (N = 99) of participants rated the VIFT as </w:t>
      </w:r>
      <w:r w:rsidR="00933A07" w:rsidRPr="00644CB1">
        <w:rPr>
          <w:color w:val="0D0D0D" w:themeColor="text1" w:themeTint="F2"/>
          <w:lang w:val="it-IT"/>
        </w:rPr>
        <w:t>«</w:t>
      </w:r>
      <w:r w:rsidR="00B16F9F" w:rsidRPr="00644CB1">
        <w:rPr>
          <w:color w:val="0D0D0D" w:themeColor="text1" w:themeTint="F2"/>
          <w:szCs w:val="22"/>
        </w:rPr>
        <w:t>Very Good</w:t>
      </w:r>
      <w:r w:rsidR="00933A07" w:rsidRPr="00644CB1">
        <w:rPr>
          <w:color w:val="0D0D0D" w:themeColor="text1" w:themeTint="F2"/>
          <w:lang w:val="it-IT"/>
        </w:rPr>
        <w:t>»</w:t>
      </w:r>
      <w:r w:rsidR="00B16F9F" w:rsidRPr="00644CB1">
        <w:rPr>
          <w:color w:val="0D0D0D" w:themeColor="text1" w:themeTint="F2"/>
          <w:szCs w:val="22"/>
        </w:rPr>
        <w:t xml:space="preserve">, while an additional 21.84% (N = 45) evaluated it as </w:t>
      </w:r>
      <w:r w:rsidR="00290875" w:rsidRPr="00644CB1">
        <w:rPr>
          <w:color w:val="0D0D0D" w:themeColor="text1" w:themeTint="F2"/>
          <w:lang w:val="it-IT"/>
        </w:rPr>
        <w:t>«Perfect»</w:t>
      </w:r>
      <w:r w:rsidR="00B16F9F" w:rsidRPr="00644CB1">
        <w:rPr>
          <w:color w:val="0D0D0D" w:themeColor="text1" w:themeTint="F2"/>
          <w:szCs w:val="22"/>
        </w:rPr>
        <w:t xml:space="preserve">. Conversely, 26.70% (N = 55) rated the VIFT as </w:t>
      </w:r>
      <w:r w:rsidR="00290875" w:rsidRPr="00644CB1">
        <w:rPr>
          <w:color w:val="0D0D0D" w:themeColor="text1" w:themeTint="F2"/>
          <w:lang w:val="it-IT"/>
        </w:rPr>
        <w:t>«</w:t>
      </w:r>
      <w:r w:rsidR="00B16F9F" w:rsidRPr="00644CB1">
        <w:rPr>
          <w:color w:val="0D0D0D" w:themeColor="text1" w:themeTint="F2"/>
          <w:szCs w:val="22"/>
        </w:rPr>
        <w:t>Satisfactory</w:t>
      </w:r>
      <w:r w:rsidR="00933A07" w:rsidRPr="00644CB1">
        <w:rPr>
          <w:color w:val="0D0D0D" w:themeColor="text1" w:themeTint="F2"/>
          <w:lang w:val="it-IT"/>
        </w:rPr>
        <w:t>»</w:t>
      </w:r>
      <w:r w:rsidR="00B16F9F" w:rsidRPr="00644CB1">
        <w:rPr>
          <w:color w:val="0D0D0D" w:themeColor="text1" w:themeTint="F2"/>
          <w:szCs w:val="22"/>
        </w:rPr>
        <w:t xml:space="preserve">. The overall assessment was high, with a mean score of M = 4.45 on a 1–5 Likert scale (SD = .44). </w:t>
      </w:r>
      <w:r w:rsidR="00330FCD">
        <w:rPr>
          <w:color w:val="0D0D0D" w:themeColor="text1" w:themeTint="F2"/>
          <w:szCs w:val="22"/>
        </w:rPr>
        <w:t xml:space="preserve">Regarding the gender differences, </w:t>
      </w:r>
      <w:r w:rsidR="0066575A">
        <w:rPr>
          <w:color w:val="0D0D0D" w:themeColor="text1" w:themeTint="F2"/>
          <w:szCs w:val="22"/>
        </w:rPr>
        <w:t>t</w:t>
      </w:r>
      <w:r w:rsidR="00B16F9F" w:rsidRPr="00644CB1">
        <w:rPr>
          <w:color w:val="0D0D0D" w:themeColor="text1" w:themeTint="F2"/>
          <w:szCs w:val="22"/>
        </w:rPr>
        <w:t xml:space="preserve">he t-test analysis (t = -.498, </w:t>
      </w:r>
      <w:proofErr w:type="spellStart"/>
      <w:r w:rsidR="00B16F9F" w:rsidRPr="00644CB1">
        <w:rPr>
          <w:color w:val="0D0D0D" w:themeColor="text1" w:themeTint="F2"/>
          <w:szCs w:val="22"/>
        </w:rPr>
        <w:t>df</w:t>
      </w:r>
      <w:proofErr w:type="spellEnd"/>
      <w:r w:rsidR="00B16F9F" w:rsidRPr="00644CB1">
        <w:rPr>
          <w:color w:val="0D0D0D" w:themeColor="text1" w:themeTint="F2"/>
          <w:szCs w:val="22"/>
        </w:rPr>
        <w:t xml:space="preserve"> = 204, p = .619) indicated </w:t>
      </w:r>
      <w:r w:rsidR="0066575A">
        <w:rPr>
          <w:color w:val="0D0D0D" w:themeColor="text1" w:themeTint="F2"/>
          <w:szCs w:val="22"/>
        </w:rPr>
        <w:t xml:space="preserve">that there was </w:t>
      </w:r>
      <w:r w:rsidR="00B16F9F" w:rsidRPr="00644CB1">
        <w:rPr>
          <w:color w:val="0D0D0D" w:themeColor="text1" w:themeTint="F2"/>
          <w:szCs w:val="22"/>
        </w:rPr>
        <w:t>no statistically significant difference between men (M = 4.44, SD = .43) and women (M = 4.47, SD = .46) in their evaluation of the VIFT (see Table 7</w:t>
      </w:r>
      <w:r w:rsidR="00D72C73">
        <w:rPr>
          <w:color w:val="0D0D0D" w:themeColor="text1" w:themeTint="F2"/>
          <w:szCs w:val="22"/>
        </w:rPr>
        <w:t xml:space="preserve">; </w:t>
      </w:r>
      <w:r w:rsidR="00F17F6A" w:rsidRPr="001D1792">
        <w:rPr>
          <w:color w:val="0D0D0D" w:themeColor="text1" w:themeTint="F2"/>
        </w:rPr>
        <w:t>95%</w:t>
      </w:r>
      <w:r w:rsidR="00F17F6A">
        <w:rPr>
          <w:color w:val="0D0D0D" w:themeColor="text1" w:themeTint="F2"/>
        </w:rPr>
        <w:t xml:space="preserve"> CI for the mean difference [-.15, .0</w:t>
      </w:r>
      <w:r w:rsidR="00F8731B">
        <w:rPr>
          <w:color w:val="0D0D0D" w:themeColor="text1" w:themeTint="F2"/>
        </w:rPr>
        <w:t>9</w:t>
      </w:r>
      <w:r w:rsidR="00F17F6A">
        <w:rPr>
          <w:color w:val="0D0D0D" w:themeColor="text1" w:themeTint="F2"/>
        </w:rPr>
        <w:t xml:space="preserve">]; </w:t>
      </w:r>
      <w:proofErr w:type="spellStart"/>
      <w:r w:rsidR="00F17F6A">
        <w:rPr>
          <w:color w:val="0D0D0D" w:themeColor="text1" w:themeTint="F2"/>
        </w:rPr>
        <w:t>Cohens’s</w:t>
      </w:r>
      <w:proofErr w:type="spellEnd"/>
      <w:r w:rsidR="00F17F6A">
        <w:rPr>
          <w:color w:val="0D0D0D" w:themeColor="text1" w:themeTint="F2"/>
        </w:rPr>
        <w:t xml:space="preserve"> d = -.</w:t>
      </w:r>
      <w:r w:rsidR="00F8731B">
        <w:rPr>
          <w:color w:val="0D0D0D" w:themeColor="text1" w:themeTint="F2"/>
        </w:rPr>
        <w:t>07</w:t>
      </w:r>
      <w:r w:rsidR="00F17F6A">
        <w:rPr>
          <w:color w:val="0D0D0D" w:themeColor="text1" w:themeTint="F2"/>
        </w:rPr>
        <w:t>, 95% CI [-.</w:t>
      </w:r>
      <w:r w:rsidR="00376C0D">
        <w:rPr>
          <w:color w:val="0D0D0D" w:themeColor="text1" w:themeTint="F2"/>
        </w:rPr>
        <w:t>3</w:t>
      </w:r>
      <w:r w:rsidR="00F17F6A">
        <w:rPr>
          <w:color w:val="0D0D0D" w:themeColor="text1" w:themeTint="F2"/>
        </w:rPr>
        <w:t>4, .</w:t>
      </w:r>
      <w:r w:rsidR="00376C0D">
        <w:rPr>
          <w:color w:val="0D0D0D" w:themeColor="text1" w:themeTint="F2"/>
        </w:rPr>
        <w:t>20</w:t>
      </w:r>
      <w:r w:rsidR="00F17F6A">
        <w:rPr>
          <w:color w:val="0D0D0D" w:themeColor="text1" w:themeTint="F2"/>
        </w:rPr>
        <w:t>]</w:t>
      </w:r>
      <w:r w:rsidR="00F17F6A" w:rsidRPr="00644CB1">
        <w:rPr>
          <w:color w:val="0D0D0D" w:themeColor="text1" w:themeTint="F2"/>
        </w:rPr>
        <w:t>).</w:t>
      </w:r>
      <w:r w:rsidR="005B281A" w:rsidRPr="00644CB1">
        <w:rPr>
          <w:color w:val="0D0D0D" w:themeColor="text1" w:themeTint="F2"/>
          <w:szCs w:val="22"/>
        </w:rPr>
        <w:t xml:space="preserve"> </w:t>
      </w:r>
    </w:p>
    <w:p w14:paraId="5620A40C" w14:textId="59ADFD09" w:rsidR="00B16F9F" w:rsidRPr="00644CB1" w:rsidRDefault="005B281A" w:rsidP="00EC24F4">
      <w:pPr>
        <w:pStyle w:val="Articlenormaltext"/>
        <w:rPr>
          <w:color w:val="0D0D0D" w:themeColor="text1" w:themeTint="F2"/>
          <w:szCs w:val="22"/>
        </w:rPr>
      </w:pPr>
      <w:r w:rsidRPr="00644CB1">
        <w:rPr>
          <w:color w:val="0D0D0D" w:themeColor="text1" w:themeTint="F2"/>
          <w:szCs w:val="22"/>
        </w:rPr>
        <w:t xml:space="preserve">The relationship between VIFT evaluation scores and the organizers' assessments was examined using Pearson’s correlation coefficient (r). The analysis revealed a moderate positive correlation (r = .497, </w:t>
      </w:r>
      <w:r w:rsidR="008B2221" w:rsidRPr="00DA74C5">
        <w:rPr>
          <w:color w:val="0D0D0D" w:themeColor="text1" w:themeTint="F2"/>
          <w:szCs w:val="22"/>
        </w:rPr>
        <w:t>95%</w:t>
      </w:r>
      <w:r w:rsidR="00662B93" w:rsidRPr="00DA74C5">
        <w:rPr>
          <w:color w:val="0D0D0D" w:themeColor="text1" w:themeTint="F2"/>
          <w:szCs w:val="22"/>
        </w:rPr>
        <w:t xml:space="preserve"> </w:t>
      </w:r>
      <w:r w:rsidR="00662B93">
        <w:rPr>
          <w:color w:val="0D0D0D" w:themeColor="text1" w:themeTint="F2"/>
          <w:szCs w:val="22"/>
        </w:rPr>
        <w:t>CI [.3</w:t>
      </w:r>
      <w:r w:rsidR="00B8693B">
        <w:rPr>
          <w:color w:val="0D0D0D" w:themeColor="text1" w:themeTint="F2"/>
          <w:szCs w:val="22"/>
        </w:rPr>
        <w:t>9</w:t>
      </w:r>
      <w:r w:rsidR="00662B93">
        <w:rPr>
          <w:color w:val="0D0D0D" w:themeColor="text1" w:themeTint="F2"/>
          <w:szCs w:val="22"/>
        </w:rPr>
        <w:t>, .59</w:t>
      </w:r>
      <w:r w:rsidR="00B8693B">
        <w:rPr>
          <w:color w:val="0D0D0D" w:themeColor="text1" w:themeTint="F2"/>
          <w:szCs w:val="22"/>
        </w:rPr>
        <w:t xml:space="preserve">], </w:t>
      </w:r>
      <w:r w:rsidRPr="00644CB1">
        <w:rPr>
          <w:color w:val="0D0D0D" w:themeColor="text1" w:themeTint="F2"/>
          <w:szCs w:val="22"/>
        </w:rPr>
        <w:t>p &lt; .001), indicating that higher VIFT evaluation scores were associated with more favorable assessments</w:t>
      </w:r>
      <w:r w:rsidR="00BF7B00" w:rsidRPr="00644CB1">
        <w:rPr>
          <w:color w:val="0D0D0D" w:themeColor="text1" w:themeTint="F2"/>
          <w:szCs w:val="22"/>
        </w:rPr>
        <w:t xml:space="preserve"> of the organizers. </w:t>
      </w:r>
      <w:r w:rsidR="007018EF">
        <w:rPr>
          <w:color w:val="0D0D0D" w:themeColor="text1" w:themeTint="F2"/>
          <w:szCs w:val="22"/>
        </w:rPr>
        <w:t xml:space="preserve">In terms of effect size, this association corresponds to a </w:t>
      </w:r>
      <w:r w:rsidR="00F66CF2">
        <w:rPr>
          <w:color w:val="0D0D0D" w:themeColor="text1" w:themeTint="F2"/>
          <w:szCs w:val="22"/>
        </w:rPr>
        <w:t xml:space="preserve">large effect (Cohen’s d </w:t>
      </w:r>
      <w:r w:rsidR="000C3F9D">
        <w:rPr>
          <w:rFonts w:ascii="MS Gothic" w:eastAsia="MS Gothic" w:hAnsi="MS Gothic" w:hint="eastAsia"/>
          <w:color w:val="0D0D0D" w:themeColor="text1" w:themeTint="F2"/>
          <w:szCs w:val="22"/>
        </w:rPr>
        <w:t>≈</w:t>
      </w:r>
      <w:r w:rsidR="000C3F9D">
        <w:rPr>
          <w:color w:val="0D0D0D" w:themeColor="text1" w:themeTint="F2"/>
          <w:szCs w:val="22"/>
        </w:rPr>
        <w:t xml:space="preserve"> 1.15, </w:t>
      </w:r>
      <w:r w:rsidR="00482B62">
        <w:rPr>
          <w:color w:val="0D0D0D" w:themeColor="text1" w:themeTint="F2"/>
          <w:szCs w:val="22"/>
        </w:rPr>
        <w:t>95% CI [.94, 1.48]).</w:t>
      </w:r>
    </w:p>
    <w:p w14:paraId="03E724E9" w14:textId="77777777" w:rsidR="00A10B00" w:rsidRPr="00644CB1" w:rsidRDefault="00A10B00" w:rsidP="00BE48C4">
      <w:pPr>
        <w:pStyle w:val="Articlenormaltext"/>
        <w:rPr>
          <w:color w:val="0D0D0D" w:themeColor="text1" w:themeTint="F2"/>
          <w:szCs w:val="22"/>
        </w:rPr>
      </w:pPr>
    </w:p>
    <w:p w14:paraId="632FE0C8" w14:textId="19599137" w:rsidR="00B6627A" w:rsidRPr="00644CB1" w:rsidRDefault="00B6627A" w:rsidP="0099478C">
      <w:pPr>
        <w:tabs>
          <w:tab w:val="left" w:pos="851"/>
        </w:tabs>
        <w:spacing w:after="120" w:line="240" w:lineRule="auto"/>
        <w:rPr>
          <w:rFonts w:ascii="Arial" w:hAnsi="Arial" w:cs="Arial"/>
          <w:color w:val="0D0D0D" w:themeColor="text1" w:themeTint="F2"/>
          <w:sz w:val="18"/>
          <w:szCs w:val="18"/>
        </w:rPr>
      </w:pPr>
      <w:r w:rsidRPr="00644CB1">
        <w:rPr>
          <w:rFonts w:ascii="Arial" w:hAnsi="Arial" w:cs="Arial"/>
          <w:b/>
          <w:bCs/>
          <w:color w:val="0D0D0D" w:themeColor="text1" w:themeTint="F2"/>
          <w:sz w:val="18"/>
          <w:szCs w:val="18"/>
          <w:lang w:val="en-US"/>
        </w:rPr>
        <w:t xml:space="preserve">Table </w:t>
      </w:r>
      <w:r w:rsidR="00B44B02" w:rsidRPr="00644CB1">
        <w:rPr>
          <w:rFonts w:ascii="Arial" w:hAnsi="Arial" w:cs="Arial"/>
          <w:b/>
          <w:bCs/>
          <w:color w:val="0D0D0D" w:themeColor="text1" w:themeTint="F2"/>
          <w:sz w:val="18"/>
          <w:szCs w:val="18"/>
          <w:lang w:val="en-US"/>
        </w:rPr>
        <w:t>4</w:t>
      </w:r>
      <w:r w:rsidRPr="00644CB1">
        <w:rPr>
          <w:rFonts w:ascii="Arial" w:hAnsi="Arial" w:cs="Arial"/>
          <w:b/>
          <w:bCs/>
          <w:color w:val="0D0D0D" w:themeColor="text1" w:themeTint="F2"/>
          <w:sz w:val="18"/>
          <w:szCs w:val="18"/>
          <w:lang w:val="en-US"/>
        </w:rPr>
        <w:t>:</w:t>
      </w:r>
      <w:r w:rsidRPr="00644CB1">
        <w:rPr>
          <w:rFonts w:ascii="Arial" w:hAnsi="Arial" w:cs="Arial"/>
          <w:color w:val="0D0D0D" w:themeColor="text1" w:themeTint="F2"/>
          <w:sz w:val="18"/>
          <w:szCs w:val="18"/>
          <w:lang w:val="en-US"/>
        </w:rPr>
        <w:t xml:space="preserve"> </w:t>
      </w:r>
      <w:r w:rsidR="00060340" w:rsidRPr="00644CB1">
        <w:rPr>
          <w:rFonts w:ascii="Arial" w:hAnsi="Arial" w:cs="Arial"/>
          <w:color w:val="0D0D0D" w:themeColor="text1" w:themeTint="F2"/>
          <w:sz w:val="18"/>
          <w:szCs w:val="18"/>
          <w:lang w:val="en-US"/>
        </w:rPr>
        <w:t>Evaluation of the organizers’ sport event management efficiency</w:t>
      </w:r>
    </w:p>
    <w:tbl>
      <w:tblPr>
        <w:tblW w:w="6337" w:type="dxa"/>
        <w:tblLayout w:type="fixed"/>
        <w:tblLook w:val="0600" w:firstRow="0" w:lastRow="0" w:firstColumn="0" w:lastColumn="0" w:noHBand="1" w:noVBand="1"/>
      </w:tblPr>
      <w:tblGrid>
        <w:gridCol w:w="2552"/>
        <w:gridCol w:w="241"/>
        <w:gridCol w:w="1701"/>
        <w:gridCol w:w="1843"/>
      </w:tblGrid>
      <w:tr w:rsidR="00644CB1" w:rsidRPr="0096427B" w14:paraId="363441D5" w14:textId="77777777" w:rsidTr="00B06B47">
        <w:trPr>
          <w:trHeight w:val="360"/>
        </w:trPr>
        <w:tc>
          <w:tcPr>
            <w:tcW w:w="2552" w:type="dxa"/>
            <w:tcBorders>
              <w:top w:val="single" w:sz="4" w:space="0" w:color="auto"/>
              <w:bottom w:val="single" w:sz="4" w:space="0" w:color="auto"/>
            </w:tcBorders>
            <w:tcMar>
              <w:top w:w="100" w:type="dxa"/>
              <w:left w:w="100" w:type="dxa"/>
              <w:bottom w:w="100" w:type="dxa"/>
              <w:right w:w="100" w:type="dxa"/>
            </w:tcMar>
          </w:tcPr>
          <w:p w14:paraId="3ECF4F45" w14:textId="64B68837" w:rsidR="00327174" w:rsidRPr="0096427B" w:rsidRDefault="00327174" w:rsidP="00815F5D">
            <w:pPr>
              <w:pStyle w:val="TableText"/>
              <w:spacing w:line="240" w:lineRule="auto"/>
              <w:rPr>
                <w:color w:val="0D0D0D" w:themeColor="text1" w:themeTint="F2"/>
              </w:rPr>
            </w:pPr>
            <w:r w:rsidRPr="0096427B">
              <w:rPr>
                <w:color w:val="0D0D0D" w:themeColor="text1" w:themeTint="F2"/>
              </w:rPr>
              <w:t>Evaluation of the organizers’ efficiency</w:t>
            </w:r>
          </w:p>
        </w:tc>
        <w:tc>
          <w:tcPr>
            <w:tcW w:w="241" w:type="dxa"/>
            <w:tcBorders>
              <w:top w:val="single" w:sz="4" w:space="0" w:color="auto"/>
              <w:bottom w:val="single" w:sz="4" w:space="0" w:color="auto"/>
            </w:tcBorders>
          </w:tcPr>
          <w:p w14:paraId="42B3C70B" w14:textId="77777777" w:rsidR="00327174" w:rsidRPr="0096427B" w:rsidRDefault="00327174" w:rsidP="00477FBC">
            <w:pPr>
              <w:pStyle w:val="TableText"/>
              <w:spacing w:line="240" w:lineRule="auto"/>
              <w:jc w:val="center"/>
              <w:rPr>
                <w:color w:val="0D0D0D" w:themeColor="text1" w:themeTint="F2"/>
              </w:rPr>
            </w:pPr>
          </w:p>
        </w:tc>
        <w:tc>
          <w:tcPr>
            <w:tcW w:w="1701" w:type="dxa"/>
            <w:tcBorders>
              <w:top w:val="single" w:sz="4" w:space="0" w:color="auto"/>
              <w:bottom w:val="single" w:sz="4" w:space="0" w:color="auto"/>
            </w:tcBorders>
          </w:tcPr>
          <w:p w14:paraId="2D70AF14" w14:textId="283B2275" w:rsidR="00327174" w:rsidRPr="0096427B" w:rsidRDefault="00327174" w:rsidP="001B1B15">
            <w:pPr>
              <w:pStyle w:val="TableText"/>
              <w:spacing w:line="240" w:lineRule="auto"/>
              <w:jc w:val="center"/>
              <w:rPr>
                <w:color w:val="0D0D0D" w:themeColor="text1" w:themeTint="F2"/>
              </w:rPr>
            </w:pPr>
            <w:r w:rsidRPr="0096427B">
              <w:rPr>
                <w:color w:val="0D0D0D" w:themeColor="text1" w:themeTint="F2"/>
              </w:rPr>
              <w:t>Frequency</w:t>
            </w:r>
            <w:r w:rsidR="001B1B15">
              <w:rPr>
                <w:color w:val="0D0D0D" w:themeColor="text1" w:themeTint="F2"/>
              </w:rPr>
              <w:t xml:space="preserve"> </w:t>
            </w:r>
            <w:r w:rsidRPr="0096427B">
              <w:rPr>
                <w:color w:val="0D0D0D" w:themeColor="text1" w:themeTint="F2"/>
              </w:rPr>
              <w:t>f</w:t>
            </w:r>
          </w:p>
        </w:tc>
        <w:tc>
          <w:tcPr>
            <w:tcW w:w="1843" w:type="dxa"/>
            <w:tcBorders>
              <w:top w:val="single" w:sz="4" w:space="0" w:color="auto"/>
              <w:bottom w:val="single" w:sz="4" w:space="0" w:color="auto"/>
            </w:tcBorders>
          </w:tcPr>
          <w:p w14:paraId="56F954BA" w14:textId="5DE8AD8E" w:rsidR="00327174" w:rsidRPr="0096427B" w:rsidRDefault="00327174" w:rsidP="001B1B15">
            <w:pPr>
              <w:pStyle w:val="TableText"/>
              <w:spacing w:line="240" w:lineRule="auto"/>
              <w:jc w:val="center"/>
              <w:rPr>
                <w:color w:val="0D0D0D" w:themeColor="text1" w:themeTint="F2"/>
              </w:rPr>
            </w:pPr>
            <w:r w:rsidRPr="0096427B">
              <w:rPr>
                <w:color w:val="0D0D0D" w:themeColor="text1" w:themeTint="F2"/>
              </w:rPr>
              <w:t>Percentage</w:t>
            </w:r>
            <w:r w:rsidR="001B1B15">
              <w:rPr>
                <w:color w:val="0D0D0D" w:themeColor="text1" w:themeTint="F2"/>
              </w:rPr>
              <w:t xml:space="preserve"> </w:t>
            </w:r>
            <w:r w:rsidRPr="0096427B">
              <w:rPr>
                <w:color w:val="0D0D0D" w:themeColor="text1" w:themeTint="F2"/>
              </w:rPr>
              <w:t>%</w:t>
            </w:r>
          </w:p>
        </w:tc>
      </w:tr>
      <w:tr w:rsidR="00644CB1" w:rsidRPr="0096427B" w14:paraId="5A27AC1D" w14:textId="77777777" w:rsidTr="00B06B47">
        <w:tc>
          <w:tcPr>
            <w:tcW w:w="2552" w:type="dxa"/>
            <w:tcBorders>
              <w:top w:val="single" w:sz="4" w:space="0" w:color="auto"/>
            </w:tcBorders>
            <w:tcMar>
              <w:top w:w="100" w:type="dxa"/>
              <w:left w:w="100" w:type="dxa"/>
              <w:bottom w:w="100" w:type="dxa"/>
              <w:right w:w="100" w:type="dxa"/>
            </w:tcMar>
          </w:tcPr>
          <w:p w14:paraId="0DCE4F31" w14:textId="2D2D64A7" w:rsidR="00327174" w:rsidRPr="0096427B" w:rsidRDefault="00327174" w:rsidP="00815F5D">
            <w:pPr>
              <w:pStyle w:val="TableText"/>
              <w:spacing w:line="240" w:lineRule="auto"/>
              <w:rPr>
                <w:color w:val="0D0D0D" w:themeColor="text1" w:themeTint="F2"/>
              </w:rPr>
            </w:pPr>
            <w:r w:rsidRPr="0096427B">
              <w:rPr>
                <w:color w:val="0D0D0D" w:themeColor="text1" w:themeTint="F2"/>
              </w:rPr>
              <w:t>1 Very Poor</w:t>
            </w:r>
          </w:p>
        </w:tc>
        <w:tc>
          <w:tcPr>
            <w:tcW w:w="241" w:type="dxa"/>
            <w:tcBorders>
              <w:top w:val="single" w:sz="4" w:space="0" w:color="auto"/>
            </w:tcBorders>
          </w:tcPr>
          <w:p w14:paraId="3FC1F135" w14:textId="77777777" w:rsidR="00327174" w:rsidRPr="0096427B" w:rsidRDefault="00327174" w:rsidP="00815F5D">
            <w:pPr>
              <w:pStyle w:val="TableText"/>
              <w:spacing w:line="240" w:lineRule="auto"/>
              <w:rPr>
                <w:color w:val="0D0D0D" w:themeColor="text1" w:themeTint="F2"/>
              </w:rPr>
            </w:pPr>
          </w:p>
        </w:tc>
        <w:tc>
          <w:tcPr>
            <w:tcW w:w="1701" w:type="dxa"/>
            <w:tcBorders>
              <w:top w:val="single" w:sz="4" w:space="0" w:color="auto"/>
            </w:tcBorders>
          </w:tcPr>
          <w:p w14:paraId="26615331" w14:textId="61DEE9F3" w:rsidR="00327174" w:rsidRPr="0096427B" w:rsidRDefault="00327174" w:rsidP="00B06B47">
            <w:pPr>
              <w:pStyle w:val="TableText"/>
              <w:spacing w:line="240" w:lineRule="auto"/>
              <w:ind w:firstLine="665"/>
              <w:rPr>
                <w:color w:val="0D0D0D" w:themeColor="text1" w:themeTint="F2"/>
              </w:rPr>
            </w:pPr>
            <w:r w:rsidRPr="0096427B">
              <w:rPr>
                <w:color w:val="0D0D0D" w:themeColor="text1" w:themeTint="F2"/>
              </w:rPr>
              <w:t>1</w:t>
            </w:r>
          </w:p>
        </w:tc>
        <w:tc>
          <w:tcPr>
            <w:tcW w:w="1843" w:type="dxa"/>
            <w:tcBorders>
              <w:top w:val="single" w:sz="4" w:space="0" w:color="auto"/>
            </w:tcBorders>
          </w:tcPr>
          <w:p w14:paraId="7EC156B0" w14:textId="483F2353" w:rsidR="00327174" w:rsidRPr="0096427B" w:rsidRDefault="00327174" w:rsidP="00B06B47">
            <w:pPr>
              <w:pStyle w:val="TableText"/>
              <w:spacing w:line="240" w:lineRule="auto"/>
              <w:ind w:left="-7" w:right="652" w:firstLine="7"/>
              <w:jc w:val="right"/>
              <w:rPr>
                <w:color w:val="0D0D0D" w:themeColor="text1" w:themeTint="F2"/>
              </w:rPr>
            </w:pPr>
            <w:r w:rsidRPr="0096427B">
              <w:rPr>
                <w:color w:val="0D0D0D" w:themeColor="text1" w:themeTint="F2"/>
              </w:rPr>
              <w:t>.49</w:t>
            </w:r>
          </w:p>
        </w:tc>
      </w:tr>
      <w:tr w:rsidR="00644CB1" w:rsidRPr="0096427B" w14:paraId="51B3D818" w14:textId="77777777" w:rsidTr="00B06B47">
        <w:tc>
          <w:tcPr>
            <w:tcW w:w="2552" w:type="dxa"/>
            <w:tcMar>
              <w:top w:w="100" w:type="dxa"/>
              <w:left w:w="100" w:type="dxa"/>
              <w:bottom w:w="100" w:type="dxa"/>
              <w:right w:w="100" w:type="dxa"/>
            </w:tcMar>
          </w:tcPr>
          <w:p w14:paraId="3F02B4AB" w14:textId="24407161" w:rsidR="00327174" w:rsidRPr="0096427B" w:rsidRDefault="00327174" w:rsidP="00815F5D">
            <w:pPr>
              <w:pStyle w:val="TableText"/>
              <w:spacing w:line="240" w:lineRule="auto"/>
              <w:rPr>
                <w:color w:val="0D0D0D" w:themeColor="text1" w:themeTint="F2"/>
              </w:rPr>
            </w:pPr>
            <w:r w:rsidRPr="0096427B">
              <w:rPr>
                <w:color w:val="0D0D0D" w:themeColor="text1" w:themeTint="F2"/>
              </w:rPr>
              <w:t>2 Poor</w:t>
            </w:r>
          </w:p>
        </w:tc>
        <w:tc>
          <w:tcPr>
            <w:tcW w:w="241" w:type="dxa"/>
          </w:tcPr>
          <w:p w14:paraId="01098E0C" w14:textId="77777777" w:rsidR="00327174" w:rsidRPr="0096427B" w:rsidRDefault="00327174" w:rsidP="00815F5D">
            <w:pPr>
              <w:pStyle w:val="TableText"/>
              <w:spacing w:line="240" w:lineRule="auto"/>
              <w:rPr>
                <w:color w:val="0D0D0D" w:themeColor="text1" w:themeTint="F2"/>
              </w:rPr>
            </w:pPr>
          </w:p>
        </w:tc>
        <w:tc>
          <w:tcPr>
            <w:tcW w:w="1701" w:type="dxa"/>
          </w:tcPr>
          <w:p w14:paraId="779FF481" w14:textId="03020F17" w:rsidR="00327174" w:rsidRPr="0096427B" w:rsidRDefault="00327174" w:rsidP="00B06B47">
            <w:pPr>
              <w:pStyle w:val="TableText"/>
              <w:spacing w:line="240" w:lineRule="auto"/>
              <w:ind w:firstLine="665"/>
              <w:rPr>
                <w:color w:val="0D0D0D" w:themeColor="text1" w:themeTint="F2"/>
              </w:rPr>
            </w:pPr>
            <w:r w:rsidRPr="0096427B">
              <w:rPr>
                <w:color w:val="0D0D0D" w:themeColor="text1" w:themeTint="F2"/>
              </w:rPr>
              <w:t>3</w:t>
            </w:r>
          </w:p>
        </w:tc>
        <w:tc>
          <w:tcPr>
            <w:tcW w:w="1843" w:type="dxa"/>
          </w:tcPr>
          <w:p w14:paraId="4E73F611" w14:textId="393AF574" w:rsidR="00327174" w:rsidRPr="0096427B" w:rsidRDefault="00327174" w:rsidP="00B06B47">
            <w:pPr>
              <w:pStyle w:val="TableText"/>
              <w:spacing w:line="240" w:lineRule="auto"/>
              <w:ind w:left="-7" w:right="652" w:firstLine="7"/>
              <w:jc w:val="right"/>
              <w:rPr>
                <w:color w:val="0D0D0D" w:themeColor="text1" w:themeTint="F2"/>
              </w:rPr>
            </w:pPr>
            <w:r w:rsidRPr="0096427B">
              <w:rPr>
                <w:color w:val="0D0D0D" w:themeColor="text1" w:themeTint="F2"/>
              </w:rPr>
              <w:t>1.47</w:t>
            </w:r>
          </w:p>
        </w:tc>
      </w:tr>
      <w:tr w:rsidR="00644CB1" w:rsidRPr="0096427B" w14:paraId="07045021" w14:textId="77777777" w:rsidTr="00B06B47">
        <w:tc>
          <w:tcPr>
            <w:tcW w:w="2552" w:type="dxa"/>
            <w:tcMar>
              <w:top w:w="100" w:type="dxa"/>
              <w:left w:w="100" w:type="dxa"/>
              <w:bottom w:w="100" w:type="dxa"/>
              <w:right w:w="100" w:type="dxa"/>
            </w:tcMar>
          </w:tcPr>
          <w:p w14:paraId="7B75FC76" w14:textId="224C5CCE" w:rsidR="00327174" w:rsidRPr="0096427B" w:rsidRDefault="00327174" w:rsidP="00815F5D">
            <w:pPr>
              <w:pStyle w:val="TableText"/>
              <w:spacing w:line="240" w:lineRule="auto"/>
              <w:rPr>
                <w:color w:val="0D0D0D" w:themeColor="text1" w:themeTint="F2"/>
              </w:rPr>
            </w:pPr>
            <w:r w:rsidRPr="0096427B">
              <w:rPr>
                <w:color w:val="0D0D0D" w:themeColor="text1" w:themeTint="F2"/>
              </w:rPr>
              <w:t>3 Satisfactory</w:t>
            </w:r>
          </w:p>
        </w:tc>
        <w:tc>
          <w:tcPr>
            <w:tcW w:w="241" w:type="dxa"/>
          </w:tcPr>
          <w:p w14:paraId="4E22E215" w14:textId="77777777" w:rsidR="00327174" w:rsidRPr="0096427B" w:rsidRDefault="00327174" w:rsidP="00815F5D">
            <w:pPr>
              <w:pStyle w:val="TableText"/>
              <w:spacing w:line="240" w:lineRule="auto"/>
              <w:rPr>
                <w:color w:val="0D0D0D" w:themeColor="text1" w:themeTint="F2"/>
              </w:rPr>
            </w:pPr>
          </w:p>
        </w:tc>
        <w:tc>
          <w:tcPr>
            <w:tcW w:w="1701" w:type="dxa"/>
          </w:tcPr>
          <w:p w14:paraId="7AD948CC" w14:textId="76D7C163" w:rsidR="00327174" w:rsidRPr="0096427B" w:rsidRDefault="00327174" w:rsidP="00B06B47">
            <w:pPr>
              <w:pStyle w:val="TableText"/>
              <w:spacing w:line="240" w:lineRule="auto"/>
              <w:ind w:firstLine="665"/>
              <w:rPr>
                <w:color w:val="0D0D0D" w:themeColor="text1" w:themeTint="F2"/>
              </w:rPr>
            </w:pPr>
            <w:r w:rsidRPr="0096427B">
              <w:rPr>
                <w:color w:val="0D0D0D" w:themeColor="text1" w:themeTint="F2"/>
              </w:rPr>
              <w:t>7</w:t>
            </w:r>
          </w:p>
        </w:tc>
        <w:tc>
          <w:tcPr>
            <w:tcW w:w="1843" w:type="dxa"/>
          </w:tcPr>
          <w:p w14:paraId="7CCAB164" w14:textId="25E735DD" w:rsidR="00327174" w:rsidRPr="0096427B" w:rsidRDefault="00327174" w:rsidP="00B06B47">
            <w:pPr>
              <w:pStyle w:val="TableText"/>
              <w:spacing w:line="240" w:lineRule="auto"/>
              <w:ind w:left="-7" w:right="652" w:firstLine="7"/>
              <w:jc w:val="right"/>
              <w:rPr>
                <w:color w:val="0D0D0D" w:themeColor="text1" w:themeTint="F2"/>
              </w:rPr>
            </w:pPr>
            <w:r w:rsidRPr="0096427B">
              <w:rPr>
                <w:color w:val="0D0D0D" w:themeColor="text1" w:themeTint="F2"/>
              </w:rPr>
              <w:t>3.40</w:t>
            </w:r>
          </w:p>
        </w:tc>
      </w:tr>
      <w:tr w:rsidR="00644CB1" w:rsidRPr="0096427B" w14:paraId="707370EA" w14:textId="77777777" w:rsidTr="00B06B47">
        <w:tc>
          <w:tcPr>
            <w:tcW w:w="2552" w:type="dxa"/>
            <w:tcMar>
              <w:top w:w="100" w:type="dxa"/>
              <w:left w:w="100" w:type="dxa"/>
              <w:bottom w:w="100" w:type="dxa"/>
              <w:right w:w="100" w:type="dxa"/>
            </w:tcMar>
          </w:tcPr>
          <w:p w14:paraId="4B82ACC6" w14:textId="35F79CEF" w:rsidR="00327174" w:rsidRPr="0096427B" w:rsidRDefault="00327174" w:rsidP="00815F5D">
            <w:pPr>
              <w:pStyle w:val="TableText"/>
              <w:spacing w:line="240" w:lineRule="auto"/>
              <w:rPr>
                <w:color w:val="0D0D0D" w:themeColor="text1" w:themeTint="F2"/>
              </w:rPr>
            </w:pPr>
            <w:r w:rsidRPr="0096427B">
              <w:rPr>
                <w:color w:val="0D0D0D" w:themeColor="text1" w:themeTint="F2"/>
              </w:rPr>
              <w:t>4 Very good</w:t>
            </w:r>
          </w:p>
        </w:tc>
        <w:tc>
          <w:tcPr>
            <w:tcW w:w="241" w:type="dxa"/>
          </w:tcPr>
          <w:p w14:paraId="199FA1E1" w14:textId="77777777" w:rsidR="00327174" w:rsidRPr="0096427B" w:rsidRDefault="00327174" w:rsidP="00815F5D">
            <w:pPr>
              <w:pStyle w:val="TableText"/>
              <w:spacing w:line="240" w:lineRule="auto"/>
              <w:rPr>
                <w:color w:val="0D0D0D" w:themeColor="text1" w:themeTint="F2"/>
              </w:rPr>
            </w:pPr>
          </w:p>
        </w:tc>
        <w:tc>
          <w:tcPr>
            <w:tcW w:w="1701" w:type="dxa"/>
          </w:tcPr>
          <w:p w14:paraId="1400677B" w14:textId="19958F1A" w:rsidR="00327174" w:rsidRPr="0096427B" w:rsidRDefault="00327174" w:rsidP="00B06B47">
            <w:pPr>
              <w:pStyle w:val="TableText"/>
              <w:spacing w:line="240" w:lineRule="auto"/>
              <w:ind w:firstLine="665"/>
              <w:rPr>
                <w:color w:val="0D0D0D" w:themeColor="text1" w:themeTint="F2"/>
              </w:rPr>
            </w:pPr>
            <w:r w:rsidRPr="0096427B">
              <w:rPr>
                <w:color w:val="0D0D0D" w:themeColor="text1" w:themeTint="F2"/>
              </w:rPr>
              <w:t>39</w:t>
            </w:r>
          </w:p>
        </w:tc>
        <w:tc>
          <w:tcPr>
            <w:tcW w:w="1843" w:type="dxa"/>
          </w:tcPr>
          <w:p w14:paraId="6E8E9EEA" w14:textId="2B88BB88" w:rsidR="00327174" w:rsidRPr="0096427B" w:rsidRDefault="00327174" w:rsidP="00B06B47">
            <w:pPr>
              <w:pStyle w:val="TableText"/>
              <w:spacing w:line="240" w:lineRule="auto"/>
              <w:ind w:left="-7" w:right="652" w:firstLine="7"/>
              <w:jc w:val="right"/>
              <w:rPr>
                <w:color w:val="0D0D0D" w:themeColor="text1" w:themeTint="F2"/>
              </w:rPr>
            </w:pPr>
            <w:r w:rsidRPr="0096427B">
              <w:rPr>
                <w:color w:val="0D0D0D" w:themeColor="text1" w:themeTint="F2"/>
              </w:rPr>
              <w:t>18.92</w:t>
            </w:r>
          </w:p>
        </w:tc>
      </w:tr>
      <w:tr w:rsidR="00644CB1" w:rsidRPr="0096427B" w14:paraId="1C0CE001" w14:textId="77777777" w:rsidTr="00B06B47">
        <w:tc>
          <w:tcPr>
            <w:tcW w:w="2552" w:type="dxa"/>
            <w:tcMar>
              <w:top w:w="100" w:type="dxa"/>
              <w:left w:w="100" w:type="dxa"/>
              <w:bottom w:w="100" w:type="dxa"/>
              <w:right w:w="100" w:type="dxa"/>
            </w:tcMar>
          </w:tcPr>
          <w:p w14:paraId="381BBB45" w14:textId="25CE7ECC" w:rsidR="00327174" w:rsidRPr="0096427B" w:rsidRDefault="00327174" w:rsidP="00815F5D">
            <w:pPr>
              <w:pStyle w:val="TableText"/>
              <w:spacing w:line="240" w:lineRule="auto"/>
              <w:rPr>
                <w:color w:val="0D0D0D" w:themeColor="text1" w:themeTint="F2"/>
              </w:rPr>
            </w:pPr>
            <w:r w:rsidRPr="0096427B">
              <w:rPr>
                <w:color w:val="0D0D0D" w:themeColor="text1" w:themeTint="F2"/>
              </w:rPr>
              <w:t>5 Perfect</w:t>
            </w:r>
          </w:p>
        </w:tc>
        <w:tc>
          <w:tcPr>
            <w:tcW w:w="241" w:type="dxa"/>
          </w:tcPr>
          <w:p w14:paraId="6677FD8F" w14:textId="77777777" w:rsidR="00327174" w:rsidRPr="0096427B" w:rsidRDefault="00327174" w:rsidP="00815F5D">
            <w:pPr>
              <w:pStyle w:val="TableText"/>
              <w:spacing w:line="240" w:lineRule="auto"/>
              <w:rPr>
                <w:color w:val="0D0D0D" w:themeColor="text1" w:themeTint="F2"/>
              </w:rPr>
            </w:pPr>
          </w:p>
        </w:tc>
        <w:tc>
          <w:tcPr>
            <w:tcW w:w="1701" w:type="dxa"/>
          </w:tcPr>
          <w:p w14:paraId="5238DB0F" w14:textId="2577229F" w:rsidR="00327174" w:rsidRPr="0096427B" w:rsidRDefault="00327174" w:rsidP="00B06B47">
            <w:pPr>
              <w:pStyle w:val="TableText"/>
              <w:spacing w:line="240" w:lineRule="auto"/>
              <w:ind w:firstLine="665"/>
              <w:rPr>
                <w:color w:val="0D0D0D" w:themeColor="text1" w:themeTint="F2"/>
              </w:rPr>
            </w:pPr>
            <w:r w:rsidRPr="0096427B">
              <w:rPr>
                <w:color w:val="0D0D0D" w:themeColor="text1" w:themeTint="F2"/>
              </w:rPr>
              <w:t>156</w:t>
            </w:r>
          </w:p>
        </w:tc>
        <w:tc>
          <w:tcPr>
            <w:tcW w:w="1843" w:type="dxa"/>
          </w:tcPr>
          <w:p w14:paraId="6A38B1E0" w14:textId="3ADE7E20" w:rsidR="00327174" w:rsidRPr="0096427B" w:rsidRDefault="00327174" w:rsidP="00B06B47">
            <w:pPr>
              <w:pStyle w:val="TableText"/>
              <w:spacing w:line="240" w:lineRule="auto"/>
              <w:ind w:left="-7" w:right="652" w:firstLine="7"/>
              <w:jc w:val="right"/>
              <w:rPr>
                <w:color w:val="0D0D0D" w:themeColor="text1" w:themeTint="F2"/>
              </w:rPr>
            </w:pPr>
            <w:r w:rsidRPr="0096427B">
              <w:rPr>
                <w:color w:val="0D0D0D" w:themeColor="text1" w:themeTint="F2"/>
              </w:rPr>
              <w:t>75.72</w:t>
            </w:r>
          </w:p>
        </w:tc>
      </w:tr>
      <w:tr w:rsidR="00327174" w:rsidRPr="0096427B" w14:paraId="5B3B99D2" w14:textId="77777777" w:rsidTr="00B06B47">
        <w:tc>
          <w:tcPr>
            <w:tcW w:w="2552" w:type="dxa"/>
            <w:tcBorders>
              <w:bottom w:val="single" w:sz="4" w:space="0" w:color="auto"/>
            </w:tcBorders>
            <w:tcMar>
              <w:top w:w="100" w:type="dxa"/>
              <w:left w:w="100" w:type="dxa"/>
              <w:bottom w:w="100" w:type="dxa"/>
              <w:right w:w="100" w:type="dxa"/>
            </w:tcMar>
          </w:tcPr>
          <w:p w14:paraId="17BFAF3B" w14:textId="77777777" w:rsidR="00327174" w:rsidRPr="0096427B" w:rsidRDefault="00327174" w:rsidP="00815F5D">
            <w:pPr>
              <w:pStyle w:val="TableText"/>
              <w:spacing w:line="240" w:lineRule="auto"/>
              <w:rPr>
                <w:color w:val="0D0D0D" w:themeColor="text1" w:themeTint="F2"/>
              </w:rPr>
            </w:pPr>
            <w:r w:rsidRPr="0096427B">
              <w:rPr>
                <w:color w:val="0D0D0D" w:themeColor="text1" w:themeTint="F2"/>
              </w:rPr>
              <w:t>Total</w:t>
            </w:r>
          </w:p>
        </w:tc>
        <w:tc>
          <w:tcPr>
            <w:tcW w:w="241" w:type="dxa"/>
            <w:tcBorders>
              <w:bottom w:val="single" w:sz="4" w:space="0" w:color="auto"/>
            </w:tcBorders>
          </w:tcPr>
          <w:p w14:paraId="4B70BDFB" w14:textId="77777777" w:rsidR="00327174" w:rsidRPr="0096427B" w:rsidRDefault="00327174" w:rsidP="00815F5D">
            <w:pPr>
              <w:pStyle w:val="TableText"/>
              <w:spacing w:line="240" w:lineRule="auto"/>
              <w:rPr>
                <w:color w:val="0D0D0D" w:themeColor="text1" w:themeTint="F2"/>
              </w:rPr>
            </w:pPr>
          </w:p>
        </w:tc>
        <w:tc>
          <w:tcPr>
            <w:tcW w:w="1701" w:type="dxa"/>
            <w:tcBorders>
              <w:bottom w:val="single" w:sz="4" w:space="0" w:color="auto"/>
            </w:tcBorders>
          </w:tcPr>
          <w:p w14:paraId="3A1B6AE2" w14:textId="5E71B670" w:rsidR="00327174" w:rsidRPr="0096427B" w:rsidRDefault="00327174" w:rsidP="00B06B47">
            <w:pPr>
              <w:pStyle w:val="TableText"/>
              <w:spacing w:line="240" w:lineRule="auto"/>
              <w:ind w:firstLine="665"/>
              <w:rPr>
                <w:color w:val="0D0D0D" w:themeColor="text1" w:themeTint="F2"/>
              </w:rPr>
            </w:pPr>
            <w:r w:rsidRPr="0096427B">
              <w:rPr>
                <w:color w:val="0D0D0D" w:themeColor="text1" w:themeTint="F2"/>
              </w:rPr>
              <w:t>206</w:t>
            </w:r>
          </w:p>
        </w:tc>
        <w:tc>
          <w:tcPr>
            <w:tcW w:w="1843" w:type="dxa"/>
            <w:tcBorders>
              <w:bottom w:val="single" w:sz="4" w:space="0" w:color="auto"/>
            </w:tcBorders>
          </w:tcPr>
          <w:p w14:paraId="48E02D6D" w14:textId="2088C70C" w:rsidR="00327174" w:rsidRPr="0096427B" w:rsidRDefault="00327174" w:rsidP="00B06B47">
            <w:pPr>
              <w:pStyle w:val="TableText"/>
              <w:spacing w:line="240" w:lineRule="auto"/>
              <w:ind w:left="-7" w:right="652" w:firstLine="7"/>
              <w:jc w:val="right"/>
              <w:rPr>
                <w:color w:val="0D0D0D" w:themeColor="text1" w:themeTint="F2"/>
              </w:rPr>
            </w:pPr>
            <w:r w:rsidRPr="0096427B">
              <w:rPr>
                <w:color w:val="0D0D0D" w:themeColor="text1" w:themeTint="F2"/>
              </w:rPr>
              <w:t>100</w:t>
            </w:r>
          </w:p>
        </w:tc>
      </w:tr>
    </w:tbl>
    <w:p w14:paraId="4CD1CEAE" w14:textId="77777777" w:rsidR="002B03BD" w:rsidRPr="00644CB1" w:rsidRDefault="002B03BD" w:rsidP="0099478C">
      <w:pPr>
        <w:tabs>
          <w:tab w:val="left" w:pos="851"/>
        </w:tabs>
        <w:spacing w:after="120" w:line="240" w:lineRule="auto"/>
        <w:rPr>
          <w:rFonts w:ascii="Arial" w:hAnsi="Arial" w:cs="Arial"/>
          <w:b/>
          <w:bCs/>
          <w:color w:val="0D0D0D" w:themeColor="text1" w:themeTint="F2"/>
          <w:sz w:val="18"/>
          <w:szCs w:val="18"/>
          <w:lang w:val="en-US"/>
        </w:rPr>
      </w:pPr>
    </w:p>
    <w:p w14:paraId="09457708" w14:textId="38DB36CB" w:rsidR="007128A8" w:rsidRPr="00E15AEB" w:rsidRDefault="007128A8" w:rsidP="0099478C">
      <w:pPr>
        <w:tabs>
          <w:tab w:val="left" w:pos="851"/>
        </w:tabs>
        <w:spacing w:after="120" w:line="240" w:lineRule="auto"/>
        <w:rPr>
          <w:rFonts w:ascii="Arial" w:hAnsi="Arial" w:cs="Arial"/>
          <w:color w:val="0D0D0D" w:themeColor="text1" w:themeTint="F2"/>
          <w:sz w:val="18"/>
          <w:szCs w:val="18"/>
        </w:rPr>
      </w:pPr>
      <w:r w:rsidRPr="00E15AEB">
        <w:rPr>
          <w:rFonts w:ascii="Arial" w:hAnsi="Arial" w:cs="Arial"/>
          <w:b/>
          <w:bCs/>
          <w:color w:val="0D0D0D" w:themeColor="text1" w:themeTint="F2"/>
          <w:sz w:val="18"/>
          <w:szCs w:val="18"/>
          <w:lang w:val="en-US"/>
        </w:rPr>
        <w:t xml:space="preserve">Table </w:t>
      </w:r>
      <w:r w:rsidR="00B44B02" w:rsidRPr="00E15AEB">
        <w:rPr>
          <w:rFonts w:ascii="Arial" w:hAnsi="Arial" w:cs="Arial"/>
          <w:b/>
          <w:bCs/>
          <w:color w:val="0D0D0D" w:themeColor="text1" w:themeTint="F2"/>
          <w:sz w:val="18"/>
          <w:szCs w:val="18"/>
          <w:lang w:val="en-US"/>
        </w:rPr>
        <w:t>5:</w:t>
      </w:r>
      <w:r w:rsidR="00B44B02" w:rsidRPr="00E15AEB">
        <w:rPr>
          <w:rFonts w:ascii="Arial" w:hAnsi="Arial" w:cs="Arial"/>
          <w:color w:val="0D0D0D" w:themeColor="text1" w:themeTint="F2"/>
          <w:sz w:val="18"/>
          <w:szCs w:val="18"/>
          <w:lang w:val="en-US"/>
        </w:rPr>
        <w:t xml:space="preserve"> Evaluation</w:t>
      </w:r>
      <w:r w:rsidR="00686E22" w:rsidRPr="00E15AEB">
        <w:rPr>
          <w:rFonts w:ascii="Arial" w:hAnsi="Arial" w:cs="Arial"/>
          <w:color w:val="0D0D0D" w:themeColor="text1" w:themeTint="F2"/>
          <w:sz w:val="18"/>
          <w:szCs w:val="18"/>
          <w:lang w:val="en-US"/>
        </w:rPr>
        <w:t xml:space="preserve"> of the organizers’ sport event management efficiency by the participants’ gender </w:t>
      </w:r>
    </w:p>
    <w:tbl>
      <w:tblPr>
        <w:tblW w:w="7938" w:type="dxa"/>
        <w:tblLayout w:type="fixed"/>
        <w:tblLook w:val="0600" w:firstRow="0" w:lastRow="0" w:firstColumn="0" w:lastColumn="0" w:noHBand="1" w:noVBand="1"/>
      </w:tblPr>
      <w:tblGrid>
        <w:gridCol w:w="2552"/>
        <w:gridCol w:w="1219"/>
        <w:gridCol w:w="1219"/>
        <w:gridCol w:w="1673"/>
        <w:gridCol w:w="1275"/>
      </w:tblGrid>
      <w:tr w:rsidR="00644CB1" w:rsidRPr="001B1B15" w14:paraId="2860B7C5" w14:textId="77777777" w:rsidTr="00477FBC">
        <w:trPr>
          <w:trHeight w:val="360"/>
        </w:trPr>
        <w:tc>
          <w:tcPr>
            <w:tcW w:w="2552" w:type="dxa"/>
            <w:tcBorders>
              <w:top w:val="single" w:sz="4" w:space="0" w:color="auto"/>
              <w:bottom w:val="single" w:sz="4" w:space="0" w:color="auto"/>
            </w:tcBorders>
            <w:tcMar>
              <w:top w:w="100" w:type="dxa"/>
              <w:left w:w="100" w:type="dxa"/>
              <w:bottom w:w="100" w:type="dxa"/>
              <w:right w:w="100" w:type="dxa"/>
            </w:tcMar>
          </w:tcPr>
          <w:p w14:paraId="48F43264" w14:textId="41764260" w:rsidR="007128A8" w:rsidRPr="001B1B15" w:rsidRDefault="006D15EF" w:rsidP="00B44B02">
            <w:pPr>
              <w:pStyle w:val="TableText"/>
              <w:spacing w:line="240" w:lineRule="auto"/>
              <w:rPr>
                <w:color w:val="0D0D0D" w:themeColor="text1" w:themeTint="F2"/>
              </w:rPr>
            </w:pPr>
            <w:r w:rsidRPr="001B1B15">
              <w:rPr>
                <w:color w:val="0D0D0D" w:themeColor="text1" w:themeTint="F2"/>
              </w:rPr>
              <w:t>Gender</w:t>
            </w:r>
          </w:p>
        </w:tc>
        <w:tc>
          <w:tcPr>
            <w:tcW w:w="1219" w:type="dxa"/>
            <w:tcBorders>
              <w:top w:val="single" w:sz="4" w:space="0" w:color="auto"/>
              <w:bottom w:val="single" w:sz="4" w:space="0" w:color="auto"/>
            </w:tcBorders>
            <w:tcMar>
              <w:top w:w="100" w:type="dxa"/>
              <w:left w:w="100" w:type="dxa"/>
              <w:bottom w:w="100" w:type="dxa"/>
              <w:right w:w="100" w:type="dxa"/>
            </w:tcMar>
          </w:tcPr>
          <w:p w14:paraId="5B3E00EA" w14:textId="3F31C2D0" w:rsidR="007128A8" w:rsidRPr="001B1B15" w:rsidRDefault="007128A8" w:rsidP="00B44B02">
            <w:pPr>
              <w:pStyle w:val="TableText"/>
              <w:spacing w:line="240" w:lineRule="auto"/>
              <w:rPr>
                <w:color w:val="0D0D0D" w:themeColor="text1" w:themeTint="F2"/>
              </w:rPr>
            </w:pPr>
            <w:r w:rsidRPr="001B1B15">
              <w:rPr>
                <w:color w:val="0D0D0D" w:themeColor="text1" w:themeTint="F2"/>
              </w:rPr>
              <w:t xml:space="preserve">Mean score (scale </w:t>
            </w:r>
            <w:r w:rsidR="00B47351" w:rsidRPr="001B1B15">
              <w:rPr>
                <w:color w:val="0D0D0D" w:themeColor="text1" w:themeTint="F2"/>
              </w:rPr>
              <w:t>1-5</w:t>
            </w:r>
            <w:r w:rsidRPr="001B1B15">
              <w:rPr>
                <w:color w:val="0D0D0D" w:themeColor="text1" w:themeTint="F2"/>
              </w:rPr>
              <w:t>)</w:t>
            </w:r>
          </w:p>
        </w:tc>
        <w:tc>
          <w:tcPr>
            <w:tcW w:w="1219" w:type="dxa"/>
            <w:tcBorders>
              <w:top w:val="single" w:sz="4" w:space="0" w:color="auto"/>
              <w:bottom w:val="single" w:sz="4" w:space="0" w:color="auto"/>
            </w:tcBorders>
            <w:tcMar>
              <w:top w:w="100" w:type="dxa"/>
              <w:left w:w="100" w:type="dxa"/>
              <w:bottom w:w="100" w:type="dxa"/>
              <w:right w:w="100" w:type="dxa"/>
            </w:tcMar>
          </w:tcPr>
          <w:p w14:paraId="74B601FF" w14:textId="77777777" w:rsidR="007128A8" w:rsidRPr="001B1B15" w:rsidRDefault="007128A8" w:rsidP="00B44B02">
            <w:pPr>
              <w:pStyle w:val="TableText"/>
              <w:spacing w:line="240" w:lineRule="auto"/>
              <w:rPr>
                <w:color w:val="0D0D0D" w:themeColor="text1" w:themeTint="F2"/>
              </w:rPr>
            </w:pPr>
            <w:r w:rsidRPr="001B1B15">
              <w:rPr>
                <w:color w:val="0D0D0D" w:themeColor="text1" w:themeTint="F2"/>
              </w:rPr>
              <w:t>Standard</w:t>
            </w:r>
          </w:p>
          <w:p w14:paraId="0577908C" w14:textId="77777777" w:rsidR="007128A8" w:rsidRPr="001B1B15" w:rsidRDefault="007128A8" w:rsidP="00B44B02">
            <w:pPr>
              <w:pStyle w:val="TableText"/>
              <w:spacing w:line="240" w:lineRule="auto"/>
              <w:rPr>
                <w:color w:val="0D0D0D" w:themeColor="text1" w:themeTint="F2"/>
              </w:rPr>
            </w:pPr>
            <w:r w:rsidRPr="001B1B15">
              <w:rPr>
                <w:color w:val="0D0D0D" w:themeColor="text1" w:themeTint="F2"/>
              </w:rPr>
              <w:t>deviation</w:t>
            </w:r>
          </w:p>
        </w:tc>
        <w:tc>
          <w:tcPr>
            <w:tcW w:w="1673" w:type="dxa"/>
            <w:tcBorders>
              <w:top w:val="single" w:sz="4" w:space="0" w:color="auto"/>
              <w:bottom w:val="single" w:sz="4" w:space="0" w:color="auto"/>
            </w:tcBorders>
          </w:tcPr>
          <w:p w14:paraId="56F0F68B" w14:textId="246818C6" w:rsidR="007128A8" w:rsidRPr="001B1B15" w:rsidRDefault="006D15EF" w:rsidP="001B1B15">
            <w:pPr>
              <w:pStyle w:val="TableText"/>
              <w:spacing w:line="240" w:lineRule="auto"/>
              <w:jc w:val="center"/>
              <w:rPr>
                <w:color w:val="0D0D0D" w:themeColor="text1" w:themeTint="F2"/>
              </w:rPr>
            </w:pPr>
            <w:r w:rsidRPr="001B1B15">
              <w:rPr>
                <w:color w:val="0D0D0D" w:themeColor="text1" w:themeTint="F2"/>
              </w:rPr>
              <w:t>Frequency</w:t>
            </w:r>
            <w:r w:rsidR="001B1B15">
              <w:rPr>
                <w:color w:val="0D0D0D" w:themeColor="text1" w:themeTint="F2"/>
              </w:rPr>
              <w:t xml:space="preserve"> </w:t>
            </w:r>
            <w:r w:rsidR="007128A8" w:rsidRPr="001B1B15">
              <w:rPr>
                <w:color w:val="0D0D0D" w:themeColor="text1" w:themeTint="F2"/>
              </w:rPr>
              <w:t>f</w:t>
            </w:r>
          </w:p>
        </w:tc>
        <w:tc>
          <w:tcPr>
            <w:tcW w:w="1275" w:type="dxa"/>
            <w:tcBorders>
              <w:top w:val="single" w:sz="4" w:space="0" w:color="auto"/>
              <w:bottom w:val="single" w:sz="4" w:space="0" w:color="auto"/>
            </w:tcBorders>
          </w:tcPr>
          <w:p w14:paraId="752F085C" w14:textId="23173172" w:rsidR="007128A8" w:rsidRPr="001B1B15" w:rsidRDefault="00477FBC" w:rsidP="001B1B15">
            <w:pPr>
              <w:pStyle w:val="TableText"/>
              <w:spacing w:line="240" w:lineRule="auto"/>
              <w:jc w:val="center"/>
              <w:rPr>
                <w:color w:val="0D0D0D" w:themeColor="text1" w:themeTint="F2"/>
              </w:rPr>
            </w:pPr>
            <w:r w:rsidRPr="001B1B15">
              <w:rPr>
                <w:color w:val="0D0D0D" w:themeColor="text1" w:themeTint="F2"/>
              </w:rPr>
              <w:t>Percentage</w:t>
            </w:r>
            <w:r w:rsidR="001B1B15">
              <w:rPr>
                <w:color w:val="0D0D0D" w:themeColor="text1" w:themeTint="F2"/>
              </w:rPr>
              <w:t xml:space="preserve"> </w:t>
            </w:r>
            <w:r w:rsidR="007128A8" w:rsidRPr="001B1B15">
              <w:rPr>
                <w:color w:val="0D0D0D" w:themeColor="text1" w:themeTint="F2"/>
              </w:rPr>
              <w:t>%</w:t>
            </w:r>
          </w:p>
        </w:tc>
      </w:tr>
      <w:tr w:rsidR="00644CB1" w:rsidRPr="001B1B15" w14:paraId="2AC23072" w14:textId="77777777" w:rsidTr="00477FBC">
        <w:tc>
          <w:tcPr>
            <w:tcW w:w="2552" w:type="dxa"/>
            <w:tcBorders>
              <w:top w:val="single" w:sz="4" w:space="0" w:color="auto"/>
            </w:tcBorders>
            <w:tcMar>
              <w:top w:w="100" w:type="dxa"/>
              <w:left w:w="100" w:type="dxa"/>
              <w:bottom w:w="100" w:type="dxa"/>
              <w:right w:w="100" w:type="dxa"/>
            </w:tcMar>
          </w:tcPr>
          <w:p w14:paraId="2176CE45" w14:textId="77777777" w:rsidR="007128A8" w:rsidRPr="001B1B15" w:rsidRDefault="007128A8" w:rsidP="00B44B02">
            <w:pPr>
              <w:pStyle w:val="TableText"/>
              <w:spacing w:line="240" w:lineRule="auto"/>
              <w:rPr>
                <w:color w:val="0D0D0D" w:themeColor="text1" w:themeTint="F2"/>
              </w:rPr>
            </w:pPr>
            <w:r w:rsidRPr="001B1B15">
              <w:rPr>
                <w:color w:val="0D0D0D" w:themeColor="text1" w:themeTint="F2"/>
              </w:rPr>
              <w:t>Men</w:t>
            </w:r>
          </w:p>
        </w:tc>
        <w:tc>
          <w:tcPr>
            <w:tcW w:w="1219" w:type="dxa"/>
            <w:tcBorders>
              <w:top w:val="single" w:sz="4" w:space="0" w:color="auto"/>
            </w:tcBorders>
            <w:tcMar>
              <w:top w:w="100" w:type="dxa"/>
              <w:left w:w="100" w:type="dxa"/>
              <w:bottom w:w="100" w:type="dxa"/>
              <w:right w:w="100" w:type="dxa"/>
            </w:tcMar>
          </w:tcPr>
          <w:p w14:paraId="65D3EE67" w14:textId="42658CEE" w:rsidR="007128A8" w:rsidRPr="001B1B15" w:rsidRDefault="0057146C" w:rsidP="00B44B02">
            <w:pPr>
              <w:pStyle w:val="TableText"/>
              <w:spacing w:line="240" w:lineRule="auto"/>
              <w:rPr>
                <w:color w:val="0D0D0D" w:themeColor="text1" w:themeTint="F2"/>
              </w:rPr>
            </w:pPr>
            <w:r w:rsidRPr="001B1B15">
              <w:rPr>
                <w:color w:val="0D0D0D" w:themeColor="text1" w:themeTint="F2"/>
              </w:rPr>
              <w:t>4.84</w:t>
            </w:r>
          </w:p>
        </w:tc>
        <w:tc>
          <w:tcPr>
            <w:tcW w:w="1219" w:type="dxa"/>
            <w:tcBorders>
              <w:top w:val="single" w:sz="4" w:space="0" w:color="auto"/>
            </w:tcBorders>
            <w:tcMar>
              <w:top w:w="100" w:type="dxa"/>
              <w:left w:w="100" w:type="dxa"/>
              <w:bottom w:w="100" w:type="dxa"/>
              <w:right w:w="100" w:type="dxa"/>
            </w:tcMar>
          </w:tcPr>
          <w:p w14:paraId="0E6DCE3F" w14:textId="1395FBA3" w:rsidR="007128A8" w:rsidRPr="001B1B15" w:rsidRDefault="000F2BA6" w:rsidP="00B06B47">
            <w:pPr>
              <w:pStyle w:val="TableText"/>
              <w:tabs>
                <w:tab w:val="left" w:pos="543"/>
                <w:tab w:val="left" w:pos="633"/>
              </w:tabs>
              <w:spacing w:line="240" w:lineRule="auto"/>
              <w:ind w:right="204"/>
              <w:jc w:val="center"/>
              <w:rPr>
                <w:color w:val="0D0D0D" w:themeColor="text1" w:themeTint="F2"/>
              </w:rPr>
            </w:pPr>
            <w:r w:rsidRPr="001B1B15">
              <w:rPr>
                <w:color w:val="0D0D0D" w:themeColor="text1" w:themeTint="F2"/>
              </w:rPr>
              <w:t>.29</w:t>
            </w:r>
          </w:p>
        </w:tc>
        <w:tc>
          <w:tcPr>
            <w:tcW w:w="1673" w:type="dxa"/>
            <w:tcBorders>
              <w:top w:val="single" w:sz="4" w:space="0" w:color="auto"/>
            </w:tcBorders>
          </w:tcPr>
          <w:p w14:paraId="258DFEC9" w14:textId="090B92D2" w:rsidR="007128A8" w:rsidRPr="001B1B15" w:rsidRDefault="000F2BA6" w:rsidP="00B06B47">
            <w:pPr>
              <w:pStyle w:val="TableText"/>
              <w:spacing w:line="240" w:lineRule="auto"/>
              <w:ind w:right="525"/>
              <w:jc w:val="right"/>
              <w:rPr>
                <w:color w:val="0D0D0D" w:themeColor="text1" w:themeTint="F2"/>
              </w:rPr>
            </w:pPr>
            <w:r w:rsidRPr="001B1B15">
              <w:rPr>
                <w:color w:val="0D0D0D" w:themeColor="text1" w:themeTint="F2"/>
              </w:rPr>
              <w:t>100</w:t>
            </w:r>
          </w:p>
        </w:tc>
        <w:tc>
          <w:tcPr>
            <w:tcW w:w="1275" w:type="dxa"/>
            <w:tcBorders>
              <w:top w:val="single" w:sz="4" w:space="0" w:color="auto"/>
            </w:tcBorders>
          </w:tcPr>
          <w:p w14:paraId="53742BD3" w14:textId="63CE7B13" w:rsidR="007128A8" w:rsidRPr="001B1B15" w:rsidRDefault="000F2BA6" w:rsidP="00C522D8">
            <w:pPr>
              <w:pStyle w:val="TableText"/>
              <w:tabs>
                <w:tab w:val="left" w:pos="600"/>
              </w:tabs>
              <w:spacing w:line="240" w:lineRule="auto"/>
              <w:ind w:right="363"/>
              <w:jc w:val="right"/>
              <w:rPr>
                <w:color w:val="0D0D0D" w:themeColor="text1" w:themeTint="F2"/>
              </w:rPr>
            </w:pPr>
            <w:r w:rsidRPr="001B1B15">
              <w:rPr>
                <w:color w:val="0D0D0D" w:themeColor="text1" w:themeTint="F2"/>
              </w:rPr>
              <w:t>49</w:t>
            </w:r>
          </w:p>
        </w:tc>
      </w:tr>
      <w:tr w:rsidR="00644CB1" w:rsidRPr="001B1B15" w14:paraId="48EA4764" w14:textId="77777777" w:rsidTr="00477FBC">
        <w:tc>
          <w:tcPr>
            <w:tcW w:w="2552" w:type="dxa"/>
            <w:tcMar>
              <w:top w:w="100" w:type="dxa"/>
              <w:left w:w="100" w:type="dxa"/>
              <w:bottom w:w="100" w:type="dxa"/>
              <w:right w:w="100" w:type="dxa"/>
            </w:tcMar>
          </w:tcPr>
          <w:p w14:paraId="76C94360" w14:textId="77777777" w:rsidR="007128A8" w:rsidRPr="001B1B15" w:rsidRDefault="007128A8" w:rsidP="00B44B02">
            <w:pPr>
              <w:pStyle w:val="TableText"/>
              <w:spacing w:line="240" w:lineRule="auto"/>
              <w:rPr>
                <w:color w:val="0D0D0D" w:themeColor="text1" w:themeTint="F2"/>
              </w:rPr>
            </w:pPr>
            <w:r w:rsidRPr="001B1B15">
              <w:rPr>
                <w:color w:val="0D0D0D" w:themeColor="text1" w:themeTint="F2"/>
              </w:rPr>
              <w:t>Women</w:t>
            </w:r>
          </w:p>
        </w:tc>
        <w:tc>
          <w:tcPr>
            <w:tcW w:w="1219" w:type="dxa"/>
            <w:tcMar>
              <w:top w:w="100" w:type="dxa"/>
              <w:left w:w="100" w:type="dxa"/>
              <w:bottom w:w="100" w:type="dxa"/>
              <w:right w:w="100" w:type="dxa"/>
            </w:tcMar>
          </w:tcPr>
          <w:p w14:paraId="222AC266" w14:textId="3C21C757" w:rsidR="007128A8" w:rsidRPr="001B1B15" w:rsidRDefault="0057146C" w:rsidP="00B44B02">
            <w:pPr>
              <w:pStyle w:val="TableText"/>
              <w:spacing w:line="240" w:lineRule="auto"/>
              <w:rPr>
                <w:color w:val="0D0D0D" w:themeColor="text1" w:themeTint="F2"/>
              </w:rPr>
            </w:pPr>
            <w:r w:rsidRPr="001B1B15">
              <w:rPr>
                <w:color w:val="0D0D0D" w:themeColor="text1" w:themeTint="F2"/>
              </w:rPr>
              <w:t>4.79</w:t>
            </w:r>
          </w:p>
        </w:tc>
        <w:tc>
          <w:tcPr>
            <w:tcW w:w="1219" w:type="dxa"/>
            <w:tcMar>
              <w:top w:w="100" w:type="dxa"/>
              <w:left w:w="100" w:type="dxa"/>
              <w:bottom w:w="100" w:type="dxa"/>
              <w:right w:w="100" w:type="dxa"/>
            </w:tcMar>
          </w:tcPr>
          <w:p w14:paraId="5D7074BB" w14:textId="0861C732" w:rsidR="007128A8" w:rsidRPr="001B1B15" w:rsidRDefault="000F2BA6" w:rsidP="00B06B47">
            <w:pPr>
              <w:pStyle w:val="TableText"/>
              <w:tabs>
                <w:tab w:val="left" w:pos="543"/>
                <w:tab w:val="left" w:pos="633"/>
              </w:tabs>
              <w:spacing w:line="240" w:lineRule="auto"/>
              <w:ind w:right="204"/>
              <w:jc w:val="center"/>
              <w:rPr>
                <w:color w:val="0D0D0D" w:themeColor="text1" w:themeTint="F2"/>
              </w:rPr>
            </w:pPr>
            <w:r w:rsidRPr="001B1B15">
              <w:rPr>
                <w:color w:val="0D0D0D" w:themeColor="text1" w:themeTint="F2"/>
              </w:rPr>
              <w:t>.41</w:t>
            </w:r>
          </w:p>
        </w:tc>
        <w:tc>
          <w:tcPr>
            <w:tcW w:w="1673" w:type="dxa"/>
          </w:tcPr>
          <w:p w14:paraId="3E3B142F" w14:textId="3194232B" w:rsidR="007128A8" w:rsidRPr="001B1B15" w:rsidRDefault="000F2BA6" w:rsidP="00B06B47">
            <w:pPr>
              <w:pStyle w:val="TableText"/>
              <w:spacing w:line="240" w:lineRule="auto"/>
              <w:ind w:right="525"/>
              <w:jc w:val="right"/>
              <w:rPr>
                <w:color w:val="0D0D0D" w:themeColor="text1" w:themeTint="F2"/>
              </w:rPr>
            </w:pPr>
            <w:r w:rsidRPr="001B1B15">
              <w:rPr>
                <w:color w:val="0D0D0D" w:themeColor="text1" w:themeTint="F2"/>
              </w:rPr>
              <w:t>106</w:t>
            </w:r>
          </w:p>
        </w:tc>
        <w:tc>
          <w:tcPr>
            <w:tcW w:w="1275" w:type="dxa"/>
          </w:tcPr>
          <w:p w14:paraId="7B821847" w14:textId="6CFC975F" w:rsidR="007128A8" w:rsidRPr="001B1B15" w:rsidRDefault="000F2BA6" w:rsidP="00C522D8">
            <w:pPr>
              <w:pStyle w:val="TableText"/>
              <w:tabs>
                <w:tab w:val="left" w:pos="600"/>
              </w:tabs>
              <w:spacing w:line="240" w:lineRule="auto"/>
              <w:ind w:right="363"/>
              <w:jc w:val="right"/>
              <w:rPr>
                <w:color w:val="0D0D0D" w:themeColor="text1" w:themeTint="F2"/>
              </w:rPr>
            </w:pPr>
            <w:r w:rsidRPr="001B1B15">
              <w:rPr>
                <w:color w:val="0D0D0D" w:themeColor="text1" w:themeTint="F2"/>
              </w:rPr>
              <w:t>51</w:t>
            </w:r>
          </w:p>
        </w:tc>
      </w:tr>
      <w:tr w:rsidR="007128A8" w:rsidRPr="001B1B15" w14:paraId="01577009" w14:textId="77777777" w:rsidTr="00477FBC">
        <w:tc>
          <w:tcPr>
            <w:tcW w:w="2552" w:type="dxa"/>
            <w:tcBorders>
              <w:bottom w:val="single" w:sz="4" w:space="0" w:color="auto"/>
            </w:tcBorders>
            <w:tcMar>
              <w:top w:w="100" w:type="dxa"/>
              <w:left w:w="100" w:type="dxa"/>
              <w:bottom w:w="100" w:type="dxa"/>
              <w:right w:w="100" w:type="dxa"/>
            </w:tcMar>
          </w:tcPr>
          <w:p w14:paraId="0D4D9324" w14:textId="77777777" w:rsidR="007128A8" w:rsidRPr="001B1B15" w:rsidRDefault="007128A8" w:rsidP="00B44B02">
            <w:pPr>
              <w:pStyle w:val="TableText"/>
              <w:spacing w:line="240" w:lineRule="auto"/>
              <w:rPr>
                <w:color w:val="0D0D0D" w:themeColor="text1" w:themeTint="F2"/>
              </w:rPr>
            </w:pPr>
            <w:r w:rsidRPr="001B1B15">
              <w:rPr>
                <w:color w:val="0D0D0D" w:themeColor="text1" w:themeTint="F2"/>
              </w:rPr>
              <w:t>Total</w:t>
            </w:r>
          </w:p>
        </w:tc>
        <w:tc>
          <w:tcPr>
            <w:tcW w:w="1219" w:type="dxa"/>
            <w:tcBorders>
              <w:bottom w:val="single" w:sz="4" w:space="0" w:color="auto"/>
            </w:tcBorders>
            <w:tcMar>
              <w:top w:w="100" w:type="dxa"/>
              <w:left w:w="100" w:type="dxa"/>
              <w:bottom w:w="100" w:type="dxa"/>
              <w:right w:w="100" w:type="dxa"/>
            </w:tcMar>
          </w:tcPr>
          <w:p w14:paraId="74128625" w14:textId="492C9B50" w:rsidR="007128A8" w:rsidRPr="001B1B15" w:rsidRDefault="0057146C" w:rsidP="00B44B02">
            <w:pPr>
              <w:pStyle w:val="TableText"/>
              <w:spacing w:line="240" w:lineRule="auto"/>
              <w:rPr>
                <w:color w:val="0D0D0D" w:themeColor="text1" w:themeTint="F2"/>
              </w:rPr>
            </w:pPr>
            <w:r w:rsidRPr="001B1B15">
              <w:rPr>
                <w:color w:val="0D0D0D" w:themeColor="text1" w:themeTint="F2"/>
              </w:rPr>
              <w:t>4.82</w:t>
            </w:r>
          </w:p>
        </w:tc>
        <w:tc>
          <w:tcPr>
            <w:tcW w:w="1219" w:type="dxa"/>
            <w:tcBorders>
              <w:bottom w:val="single" w:sz="4" w:space="0" w:color="auto"/>
            </w:tcBorders>
            <w:tcMar>
              <w:top w:w="100" w:type="dxa"/>
              <w:left w:w="100" w:type="dxa"/>
              <w:bottom w:w="100" w:type="dxa"/>
              <w:right w:w="100" w:type="dxa"/>
            </w:tcMar>
          </w:tcPr>
          <w:p w14:paraId="05B130E2" w14:textId="31FB2B26" w:rsidR="007128A8" w:rsidRPr="001B1B15" w:rsidRDefault="000F2BA6" w:rsidP="00B06B47">
            <w:pPr>
              <w:pStyle w:val="TableText"/>
              <w:tabs>
                <w:tab w:val="left" w:pos="543"/>
                <w:tab w:val="left" w:pos="633"/>
              </w:tabs>
              <w:spacing w:line="240" w:lineRule="auto"/>
              <w:ind w:right="204"/>
              <w:jc w:val="center"/>
              <w:rPr>
                <w:color w:val="0D0D0D" w:themeColor="text1" w:themeTint="F2"/>
              </w:rPr>
            </w:pPr>
            <w:r w:rsidRPr="001B1B15">
              <w:rPr>
                <w:color w:val="0D0D0D" w:themeColor="text1" w:themeTint="F2"/>
              </w:rPr>
              <w:t>.36</w:t>
            </w:r>
          </w:p>
        </w:tc>
        <w:tc>
          <w:tcPr>
            <w:tcW w:w="1673" w:type="dxa"/>
            <w:tcBorders>
              <w:bottom w:val="single" w:sz="4" w:space="0" w:color="auto"/>
            </w:tcBorders>
          </w:tcPr>
          <w:p w14:paraId="79ACEFE4" w14:textId="71AD704F" w:rsidR="007128A8" w:rsidRPr="001B1B15" w:rsidRDefault="000F2BA6" w:rsidP="00B06B47">
            <w:pPr>
              <w:pStyle w:val="TableText"/>
              <w:spacing w:line="240" w:lineRule="auto"/>
              <w:ind w:right="525"/>
              <w:jc w:val="right"/>
              <w:rPr>
                <w:color w:val="0D0D0D" w:themeColor="text1" w:themeTint="F2"/>
              </w:rPr>
            </w:pPr>
            <w:r w:rsidRPr="001B1B15">
              <w:rPr>
                <w:color w:val="0D0D0D" w:themeColor="text1" w:themeTint="F2"/>
              </w:rPr>
              <w:t>206</w:t>
            </w:r>
          </w:p>
        </w:tc>
        <w:tc>
          <w:tcPr>
            <w:tcW w:w="1275" w:type="dxa"/>
            <w:tcBorders>
              <w:bottom w:val="single" w:sz="4" w:space="0" w:color="auto"/>
            </w:tcBorders>
          </w:tcPr>
          <w:p w14:paraId="7A7BFAF5" w14:textId="77777777" w:rsidR="007128A8" w:rsidRPr="001B1B15" w:rsidRDefault="007128A8" w:rsidP="00C522D8">
            <w:pPr>
              <w:pStyle w:val="TableText"/>
              <w:tabs>
                <w:tab w:val="left" w:pos="600"/>
              </w:tabs>
              <w:spacing w:line="240" w:lineRule="auto"/>
              <w:ind w:right="363"/>
              <w:jc w:val="right"/>
              <w:rPr>
                <w:color w:val="0D0D0D" w:themeColor="text1" w:themeTint="F2"/>
              </w:rPr>
            </w:pPr>
            <w:r w:rsidRPr="001B1B15">
              <w:rPr>
                <w:color w:val="0D0D0D" w:themeColor="text1" w:themeTint="F2"/>
              </w:rPr>
              <w:t>100</w:t>
            </w:r>
          </w:p>
        </w:tc>
      </w:tr>
    </w:tbl>
    <w:p w14:paraId="3A1D1899" w14:textId="77777777" w:rsidR="007128A8" w:rsidRPr="00644CB1" w:rsidRDefault="007128A8" w:rsidP="00BE48C4">
      <w:pPr>
        <w:pStyle w:val="Articlenormaltext"/>
        <w:rPr>
          <w:color w:val="0D0D0D" w:themeColor="text1" w:themeTint="F2"/>
          <w:szCs w:val="22"/>
        </w:rPr>
      </w:pPr>
    </w:p>
    <w:p w14:paraId="5B2F304D" w14:textId="5FB8819C" w:rsidR="00E55E88" w:rsidRPr="00644CB1" w:rsidRDefault="00E55E88" w:rsidP="0099478C">
      <w:pPr>
        <w:tabs>
          <w:tab w:val="left" w:pos="851"/>
        </w:tabs>
        <w:spacing w:after="120" w:line="240" w:lineRule="auto"/>
        <w:rPr>
          <w:rFonts w:ascii="Arial" w:hAnsi="Arial" w:cs="Arial"/>
          <w:color w:val="0D0D0D" w:themeColor="text1" w:themeTint="F2"/>
          <w:sz w:val="18"/>
          <w:szCs w:val="18"/>
        </w:rPr>
      </w:pPr>
      <w:r w:rsidRPr="00644CB1">
        <w:rPr>
          <w:rFonts w:ascii="Arial" w:hAnsi="Arial" w:cs="Arial"/>
          <w:b/>
          <w:bCs/>
          <w:color w:val="0D0D0D" w:themeColor="text1" w:themeTint="F2"/>
          <w:sz w:val="18"/>
          <w:szCs w:val="18"/>
          <w:lang w:val="en-US"/>
        </w:rPr>
        <w:t xml:space="preserve">Table </w:t>
      </w:r>
      <w:r w:rsidR="00B44B02" w:rsidRPr="00644CB1">
        <w:rPr>
          <w:rFonts w:ascii="Arial" w:hAnsi="Arial" w:cs="Arial"/>
          <w:b/>
          <w:bCs/>
          <w:color w:val="0D0D0D" w:themeColor="text1" w:themeTint="F2"/>
          <w:sz w:val="18"/>
          <w:szCs w:val="18"/>
          <w:lang w:val="en-US"/>
        </w:rPr>
        <w:t>6</w:t>
      </w:r>
      <w:r w:rsidRPr="00644CB1">
        <w:rPr>
          <w:rFonts w:ascii="Arial" w:hAnsi="Arial" w:cs="Arial"/>
          <w:b/>
          <w:bCs/>
          <w:color w:val="0D0D0D" w:themeColor="text1" w:themeTint="F2"/>
          <w:sz w:val="18"/>
          <w:szCs w:val="18"/>
          <w:lang w:val="en-US"/>
        </w:rPr>
        <w:t>:</w:t>
      </w:r>
      <w:r w:rsidRPr="00644CB1">
        <w:rPr>
          <w:rFonts w:ascii="Arial" w:hAnsi="Arial" w:cs="Arial"/>
          <w:color w:val="0D0D0D" w:themeColor="text1" w:themeTint="F2"/>
          <w:sz w:val="18"/>
          <w:szCs w:val="18"/>
          <w:lang w:val="en-US"/>
        </w:rPr>
        <w:t xml:space="preserve"> </w:t>
      </w:r>
      <w:r w:rsidR="002F5676" w:rsidRPr="00644CB1">
        <w:rPr>
          <w:rFonts w:ascii="Arial" w:hAnsi="Arial" w:cs="Arial"/>
          <w:color w:val="0D0D0D" w:themeColor="text1" w:themeTint="F2"/>
          <w:sz w:val="18"/>
          <w:szCs w:val="18"/>
          <w:lang w:val="en-US"/>
        </w:rPr>
        <w:t xml:space="preserve">Evaluation of the VIFT by </w:t>
      </w:r>
      <w:r w:rsidR="00C85C81" w:rsidRPr="00644CB1">
        <w:rPr>
          <w:rFonts w:ascii="Arial" w:hAnsi="Arial" w:cs="Arial"/>
          <w:color w:val="0D0D0D" w:themeColor="text1" w:themeTint="F2"/>
          <w:sz w:val="18"/>
          <w:szCs w:val="18"/>
          <w:lang w:val="en-US"/>
        </w:rPr>
        <w:t xml:space="preserve">the </w:t>
      </w:r>
      <w:r w:rsidR="002F5676" w:rsidRPr="00644CB1">
        <w:rPr>
          <w:rFonts w:ascii="Arial" w:hAnsi="Arial" w:cs="Arial"/>
          <w:color w:val="0D0D0D" w:themeColor="text1" w:themeTint="F2"/>
          <w:sz w:val="18"/>
          <w:szCs w:val="18"/>
          <w:lang w:val="en-US"/>
        </w:rPr>
        <w:t>participants</w:t>
      </w:r>
    </w:p>
    <w:tbl>
      <w:tblPr>
        <w:tblW w:w="6237" w:type="dxa"/>
        <w:tblLayout w:type="fixed"/>
        <w:tblLook w:val="0600" w:firstRow="0" w:lastRow="0" w:firstColumn="0" w:lastColumn="0" w:noHBand="1" w:noVBand="1"/>
      </w:tblPr>
      <w:tblGrid>
        <w:gridCol w:w="2552"/>
        <w:gridCol w:w="1843"/>
        <w:gridCol w:w="1842"/>
      </w:tblGrid>
      <w:tr w:rsidR="00644CB1" w:rsidRPr="00E15AEB" w14:paraId="53377D7B" w14:textId="77777777" w:rsidTr="00477FBC">
        <w:trPr>
          <w:trHeight w:val="360"/>
        </w:trPr>
        <w:tc>
          <w:tcPr>
            <w:tcW w:w="2552" w:type="dxa"/>
            <w:tcBorders>
              <w:top w:val="single" w:sz="4" w:space="0" w:color="auto"/>
              <w:bottom w:val="single" w:sz="4" w:space="0" w:color="auto"/>
            </w:tcBorders>
            <w:tcMar>
              <w:top w:w="100" w:type="dxa"/>
              <w:left w:w="100" w:type="dxa"/>
              <w:bottom w:w="100" w:type="dxa"/>
              <w:right w:w="100" w:type="dxa"/>
            </w:tcMar>
          </w:tcPr>
          <w:p w14:paraId="123FA211" w14:textId="77777777" w:rsidR="00E55E88" w:rsidRPr="00E15AEB" w:rsidRDefault="005F2D8A" w:rsidP="00815F5D">
            <w:pPr>
              <w:pStyle w:val="TableText"/>
              <w:spacing w:line="240" w:lineRule="auto"/>
              <w:rPr>
                <w:color w:val="0D0D0D" w:themeColor="text1" w:themeTint="F2"/>
              </w:rPr>
            </w:pPr>
            <w:r w:rsidRPr="00E15AEB">
              <w:rPr>
                <w:color w:val="0D0D0D" w:themeColor="text1" w:themeTint="F2"/>
              </w:rPr>
              <w:t>VIFT Evaluation</w:t>
            </w:r>
          </w:p>
          <w:p w14:paraId="3C5CDF34" w14:textId="74727EBE" w:rsidR="006D15EF" w:rsidRPr="00E15AEB" w:rsidRDefault="006D15EF" w:rsidP="00815F5D">
            <w:pPr>
              <w:pStyle w:val="TableText"/>
              <w:spacing w:line="240" w:lineRule="auto"/>
              <w:rPr>
                <w:color w:val="0D0D0D" w:themeColor="text1" w:themeTint="F2"/>
              </w:rPr>
            </w:pPr>
            <w:r w:rsidRPr="00E15AEB">
              <w:rPr>
                <w:color w:val="0D0D0D" w:themeColor="text1" w:themeTint="F2"/>
              </w:rPr>
              <w:t>Rating</w:t>
            </w:r>
          </w:p>
        </w:tc>
        <w:tc>
          <w:tcPr>
            <w:tcW w:w="1843" w:type="dxa"/>
            <w:tcBorders>
              <w:top w:val="single" w:sz="4" w:space="0" w:color="auto"/>
              <w:bottom w:val="single" w:sz="4" w:space="0" w:color="auto"/>
            </w:tcBorders>
          </w:tcPr>
          <w:p w14:paraId="51EB9093" w14:textId="0861CEB5" w:rsidR="00E55E88" w:rsidRPr="00E15AEB" w:rsidRDefault="006D15EF" w:rsidP="00E15AEB">
            <w:pPr>
              <w:pStyle w:val="TableText"/>
              <w:spacing w:line="240" w:lineRule="auto"/>
              <w:jc w:val="center"/>
              <w:rPr>
                <w:color w:val="0D0D0D" w:themeColor="text1" w:themeTint="F2"/>
              </w:rPr>
            </w:pPr>
            <w:r w:rsidRPr="00E15AEB">
              <w:rPr>
                <w:color w:val="0D0D0D" w:themeColor="text1" w:themeTint="F2"/>
              </w:rPr>
              <w:t>Frequency</w:t>
            </w:r>
            <w:r w:rsidR="00E15AEB">
              <w:rPr>
                <w:color w:val="0D0D0D" w:themeColor="text1" w:themeTint="F2"/>
              </w:rPr>
              <w:t xml:space="preserve"> </w:t>
            </w:r>
            <w:r w:rsidR="00E55E88" w:rsidRPr="00E15AEB">
              <w:rPr>
                <w:color w:val="0D0D0D" w:themeColor="text1" w:themeTint="F2"/>
              </w:rPr>
              <w:t>f</w:t>
            </w:r>
          </w:p>
        </w:tc>
        <w:tc>
          <w:tcPr>
            <w:tcW w:w="1842" w:type="dxa"/>
            <w:tcBorders>
              <w:top w:val="single" w:sz="4" w:space="0" w:color="auto"/>
              <w:bottom w:val="single" w:sz="4" w:space="0" w:color="auto"/>
            </w:tcBorders>
          </w:tcPr>
          <w:p w14:paraId="55164A91" w14:textId="5D804B0F" w:rsidR="00E55E88" w:rsidRPr="00E15AEB" w:rsidRDefault="006D15EF" w:rsidP="00E15AEB">
            <w:pPr>
              <w:pStyle w:val="TableText"/>
              <w:spacing w:line="240" w:lineRule="auto"/>
              <w:jc w:val="center"/>
              <w:rPr>
                <w:color w:val="0D0D0D" w:themeColor="text1" w:themeTint="F2"/>
              </w:rPr>
            </w:pPr>
            <w:r w:rsidRPr="00E15AEB">
              <w:rPr>
                <w:color w:val="0D0D0D" w:themeColor="text1" w:themeTint="F2"/>
              </w:rPr>
              <w:t>Percentage</w:t>
            </w:r>
            <w:r w:rsidR="00E15AEB">
              <w:rPr>
                <w:color w:val="0D0D0D" w:themeColor="text1" w:themeTint="F2"/>
              </w:rPr>
              <w:t xml:space="preserve"> </w:t>
            </w:r>
            <w:r w:rsidR="00E55E88" w:rsidRPr="00E15AEB">
              <w:rPr>
                <w:color w:val="0D0D0D" w:themeColor="text1" w:themeTint="F2"/>
              </w:rPr>
              <w:t>%</w:t>
            </w:r>
          </w:p>
        </w:tc>
      </w:tr>
      <w:tr w:rsidR="00644CB1" w:rsidRPr="00E15AEB" w14:paraId="3C3969C8" w14:textId="77777777" w:rsidTr="00477FBC">
        <w:tc>
          <w:tcPr>
            <w:tcW w:w="2552" w:type="dxa"/>
            <w:tcBorders>
              <w:top w:val="single" w:sz="4" w:space="0" w:color="auto"/>
            </w:tcBorders>
            <w:tcMar>
              <w:top w:w="100" w:type="dxa"/>
              <w:left w:w="100" w:type="dxa"/>
              <w:bottom w:w="100" w:type="dxa"/>
              <w:right w:w="100" w:type="dxa"/>
            </w:tcMar>
          </w:tcPr>
          <w:p w14:paraId="12D5CB9A" w14:textId="77777777" w:rsidR="00E55E88" w:rsidRPr="00E15AEB" w:rsidRDefault="00E55E88" w:rsidP="00815F5D">
            <w:pPr>
              <w:pStyle w:val="TableText"/>
              <w:spacing w:line="240" w:lineRule="auto"/>
              <w:rPr>
                <w:color w:val="0D0D0D" w:themeColor="text1" w:themeTint="F2"/>
              </w:rPr>
            </w:pPr>
            <w:r w:rsidRPr="00E15AEB">
              <w:rPr>
                <w:color w:val="0D0D0D" w:themeColor="text1" w:themeTint="F2"/>
              </w:rPr>
              <w:t>1 Very Poor</w:t>
            </w:r>
          </w:p>
        </w:tc>
        <w:tc>
          <w:tcPr>
            <w:tcW w:w="1843" w:type="dxa"/>
            <w:tcBorders>
              <w:top w:val="single" w:sz="4" w:space="0" w:color="auto"/>
            </w:tcBorders>
          </w:tcPr>
          <w:p w14:paraId="2EF08659" w14:textId="77777777" w:rsidR="00E55E88" w:rsidRPr="00E15AEB" w:rsidRDefault="00E55E88" w:rsidP="00B06B47">
            <w:pPr>
              <w:pStyle w:val="TableText"/>
              <w:spacing w:line="240" w:lineRule="auto"/>
              <w:ind w:right="774"/>
              <w:jc w:val="right"/>
              <w:rPr>
                <w:color w:val="0D0D0D" w:themeColor="text1" w:themeTint="F2"/>
              </w:rPr>
            </w:pPr>
            <w:r w:rsidRPr="00E15AEB">
              <w:rPr>
                <w:color w:val="0D0D0D" w:themeColor="text1" w:themeTint="F2"/>
              </w:rPr>
              <w:t>1</w:t>
            </w:r>
          </w:p>
        </w:tc>
        <w:tc>
          <w:tcPr>
            <w:tcW w:w="1842" w:type="dxa"/>
            <w:tcBorders>
              <w:top w:val="single" w:sz="4" w:space="0" w:color="auto"/>
            </w:tcBorders>
          </w:tcPr>
          <w:p w14:paraId="5C5ECF09" w14:textId="77777777" w:rsidR="00E55E88" w:rsidRPr="00E15AEB" w:rsidRDefault="00E55E88" w:rsidP="00B06B47">
            <w:pPr>
              <w:pStyle w:val="TableText"/>
              <w:spacing w:line="240" w:lineRule="auto"/>
              <w:ind w:right="774"/>
              <w:jc w:val="right"/>
              <w:rPr>
                <w:color w:val="0D0D0D" w:themeColor="text1" w:themeTint="F2"/>
              </w:rPr>
            </w:pPr>
            <w:r w:rsidRPr="00E15AEB">
              <w:rPr>
                <w:color w:val="0D0D0D" w:themeColor="text1" w:themeTint="F2"/>
              </w:rPr>
              <w:t>.49</w:t>
            </w:r>
          </w:p>
        </w:tc>
      </w:tr>
      <w:tr w:rsidR="00644CB1" w:rsidRPr="00E15AEB" w14:paraId="198F341B" w14:textId="77777777" w:rsidTr="00477FBC">
        <w:tc>
          <w:tcPr>
            <w:tcW w:w="2552" w:type="dxa"/>
            <w:tcMar>
              <w:top w:w="100" w:type="dxa"/>
              <w:left w:w="100" w:type="dxa"/>
              <w:bottom w:w="100" w:type="dxa"/>
              <w:right w:w="100" w:type="dxa"/>
            </w:tcMar>
          </w:tcPr>
          <w:p w14:paraId="019BEB83" w14:textId="77777777" w:rsidR="00E55E88" w:rsidRPr="00E15AEB" w:rsidRDefault="00E55E88" w:rsidP="00815F5D">
            <w:pPr>
              <w:pStyle w:val="TableText"/>
              <w:spacing w:line="240" w:lineRule="auto"/>
              <w:rPr>
                <w:color w:val="0D0D0D" w:themeColor="text1" w:themeTint="F2"/>
              </w:rPr>
            </w:pPr>
            <w:r w:rsidRPr="00E15AEB">
              <w:rPr>
                <w:color w:val="0D0D0D" w:themeColor="text1" w:themeTint="F2"/>
              </w:rPr>
              <w:lastRenderedPageBreak/>
              <w:t>2 Poor</w:t>
            </w:r>
          </w:p>
        </w:tc>
        <w:tc>
          <w:tcPr>
            <w:tcW w:w="1843" w:type="dxa"/>
          </w:tcPr>
          <w:p w14:paraId="55A6A980" w14:textId="13B9E8F4" w:rsidR="00E55E88" w:rsidRPr="00E15AEB" w:rsidRDefault="005F2D8A" w:rsidP="00B06B47">
            <w:pPr>
              <w:pStyle w:val="TableText"/>
              <w:spacing w:line="240" w:lineRule="auto"/>
              <w:ind w:right="774"/>
              <w:jc w:val="right"/>
              <w:rPr>
                <w:color w:val="0D0D0D" w:themeColor="text1" w:themeTint="F2"/>
              </w:rPr>
            </w:pPr>
            <w:r w:rsidRPr="00E15AEB">
              <w:rPr>
                <w:color w:val="0D0D0D" w:themeColor="text1" w:themeTint="F2"/>
              </w:rPr>
              <w:t>6</w:t>
            </w:r>
          </w:p>
        </w:tc>
        <w:tc>
          <w:tcPr>
            <w:tcW w:w="1842" w:type="dxa"/>
          </w:tcPr>
          <w:p w14:paraId="75C17415" w14:textId="64898B39" w:rsidR="00E55E88" w:rsidRPr="00E15AEB" w:rsidRDefault="001856F2" w:rsidP="00B06B47">
            <w:pPr>
              <w:pStyle w:val="TableText"/>
              <w:spacing w:line="240" w:lineRule="auto"/>
              <w:ind w:right="774"/>
              <w:jc w:val="right"/>
              <w:rPr>
                <w:color w:val="0D0D0D" w:themeColor="text1" w:themeTint="F2"/>
              </w:rPr>
            </w:pPr>
            <w:r w:rsidRPr="00E15AEB">
              <w:rPr>
                <w:color w:val="0D0D0D" w:themeColor="text1" w:themeTint="F2"/>
              </w:rPr>
              <w:t>2.91</w:t>
            </w:r>
          </w:p>
        </w:tc>
      </w:tr>
      <w:tr w:rsidR="00644CB1" w:rsidRPr="00E15AEB" w14:paraId="433C9FC9" w14:textId="77777777" w:rsidTr="00477FBC">
        <w:tc>
          <w:tcPr>
            <w:tcW w:w="2552" w:type="dxa"/>
            <w:tcMar>
              <w:top w:w="100" w:type="dxa"/>
              <w:left w:w="100" w:type="dxa"/>
              <w:bottom w:w="100" w:type="dxa"/>
              <w:right w:w="100" w:type="dxa"/>
            </w:tcMar>
          </w:tcPr>
          <w:p w14:paraId="25CEA7A2" w14:textId="77777777" w:rsidR="00E55E88" w:rsidRPr="00E15AEB" w:rsidRDefault="00E55E88" w:rsidP="00815F5D">
            <w:pPr>
              <w:pStyle w:val="TableText"/>
              <w:spacing w:line="240" w:lineRule="auto"/>
              <w:rPr>
                <w:color w:val="0D0D0D" w:themeColor="text1" w:themeTint="F2"/>
              </w:rPr>
            </w:pPr>
            <w:r w:rsidRPr="00E15AEB">
              <w:rPr>
                <w:color w:val="0D0D0D" w:themeColor="text1" w:themeTint="F2"/>
              </w:rPr>
              <w:t>3 Satisfactory</w:t>
            </w:r>
          </w:p>
        </w:tc>
        <w:tc>
          <w:tcPr>
            <w:tcW w:w="1843" w:type="dxa"/>
          </w:tcPr>
          <w:p w14:paraId="0401B1B2" w14:textId="27151371" w:rsidR="00E55E88" w:rsidRPr="00E15AEB" w:rsidRDefault="005F2D8A" w:rsidP="00B06B47">
            <w:pPr>
              <w:pStyle w:val="TableText"/>
              <w:spacing w:line="240" w:lineRule="auto"/>
              <w:ind w:right="774"/>
              <w:jc w:val="right"/>
              <w:rPr>
                <w:color w:val="0D0D0D" w:themeColor="text1" w:themeTint="F2"/>
              </w:rPr>
            </w:pPr>
            <w:r w:rsidRPr="00E15AEB">
              <w:rPr>
                <w:color w:val="0D0D0D" w:themeColor="text1" w:themeTint="F2"/>
              </w:rPr>
              <w:t>55</w:t>
            </w:r>
          </w:p>
        </w:tc>
        <w:tc>
          <w:tcPr>
            <w:tcW w:w="1842" w:type="dxa"/>
          </w:tcPr>
          <w:p w14:paraId="500AA3D9" w14:textId="2D31FBA8" w:rsidR="00E55E88" w:rsidRPr="00E15AEB" w:rsidRDefault="001856F2" w:rsidP="00B06B47">
            <w:pPr>
              <w:pStyle w:val="TableText"/>
              <w:spacing w:line="240" w:lineRule="auto"/>
              <w:ind w:right="774"/>
              <w:jc w:val="right"/>
              <w:rPr>
                <w:color w:val="0D0D0D" w:themeColor="text1" w:themeTint="F2"/>
              </w:rPr>
            </w:pPr>
            <w:r w:rsidRPr="00E15AEB">
              <w:rPr>
                <w:color w:val="0D0D0D" w:themeColor="text1" w:themeTint="F2"/>
              </w:rPr>
              <w:t>26.70</w:t>
            </w:r>
          </w:p>
        </w:tc>
      </w:tr>
      <w:tr w:rsidR="00644CB1" w:rsidRPr="00E15AEB" w14:paraId="0F5446F0" w14:textId="77777777" w:rsidTr="00477FBC">
        <w:tc>
          <w:tcPr>
            <w:tcW w:w="2552" w:type="dxa"/>
            <w:tcMar>
              <w:top w:w="100" w:type="dxa"/>
              <w:left w:w="100" w:type="dxa"/>
              <w:bottom w:w="100" w:type="dxa"/>
              <w:right w:w="100" w:type="dxa"/>
            </w:tcMar>
          </w:tcPr>
          <w:p w14:paraId="07CAC7B3" w14:textId="77777777" w:rsidR="00E55E88" w:rsidRPr="00E15AEB" w:rsidRDefault="00E55E88" w:rsidP="00815F5D">
            <w:pPr>
              <w:pStyle w:val="TableText"/>
              <w:spacing w:line="240" w:lineRule="auto"/>
              <w:rPr>
                <w:color w:val="0D0D0D" w:themeColor="text1" w:themeTint="F2"/>
              </w:rPr>
            </w:pPr>
            <w:r w:rsidRPr="00E15AEB">
              <w:rPr>
                <w:color w:val="0D0D0D" w:themeColor="text1" w:themeTint="F2"/>
              </w:rPr>
              <w:t>4 Very good</w:t>
            </w:r>
          </w:p>
        </w:tc>
        <w:tc>
          <w:tcPr>
            <w:tcW w:w="1843" w:type="dxa"/>
          </w:tcPr>
          <w:p w14:paraId="095BE42A" w14:textId="23DD56EB" w:rsidR="00E55E88" w:rsidRPr="00E15AEB" w:rsidRDefault="005F2D8A" w:rsidP="00B06B47">
            <w:pPr>
              <w:pStyle w:val="TableText"/>
              <w:spacing w:line="240" w:lineRule="auto"/>
              <w:ind w:right="774"/>
              <w:jc w:val="right"/>
              <w:rPr>
                <w:color w:val="0D0D0D" w:themeColor="text1" w:themeTint="F2"/>
              </w:rPr>
            </w:pPr>
            <w:r w:rsidRPr="00E15AEB">
              <w:rPr>
                <w:color w:val="0D0D0D" w:themeColor="text1" w:themeTint="F2"/>
              </w:rPr>
              <w:t>99</w:t>
            </w:r>
          </w:p>
        </w:tc>
        <w:tc>
          <w:tcPr>
            <w:tcW w:w="1842" w:type="dxa"/>
          </w:tcPr>
          <w:p w14:paraId="254CD356" w14:textId="4F016089" w:rsidR="00E55E88" w:rsidRPr="00E15AEB" w:rsidRDefault="001856F2" w:rsidP="00B06B47">
            <w:pPr>
              <w:pStyle w:val="TableText"/>
              <w:spacing w:line="240" w:lineRule="auto"/>
              <w:ind w:right="774"/>
              <w:jc w:val="right"/>
              <w:rPr>
                <w:color w:val="0D0D0D" w:themeColor="text1" w:themeTint="F2"/>
              </w:rPr>
            </w:pPr>
            <w:r w:rsidRPr="00E15AEB">
              <w:rPr>
                <w:color w:val="0D0D0D" w:themeColor="text1" w:themeTint="F2"/>
              </w:rPr>
              <w:t>48.06</w:t>
            </w:r>
          </w:p>
        </w:tc>
      </w:tr>
      <w:tr w:rsidR="00644CB1" w:rsidRPr="00E15AEB" w14:paraId="0B37344E" w14:textId="77777777" w:rsidTr="00477FBC">
        <w:tc>
          <w:tcPr>
            <w:tcW w:w="2552" w:type="dxa"/>
            <w:tcMar>
              <w:top w:w="100" w:type="dxa"/>
              <w:left w:w="100" w:type="dxa"/>
              <w:bottom w:w="100" w:type="dxa"/>
              <w:right w:w="100" w:type="dxa"/>
            </w:tcMar>
          </w:tcPr>
          <w:p w14:paraId="2F321D9C" w14:textId="77777777" w:rsidR="00E55E88" w:rsidRPr="00E15AEB" w:rsidRDefault="00E55E88" w:rsidP="00815F5D">
            <w:pPr>
              <w:pStyle w:val="TableText"/>
              <w:spacing w:line="240" w:lineRule="auto"/>
              <w:rPr>
                <w:color w:val="0D0D0D" w:themeColor="text1" w:themeTint="F2"/>
              </w:rPr>
            </w:pPr>
            <w:r w:rsidRPr="00E15AEB">
              <w:rPr>
                <w:color w:val="0D0D0D" w:themeColor="text1" w:themeTint="F2"/>
              </w:rPr>
              <w:t>5 Perfect</w:t>
            </w:r>
          </w:p>
        </w:tc>
        <w:tc>
          <w:tcPr>
            <w:tcW w:w="1843" w:type="dxa"/>
          </w:tcPr>
          <w:p w14:paraId="30A6BAE5" w14:textId="5CDFC2DF" w:rsidR="00E55E88" w:rsidRPr="00E15AEB" w:rsidRDefault="005F2D8A" w:rsidP="00B06B47">
            <w:pPr>
              <w:pStyle w:val="TableText"/>
              <w:spacing w:line="240" w:lineRule="auto"/>
              <w:ind w:right="774"/>
              <w:jc w:val="right"/>
              <w:rPr>
                <w:color w:val="0D0D0D" w:themeColor="text1" w:themeTint="F2"/>
              </w:rPr>
            </w:pPr>
            <w:r w:rsidRPr="00E15AEB">
              <w:rPr>
                <w:color w:val="0D0D0D" w:themeColor="text1" w:themeTint="F2"/>
              </w:rPr>
              <w:t>45</w:t>
            </w:r>
          </w:p>
        </w:tc>
        <w:tc>
          <w:tcPr>
            <w:tcW w:w="1842" w:type="dxa"/>
          </w:tcPr>
          <w:p w14:paraId="075CB923" w14:textId="5C6CA9DF" w:rsidR="00E55E88" w:rsidRPr="00E15AEB" w:rsidRDefault="001856F2" w:rsidP="00B06B47">
            <w:pPr>
              <w:pStyle w:val="TableText"/>
              <w:spacing w:line="240" w:lineRule="auto"/>
              <w:ind w:right="774"/>
              <w:jc w:val="right"/>
              <w:rPr>
                <w:color w:val="0D0D0D" w:themeColor="text1" w:themeTint="F2"/>
              </w:rPr>
            </w:pPr>
            <w:r w:rsidRPr="00E15AEB">
              <w:rPr>
                <w:color w:val="0D0D0D" w:themeColor="text1" w:themeTint="F2"/>
              </w:rPr>
              <w:t>21.84</w:t>
            </w:r>
          </w:p>
        </w:tc>
      </w:tr>
      <w:tr w:rsidR="00E55E88" w:rsidRPr="00E15AEB" w14:paraId="17B33E5B" w14:textId="77777777" w:rsidTr="00477FBC">
        <w:tc>
          <w:tcPr>
            <w:tcW w:w="2552" w:type="dxa"/>
            <w:tcBorders>
              <w:bottom w:val="single" w:sz="4" w:space="0" w:color="auto"/>
            </w:tcBorders>
            <w:tcMar>
              <w:top w:w="100" w:type="dxa"/>
              <w:left w:w="100" w:type="dxa"/>
              <w:bottom w:w="100" w:type="dxa"/>
              <w:right w:w="100" w:type="dxa"/>
            </w:tcMar>
          </w:tcPr>
          <w:p w14:paraId="5FDE5DD7" w14:textId="77777777" w:rsidR="00E55E88" w:rsidRPr="00E15AEB" w:rsidRDefault="00E55E88" w:rsidP="00815F5D">
            <w:pPr>
              <w:pStyle w:val="TableText"/>
              <w:spacing w:line="240" w:lineRule="auto"/>
              <w:rPr>
                <w:color w:val="0D0D0D" w:themeColor="text1" w:themeTint="F2"/>
              </w:rPr>
            </w:pPr>
            <w:r w:rsidRPr="00E15AEB">
              <w:rPr>
                <w:color w:val="0D0D0D" w:themeColor="text1" w:themeTint="F2"/>
              </w:rPr>
              <w:t>Total</w:t>
            </w:r>
          </w:p>
        </w:tc>
        <w:tc>
          <w:tcPr>
            <w:tcW w:w="1843" w:type="dxa"/>
            <w:tcBorders>
              <w:bottom w:val="single" w:sz="4" w:space="0" w:color="auto"/>
            </w:tcBorders>
          </w:tcPr>
          <w:p w14:paraId="70C2E236" w14:textId="77777777" w:rsidR="00E55E88" w:rsidRPr="00E15AEB" w:rsidRDefault="00E55E88" w:rsidP="00B06B47">
            <w:pPr>
              <w:pStyle w:val="TableText"/>
              <w:spacing w:line="240" w:lineRule="auto"/>
              <w:ind w:right="774"/>
              <w:jc w:val="right"/>
              <w:rPr>
                <w:color w:val="0D0D0D" w:themeColor="text1" w:themeTint="F2"/>
              </w:rPr>
            </w:pPr>
            <w:r w:rsidRPr="00E15AEB">
              <w:rPr>
                <w:color w:val="0D0D0D" w:themeColor="text1" w:themeTint="F2"/>
              </w:rPr>
              <w:t>206</w:t>
            </w:r>
          </w:p>
        </w:tc>
        <w:tc>
          <w:tcPr>
            <w:tcW w:w="1842" w:type="dxa"/>
            <w:tcBorders>
              <w:bottom w:val="single" w:sz="4" w:space="0" w:color="auto"/>
            </w:tcBorders>
          </w:tcPr>
          <w:p w14:paraId="7F6D1B0A" w14:textId="77777777" w:rsidR="00E55E88" w:rsidRPr="00E15AEB" w:rsidRDefault="00E55E88" w:rsidP="00B06B47">
            <w:pPr>
              <w:pStyle w:val="TableText"/>
              <w:spacing w:line="240" w:lineRule="auto"/>
              <w:ind w:right="774"/>
              <w:jc w:val="right"/>
              <w:rPr>
                <w:color w:val="0D0D0D" w:themeColor="text1" w:themeTint="F2"/>
              </w:rPr>
            </w:pPr>
            <w:r w:rsidRPr="00E15AEB">
              <w:rPr>
                <w:color w:val="0D0D0D" w:themeColor="text1" w:themeTint="F2"/>
              </w:rPr>
              <w:t>100</w:t>
            </w:r>
          </w:p>
        </w:tc>
      </w:tr>
    </w:tbl>
    <w:p w14:paraId="15ADBA89" w14:textId="77777777" w:rsidR="00710A43" w:rsidRDefault="00710A43" w:rsidP="007A56C4">
      <w:pPr>
        <w:tabs>
          <w:tab w:val="left" w:pos="851"/>
        </w:tabs>
        <w:spacing w:after="120" w:line="240" w:lineRule="auto"/>
        <w:rPr>
          <w:rFonts w:ascii="Arial" w:hAnsi="Arial" w:cs="Arial"/>
          <w:b/>
          <w:bCs/>
          <w:color w:val="0D0D0D" w:themeColor="text1" w:themeTint="F2"/>
          <w:sz w:val="18"/>
          <w:szCs w:val="18"/>
          <w:lang w:val="el-GR"/>
        </w:rPr>
      </w:pPr>
    </w:p>
    <w:p w14:paraId="5250E1F8" w14:textId="77777777" w:rsidR="009C44B9" w:rsidRPr="00644CB1" w:rsidRDefault="009C44B9" w:rsidP="009C44B9">
      <w:pPr>
        <w:tabs>
          <w:tab w:val="left" w:pos="851"/>
        </w:tabs>
        <w:spacing w:after="120" w:line="240" w:lineRule="auto"/>
        <w:rPr>
          <w:rFonts w:ascii="Arial" w:hAnsi="Arial" w:cs="Arial"/>
          <w:color w:val="0D0D0D" w:themeColor="text1" w:themeTint="F2"/>
          <w:sz w:val="18"/>
          <w:szCs w:val="18"/>
        </w:rPr>
      </w:pPr>
      <w:r w:rsidRPr="00644CB1">
        <w:rPr>
          <w:rFonts w:ascii="Arial" w:hAnsi="Arial" w:cs="Arial"/>
          <w:b/>
          <w:bCs/>
          <w:color w:val="0D0D0D" w:themeColor="text1" w:themeTint="F2"/>
          <w:sz w:val="18"/>
          <w:szCs w:val="18"/>
          <w:lang w:val="en-US"/>
        </w:rPr>
        <w:t>Table 7:</w:t>
      </w:r>
      <w:r w:rsidRPr="00644CB1">
        <w:rPr>
          <w:rFonts w:ascii="Arial" w:hAnsi="Arial" w:cs="Arial"/>
          <w:color w:val="0D0D0D" w:themeColor="text1" w:themeTint="F2"/>
          <w:sz w:val="18"/>
          <w:szCs w:val="18"/>
          <w:lang w:val="en-US"/>
        </w:rPr>
        <w:t xml:space="preserve"> Evaluation of the VIFT by gender </w:t>
      </w:r>
    </w:p>
    <w:tbl>
      <w:tblPr>
        <w:tblW w:w="6311" w:type="dxa"/>
        <w:tblLayout w:type="fixed"/>
        <w:tblLook w:val="0600" w:firstRow="0" w:lastRow="0" w:firstColumn="0" w:lastColumn="0" w:noHBand="1" w:noVBand="1"/>
      </w:tblPr>
      <w:tblGrid>
        <w:gridCol w:w="1350"/>
        <w:gridCol w:w="1219"/>
        <w:gridCol w:w="1219"/>
        <w:gridCol w:w="1219"/>
        <w:gridCol w:w="1304"/>
      </w:tblGrid>
      <w:tr w:rsidR="009C44B9" w:rsidRPr="00E15AEB" w14:paraId="577A1ABA" w14:textId="77777777" w:rsidTr="006D685A">
        <w:trPr>
          <w:trHeight w:val="360"/>
        </w:trPr>
        <w:tc>
          <w:tcPr>
            <w:tcW w:w="1350" w:type="dxa"/>
            <w:tcBorders>
              <w:top w:val="single" w:sz="4" w:space="0" w:color="auto"/>
              <w:bottom w:val="single" w:sz="4" w:space="0" w:color="auto"/>
            </w:tcBorders>
            <w:tcMar>
              <w:top w:w="100" w:type="dxa"/>
              <w:left w:w="100" w:type="dxa"/>
              <w:bottom w:w="100" w:type="dxa"/>
              <w:right w:w="100" w:type="dxa"/>
            </w:tcMar>
          </w:tcPr>
          <w:p w14:paraId="03F9CA14" w14:textId="77777777" w:rsidR="009C44B9" w:rsidRPr="00E15AEB" w:rsidRDefault="009C44B9" w:rsidP="006D685A">
            <w:pPr>
              <w:pStyle w:val="TableText"/>
              <w:spacing w:line="240" w:lineRule="auto"/>
              <w:rPr>
                <w:color w:val="0D0D0D" w:themeColor="text1" w:themeTint="F2"/>
              </w:rPr>
            </w:pPr>
            <w:r w:rsidRPr="00E15AEB">
              <w:rPr>
                <w:color w:val="0D0D0D" w:themeColor="text1" w:themeTint="F2"/>
              </w:rPr>
              <w:t>Gender</w:t>
            </w:r>
          </w:p>
        </w:tc>
        <w:tc>
          <w:tcPr>
            <w:tcW w:w="1219" w:type="dxa"/>
            <w:tcBorders>
              <w:top w:val="single" w:sz="4" w:space="0" w:color="auto"/>
              <w:bottom w:val="single" w:sz="4" w:space="0" w:color="auto"/>
            </w:tcBorders>
            <w:tcMar>
              <w:top w:w="100" w:type="dxa"/>
              <w:left w:w="100" w:type="dxa"/>
              <w:bottom w:w="100" w:type="dxa"/>
              <w:right w:w="100" w:type="dxa"/>
            </w:tcMar>
          </w:tcPr>
          <w:p w14:paraId="20CA12B8" w14:textId="77777777" w:rsidR="009C44B9" w:rsidRPr="00E15AEB" w:rsidRDefault="009C44B9" w:rsidP="006D685A">
            <w:pPr>
              <w:pStyle w:val="TableText"/>
              <w:spacing w:line="240" w:lineRule="auto"/>
              <w:jc w:val="center"/>
              <w:rPr>
                <w:color w:val="0D0D0D" w:themeColor="text1" w:themeTint="F2"/>
              </w:rPr>
            </w:pPr>
            <w:r w:rsidRPr="00E15AEB">
              <w:rPr>
                <w:color w:val="0D0D0D" w:themeColor="text1" w:themeTint="F2"/>
              </w:rPr>
              <w:t>Mean score (scale 1-5)</w:t>
            </w:r>
          </w:p>
        </w:tc>
        <w:tc>
          <w:tcPr>
            <w:tcW w:w="1219" w:type="dxa"/>
            <w:tcBorders>
              <w:top w:val="single" w:sz="4" w:space="0" w:color="auto"/>
              <w:bottom w:val="single" w:sz="4" w:space="0" w:color="auto"/>
            </w:tcBorders>
            <w:tcMar>
              <w:top w:w="100" w:type="dxa"/>
              <w:left w:w="100" w:type="dxa"/>
              <w:bottom w:w="100" w:type="dxa"/>
              <w:right w:w="100" w:type="dxa"/>
            </w:tcMar>
          </w:tcPr>
          <w:p w14:paraId="033CF231" w14:textId="77777777" w:rsidR="009C44B9" w:rsidRPr="00E15AEB" w:rsidRDefault="009C44B9" w:rsidP="006D685A">
            <w:pPr>
              <w:pStyle w:val="TableText"/>
              <w:spacing w:line="240" w:lineRule="auto"/>
              <w:rPr>
                <w:color w:val="0D0D0D" w:themeColor="text1" w:themeTint="F2"/>
              </w:rPr>
            </w:pPr>
            <w:r w:rsidRPr="00E15AEB">
              <w:rPr>
                <w:color w:val="0D0D0D" w:themeColor="text1" w:themeTint="F2"/>
              </w:rPr>
              <w:t>Standard</w:t>
            </w:r>
          </w:p>
          <w:p w14:paraId="5423F101" w14:textId="77777777" w:rsidR="009C44B9" w:rsidRPr="00E15AEB" w:rsidRDefault="009C44B9" w:rsidP="006D685A">
            <w:pPr>
              <w:pStyle w:val="TableText"/>
              <w:spacing w:line="240" w:lineRule="auto"/>
              <w:rPr>
                <w:color w:val="0D0D0D" w:themeColor="text1" w:themeTint="F2"/>
              </w:rPr>
            </w:pPr>
            <w:r w:rsidRPr="00E15AEB">
              <w:rPr>
                <w:color w:val="0D0D0D" w:themeColor="text1" w:themeTint="F2"/>
              </w:rPr>
              <w:t>deviation</w:t>
            </w:r>
          </w:p>
        </w:tc>
        <w:tc>
          <w:tcPr>
            <w:tcW w:w="1219" w:type="dxa"/>
            <w:tcBorders>
              <w:top w:val="single" w:sz="4" w:space="0" w:color="auto"/>
              <w:bottom w:val="single" w:sz="4" w:space="0" w:color="auto"/>
            </w:tcBorders>
          </w:tcPr>
          <w:p w14:paraId="01E19DD8" w14:textId="77777777" w:rsidR="009C44B9" w:rsidRPr="00E15AEB" w:rsidRDefault="009C44B9" w:rsidP="006D685A">
            <w:pPr>
              <w:pStyle w:val="TableText"/>
              <w:spacing w:line="240" w:lineRule="auto"/>
              <w:jc w:val="center"/>
              <w:rPr>
                <w:color w:val="0D0D0D" w:themeColor="text1" w:themeTint="F2"/>
              </w:rPr>
            </w:pPr>
            <w:r w:rsidRPr="00E15AEB">
              <w:rPr>
                <w:color w:val="0D0D0D" w:themeColor="text1" w:themeTint="F2"/>
              </w:rPr>
              <w:t>Frequency f</w:t>
            </w:r>
          </w:p>
        </w:tc>
        <w:tc>
          <w:tcPr>
            <w:tcW w:w="1304" w:type="dxa"/>
            <w:tcBorders>
              <w:top w:val="single" w:sz="4" w:space="0" w:color="auto"/>
              <w:bottom w:val="single" w:sz="4" w:space="0" w:color="auto"/>
            </w:tcBorders>
          </w:tcPr>
          <w:p w14:paraId="47710FDB" w14:textId="77777777" w:rsidR="009C44B9" w:rsidRPr="00E15AEB" w:rsidRDefault="009C44B9" w:rsidP="006D685A">
            <w:pPr>
              <w:pStyle w:val="TableText"/>
              <w:spacing w:line="240" w:lineRule="auto"/>
              <w:jc w:val="center"/>
              <w:rPr>
                <w:color w:val="0D0D0D" w:themeColor="text1" w:themeTint="F2"/>
              </w:rPr>
            </w:pPr>
            <w:r w:rsidRPr="00E15AEB">
              <w:rPr>
                <w:color w:val="0D0D0D" w:themeColor="text1" w:themeTint="F2"/>
              </w:rPr>
              <w:t>Percentage %</w:t>
            </w:r>
          </w:p>
        </w:tc>
      </w:tr>
      <w:tr w:rsidR="009C44B9" w:rsidRPr="00E15AEB" w14:paraId="048B516E" w14:textId="77777777" w:rsidTr="006D685A">
        <w:tc>
          <w:tcPr>
            <w:tcW w:w="1350" w:type="dxa"/>
            <w:tcBorders>
              <w:top w:val="single" w:sz="4" w:space="0" w:color="auto"/>
            </w:tcBorders>
            <w:tcMar>
              <w:top w:w="100" w:type="dxa"/>
              <w:left w:w="100" w:type="dxa"/>
              <w:bottom w:w="100" w:type="dxa"/>
              <w:right w:w="100" w:type="dxa"/>
            </w:tcMar>
          </w:tcPr>
          <w:p w14:paraId="02603E12" w14:textId="77777777" w:rsidR="009C44B9" w:rsidRPr="00E15AEB" w:rsidRDefault="009C44B9" w:rsidP="006D685A">
            <w:pPr>
              <w:pStyle w:val="TableText"/>
              <w:spacing w:line="240" w:lineRule="auto"/>
              <w:rPr>
                <w:color w:val="0D0D0D" w:themeColor="text1" w:themeTint="F2"/>
              </w:rPr>
            </w:pPr>
            <w:r w:rsidRPr="00E15AEB">
              <w:rPr>
                <w:color w:val="0D0D0D" w:themeColor="text1" w:themeTint="F2"/>
              </w:rPr>
              <w:t>Men</w:t>
            </w:r>
          </w:p>
        </w:tc>
        <w:tc>
          <w:tcPr>
            <w:tcW w:w="1219" w:type="dxa"/>
            <w:tcBorders>
              <w:top w:val="single" w:sz="4" w:space="0" w:color="auto"/>
            </w:tcBorders>
            <w:tcMar>
              <w:top w:w="100" w:type="dxa"/>
              <w:left w:w="100" w:type="dxa"/>
              <w:bottom w:w="100" w:type="dxa"/>
              <w:right w:w="100" w:type="dxa"/>
            </w:tcMar>
          </w:tcPr>
          <w:p w14:paraId="4139EC9D" w14:textId="77777777" w:rsidR="009C44B9" w:rsidRPr="00E15AEB" w:rsidRDefault="009C44B9" w:rsidP="006D685A">
            <w:pPr>
              <w:pStyle w:val="TableText"/>
              <w:spacing w:line="240" w:lineRule="auto"/>
              <w:jc w:val="center"/>
              <w:rPr>
                <w:color w:val="0D0D0D" w:themeColor="text1" w:themeTint="F2"/>
              </w:rPr>
            </w:pPr>
            <w:r w:rsidRPr="00E15AEB">
              <w:rPr>
                <w:color w:val="0D0D0D" w:themeColor="text1" w:themeTint="F2"/>
              </w:rPr>
              <w:t>4.44</w:t>
            </w:r>
          </w:p>
        </w:tc>
        <w:tc>
          <w:tcPr>
            <w:tcW w:w="1219" w:type="dxa"/>
            <w:tcBorders>
              <w:top w:val="single" w:sz="4" w:space="0" w:color="auto"/>
            </w:tcBorders>
            <w:tcMar>
              <w:top w:w="100" w:type="dxa"/>
              <w:left w:w="100" w:type="dxa"/>
              <w:bottom w:w="100" w:type="dxa"/>
              <w:right w:w="100" w:type="dxa"/>
            </w:tcMar>
          </w:tcPr>
          <w:p w14:paraId="66372617" w14:textId="77777777" w:rsidR="009C44B9" w:rsidRPr="00E15AEB" w:rsidRDefault="009C44B9" w:rsidP="006D685A">
            <w:pPr>
              <w:pStyle w:val="TableText"/>
              <w:spacing w:line="240" w:lineRule="auto"/>
              <w:jc w:val="center"/>
              <w:rPr>
                <w:color w:val="0D0D0D" w:themeColor="text1" w:themeTint="F2"/>
              </w:rPr>
            </w:pPr>
            <w:r w:rsidRPr="00E15AEB">
              <w:rPr>
                <w:color w:val="0D0D0D" w:themeColor="text1" w:themeTint="F2"/>
              </w:rPr>
              <w:t>.43</w:t>
            </w:r>
          </w:p>
        </w:tc>
        <w:tc>
          <w:tcPr>
            <w:tcW w:w="1219" w:type="dxa"/>
            <w:tcBorders>
              <w:top w:val="single" w:sz="4" w:space="0" w:color="auto"/>
            </w:tcBorders>
          </w:tcPr>
          <w:p w14:paraId="6CBD3624" w14:textId="77777777" w:rsidR="009C44B9" w:rsidRPr="00E15AEB" w:rsidRDefault="009C44B9" w:rsidP="006D685A">
            <w:pPr>
              <w:pStyle w:val="TableText"/>
              <w:spacing w:line="240" w:lineRule="auto"/>
              <w:jc w:val="center"/>
              <w:rPr>
                <w:color w:val="0D0D0D" w:themeColor="text1" w:themeTint="F2"/>
              </w:rPr>
            </w:pPr>
            <w:r w:rsidRPr="00E15AEB">
              <w:rPr>
                <w:color w:val="0D0D0D" w:themeColor="text1" w:themeTint="F2"/>
              </w:rPr>
              <w:t>100</w:t>
            </w:r>
          </w:p>
        </w:tc>
        <w:tc>
          <w:tcPr>
            <w:tcW w:w="1304" w:type="dxa"/>
            <w:tcBorders>
              <w:top w:val="single" w:sz="4" w:space="0" w:color="auto"/>
            </w:tcBorders>
          </w:tcPr>
          <w:p w14:paraId="31D2F199" w14:textId="77777777" w:rsidR="009C44B9" w:rsidRPr="00E15AEB" w:rsidRDefault="009C44B9" w:rsidP="006D685A">
            <w:pPr>
              <w:pStyle w:val="TableText"/>
              <w:spacing w:line="240" w:lineRule="auto"/>
              <w:jc w:val="center"/>
              <w:rPr>
                <w:color w:val="0D0D0D" w:themeColor="text1" w:themeTint="F2"/>
              </w:rPr>
            </w:pPr>
            <w:r w:rsidRPr="00E15AEB">
              <w:rPr>
                <w:color w:val="0D0D0D" w:themeColor="text1" w:themeTint="F2"/>
              </w:rPr>
              <w:t>48.54</w:t>
            </w:r>
          </w:p>
        </w:tc>
      </w:tr>
      <w:tr w:rsidR="009C44B9" w:rsidRPr="00E15AEB" w14:paraId="063050D2" w14:textId="77777777" w:rsidTr="006D685A">
        <w:tc>
          <w:tcPr>
            <w:tcW w:w="1350" w:type="dxa"/>
            <w:tcMar>
              <w:top w:w="100" w:type="dxa"/>
              <w:left w:w="100" w:type="dxa"/>
              <w:bottom w:w="100" w:type="dxa"/>
              <w:right w:w="100" w:type="dxa"/>
            </w:tcMar>
          </w:tcPr>
          <w:p w14:paraId="6FBF8A14" w14:textId="77777777" w:rsidR="009C44B9" w:rsidRPr="00E15AEB" w:rsidRDefault="009C44B9" w:rsidP="006D685A">
            <w:pPr>
              <w:pStyle w:val="TableText"/>
              <w:spacing w:line="240" w:lineRule="auto"/>
              <w:rPr>
                <w:color w:val="0D0D0D" w:themeColor="text1" w:themeTint="F2"/>
              </w:rPr>
            </w:pPr>
            <w:r w:rsidRPr="00E15AEB">
              <w:rPr>
                <w:color w:val="0D0D0D" w:themeColor="text1" w:themeTint="F2"/>
              </w:rPr>
              <w:t>Women</w:t>
            </w:r>
          </w:p>
        </w:tc>
        <w:tc>
          <w:tcPr>
            <w:tcW w:w="1219" w:type="dxa"/>
            <w:tcMar>
              <w:top w:w="100" w:type="dxa"/>
              <w:left w:w="100" w:type="dxa"/>
              <w:bottom w:w="100" w:type="dxa"/>
              <w:right w:w="100" w:type="dxa"/>
            </w:tcMar>
          </w:tcPr>
          <w:p w14:paraId="2221060C" w14:textId="77777777" w:rsidR="009C44B9" w:rsidRPr="00E15AEB" w:rsidRDefault="009C44B9" w:rsidP="006D685A">
            <w:pPr>
              <w:pStyle w:val="TableText"/>
              <w:spacing w:line="240" w:lineRule="auto"/>
              <w:jc w:val="center"/>
              <w:rPr>
                <w:color w:val="0D0D0D" w:themeColor="text1" w:themeTint="F2"/>
              </w:rPr>
            </w:pPr>
            <w:r w:rsidRPr="00E15AEB">
              <w:rPr>
                <w:color w:val="0D0D0D" w:themeColor="text1" w:themeTint="F2"/>
              </w:rPr>
              <w:t>4.47</w:t>
            </w:r>
          </w:p>
        </w:tc>
        <w:tc>
          <w:tcPr>
            <w:tcW w:w="1219" w:type="dxa"/>
            <w:tcMar>
              <w:top w:w="100" w:type="dxa"/>
              <w:left w:w="100" w:type="dxa"/>
              <w:bottom w:w="100" w:type="dxa"/>
              <w:right w:w="100" w:type="dxa"/>
            </w:tcMar>
          </w:tcPr>
          <w:p w14:paraId="67F1B9AC" w14:textId="77777777" w:rsidR="009C44B9" w:rsidRPr="00E15AEB" w:rsidRDefault="009C44B9" w:rsidP="006D685A">
            <w:pPr>
              <w:pStyle w:val="TableText"/>
              <w:spacing w:line="240" w:lineRule="auto"/>
              <w:jc w:val="center"/>
              <w:rPr>
                <w:color w:val="0D0D0D" w:themeColor="text1" w:themeTint="F2"/>
              </w:rPr>
            </w:pPr>
            <w:r w:rsidRPr="00E15AEB">
              <w:rPr>
                <w:color w:val="0D0D0D" w:themeColor="text1" w:themeTint="F2"/>
              </w:rPr>
              <w:t>.46</w:t>
            </w:r>
          </w:p>
        </w:tc>
        <w:tc>
          <w:tcPr>
            <w:tcW w:w="1219" w:type="dxa"/>
          </w:tcPr>
          <w:p w14:paraId="3F6CE7FB" w14:textId="77777777" w:rsidR="009C44B9" w:rsidRPr="00E15AEB" w:rsidRDefault="009C44B9" w:rsidP="006D685A">
            <w:pPr>
              <w:pStyle w:val="TableText"/>
              <w:spacing w:line="240" w:lineRule="auto"/>
              <w:jc w:val="center"/>
              <w:rPr>
                <w:color w:val="0D0D0D" w:themeColor="text1" w:themeTint="F2"/>
              </w:rPr>
            </w:pPr>
            <w:r w:rsidRPr="00E15AEB">
              <w:rPr>
                <w:color w:val="0D0D0D" w:themeColor="text1" w:themeTint="F2"/>
              </w:rPr>
              <w:t>106</w:t>
            </w:r>
          </w:p>
        </w:tc>
        <w:tc>
          <w:tcPr>
            <w:tcW w:w="1304" w:type="dxa"/>
          </w:tcPr>
          <w:p w14:paraId="500C629F" w14:textId="77777777" w:rsidR="009C44B9" w:rsidRPr="00E15AEB" w:rsidRDefault="009C44B9" w:rsidP="006D685A">
            <w:pPr>
              <w:pStyle w:val="TableText"/>
              <w:spacing w:line="240" w:lineRule="auto"/>
              <w:jc w:val="center"/>
              <w:rPr>
                <w:color w:val="0D0D0D" w:themeColor="text1" w:themeTint="F2"/>
              </w:rPr>
            </w:pPr>
            <w:r w:rsidRPr="00E15AEB">
              <w:rPr>
                <w:color w:val="0D0D0D" w:themeColor="text1" w:themeTint="F2"/>
              </w:rPr>
              <w:t>51.46</w:t>
            </w:r>
          </w:p>
        </w:tc>
      </w:tr>
      <w:tr w:rsidR="009C44B9" w:rsidRPr="00E15AEB" w14:paraId="0EB7391A" w14:textId="77777777" w:rsidTr="006D685A">
        <w:tc>
          <w:tcPr>
            <w:tcW w:w="1350" w:type="dxa"/>
            <w:tcBorders>
              <w:bottom w:val="single" w:sz="4" w:space="0" w:color="auto"/>
            </w:tcBorders>
            <w:tcMar>
              <w:top w:w="100" w:type="dxa"/>
              <w:left w:w="100" w:type="dxa"/>
              <w:bottom w:w="100" w:type="dxa"/>
              <w:right w:w="100" w:type="dxa"/>
            </w:tcMar>
          </w:tcPr>
          <w:p w14:paraId="069940B7" w14:textId="77777777" w:rsidR="009C44B9" w:rsidRPr="00E15AEB" w:rsidRDefault="009C44B9" w:rsidP="006D685A">
            <w:pPr>
              <w:pStyle w:val="TableText"/>
              <w:spacing w:line="240" w:lineRule="auto"/>
              <w:rPr>
                <w:color w:val="0D0D0D" w:themeColor="text1" w:themeTint="F2"/>
              </w:rPr>
            </w:pPr>
            <w:r w:rsidRPr="00E15AEB">
              <w:rPr>
                <w:color w:val="0D0D0D" w:themeColor="text1" w:themeTint="F2"/>
              </w:rPr>
              <w:t>Total</w:t>
            </w:r>
          </w:p>
        </w:tc>
        <w:tc>
          <w:tcPr>
            <w:tcW w:w="1219" w:type="dxa"/>
            <w:tcBorders>
              <w:bottom w:val="single" w:sz="4" w:space="0" w:color="auto"/>
            </w:tcBorders>
            <w:tcMar>
              <w:top w:w="100" w:type="dxa"/>
              <w:left w:w="100" w:type="dxa"/>
              <w:bottom w:w="100" w:type="dxa"/>
              <w:right w:w="100" w:type="dxa"/>
            </w:tcMar>
          </w:tcPr>
          <w:p w14:paraId="40545757" w14:textId="77777777" w:rsidR="009C44B9" w:rsidRPr="00E15AEB" w:rsidRDefault="009C44B9" w:rsidP="006D685A">
            <w:pPr>
              <w:pStyle w:val="TableText"/>
              <w:spacing w:line="240" w:lineRule="auto"/>
              <w:jc w:val="center"/>
              <w:rPr>
                <w:color w:val="0D0D0D" w:themeColor="text1" w:themeTint="F2"/>
              </w:rPr>
            </w:pPr>
            <w:r w:rsidRPr="00E15AEB">
              <w:rPr>
                <w:color w:val="0D0D0D" w:themeColor="text1" w:themeTint="F2"/>
              </w:rPr>
              <w:t>4.45</w:t>
            </w:r>
          </w:p>
        </w:tc>
        <w:tc>
          <w:tcPr>
            <w:tcW w:w="1219" w:type="dxa"/>
            <w:tcBorders>
              <w:bottom w:val="single" w:sz="4" w:space="0" w:color="auto"/>
            </w:tcBorders>
            <w:tcMar>
              <w:top w:w="100" w:type="dxa"/>
              <w:left w:w="100" w:type="dxa"/>
              <w:bottom w:w="100" w:type="dxa"/>
              <w:right w:w="100" w:type="dxa"/>
            </w:tcMar>
          </w:tcPr>
          <w:p w14:paraId="7EA77A8B" w14:textId="77777777" w:rsidR="009C44B9" w:rsidRPr="00E15AEB" w:rsidRDefault="009C44B9" w:rsidP="006D685A">
            <w:pPr>
              <w:pStyle w:val="TableText"/>
              <w:spacing w:line="240" w:lineRule="auto"/>
              <w:jc w:val="center"/>
              <w:rPr>
                <w:color w:val="0D0D0D" w:themeColor="text1" w:themeTint="F2"/>
              </w:rPr>
            </w:pPr>
            <w:r w:rsidRPr="00E15AEB">
              <w:rPr>
                <w:color w:val="0D0D0D" w:themeColor="text1" w:themeTint="F2"/>
              </w:rPr>
              <w:t>.44</w:t>
            </w:r>
          </w:p>
        </w:tc>
        <w:tc>
          <w:tcPr>
            <w:tcW w:w="1219" w:type="dxa"/>
            <w:tcBorders>
              <w:bottom w:val="single" w:sz="4" w:space="0" w:color="auto"/>
            </w:tcBorders>
          </w:tcPr>
          <w:p w14:paraId="7A1533CF" w14:textId="77777777" w:rsidR="009C44B9" w:rsidRPr="00E15AEB" w:rsidRDefault="009C44B9" w:rsidP="006D685A">
            <w:pPr>
              <w:pStyle w:val="TableText"/>
              <w:spacing w:line="240" w:lineRule="auto"/>
              <w:jc w:val="center"/>
              <w:rPr>
                <w:color w:val="0D0D0D" w:themeColor="text1" w:themeTint="F2"/>
              </w:rPr>
            </w:pPr>
            <w:r w:rsidRPr="00E15AEB">
              <w:rPr>
                <w:color w:val="0D0D0D" w:themeColor="text1" w:themeTint="F2"/>
              </w:rPr>
              <w:t>206</w:t>
            </w:r>
          </w:p>
        </w:tc>
        <w:tc>
          <w:tcPr>
            <w:tcW w:w="1304" w:type="dxa"/>
            <w:tcBorders>
              <w:bottom w:val="single" w:sz="4" w:space="0" w:color="auto"/>
            </w:tcBorders>
          </w:tcPr>
          <w:p w14:paraId="1A717C38" w14:textId="77777777" w:rsidR="009C44B9" w:rsidRPr="00E15AEB" w:rsidRDefault="009C44B9" w:rsidP="006D685A">
            <w:pPr>
              <w:pStyle w:val="TableText"/>
              <w:spacing w:line="240" w:lineRule="auto"/>
              <w:jc w:val="center"/>
              <w:rPr>
                <w:color w:val="0D0D0D" w:themeColor="text1" w:themeTint="F2"/>
              </w:rPr>
            </w:pPr>
            <w:r w:rsidRPr="00E15AEB">
              <w:rPr>
                <w:color w:val="0D0D0D" w:themeColor="text1" w:themeTint="F2"/>
              </w:rPr>
              <w:t>100</w:t>
            </w:r>
          </w:p>
        </w:tc>
      </w:tr>
    </w:tbl>
    <w:p w14:paraId="3272A3B7" w14:textId="77777777" w:rsidR="009C44B9" w:rsidRPr="005267FD" w:rsidRDefault="009C44B9" w:rsidP="007A56C4">
      <w:pPr>
        <w:tabs>
          <w:tab w:val="left" w:pos="851"/>
        </w:tabs>
        <w:spacing w:after="120" w:line="240" w:lineRule="auto"/>
        <w:rPr>
          <w:rFonts w:ascii="Arial" w:hAnsi="Arial" w:cs="Arial"/>
          <w:b/>
          <w:bCs/>
          <w:color w:val="0D0D0D" w:themeColor="text1" w:themeTint="F2"/>
          <w:sz w:val="18"/>
          <w:szCs w:val="18"/>
          <w:lang w:val="el-GR"/>
        </w:rPr>
      </w:pPr>
    </w:p>
    <w:p w14:paraId="1CB6BD55" w14:textId="3A321E2D" w:rsidR="00785971" w:rsidRPr="00644CB1" w:rsidRDefault="00785971" w:rsidP="007A56C4">
      <w:pPr>
        <w:tabs>
          <w:tab w:val="left" w:pos="851"/>
        </w:tabs>
        <w:spacing w:after="120" w:line="240" w:lineRule="auto"/>
        <w:rPr>
          <w:rFonts w:ascii="Arial" w:hAnsi="Arial" w:cs="Arial"/>
          <w:color w:val="0D0D0D" w:themeColor="text1" w:themeTint="F2"/>
          <w:sz w:val="18"/>
          <w:szCs w:val="18"/>
        </w:rPr>
      </w:pPr>
      <w:r w:rsidRPr="00644CB1">
        <w:rPr>
          <w:rFonts w:ascii="Arial" w:hAnsi="Arial" w:cs="Arial"/>
          <w:b/>
          <w:bCs/>
          <w:color w:val="0D0D0D" w:themeColor="text1" w:themeTint="F2"/>
          <w:sz w:val="18"/>
          <w:szCs w:val="18"/>
          <w:lang w:val="en-US"/>
        </w:rPr>
        <w:t xml:space="preserve">Table </w:t>
      </w:r>
      <w:r w:rsidR="00941E06" w:rsidRPr="00DD3886">
        <w:rPr>
          <w:rFonts w:ascii="Arial" w:hAnsi="Arial" w:cs="Arial"/>
          <w:b/>
          <w:bCs/>
          <w:color w:val="0D0D0D" w:themeColor="text1" w:themeTint="F2"/>
          <w:sz w:val="18"/>
          <w:szCs w:val="18"/>
          <w:lang w:val="en-US"/>
        </w:rPr>
        <w:t>8</w:t>
      </w:r>
      <w:r w:rsidRPr="00644CB1">
        <w:rPr>
          <w:rFonts w:ascii="Arial" w:hAnsi="Arial" w:cs="Arial"/>
          <w:b/>
          <w:bCs/>
          <w:color w:val="0D0D0D" w:themeColor="text1" w:themeTint="F2"/>
          <w:sz w:val="18"/>
          <w:szCs w:val="18"/>
          <w:lang w:val="en-US"/>
        </w:rPr>
        <w:t>:</w:t>
      </w:r>
      <w:r w:rsidRPr="00644CB1">
        <w:rPr>
          <w:rFonts w:ascii="Arial" w:hAnsi="Arial" w:cs="Arial"/>
          <w:color w:val="0D0D0D" w:themeColor="text1" w:themeTint="F2"/>
          <w:sz w:val="18"/>
          <w:szCs w:val="18"/>
          <w:lang w:val="en-US"/>
        </w:rPr>
        <w:t xml:space="preserve"> </w:t>
      </w:r>
      <w:r w:rsidR="00DC3CDA" w:rsidRPr="00DC3CDA">
        <w:rPr>
          <w:rFonts w:ascii="Arial" w:hAnsi="Arial" w:cs="Arial"/>
          <w:color w:val="0D0D0D" w:themeColor="text1" w:themeTint="F2"/>
          <w:sz w:val="18"/>
          <w:szCs w:val="18"/>
          <w:lang w:val="en-US"/>
        </w:rPr>
        <w:t xml:space="preserve">Pattern matrix (PAF; direct </w:t>
      </w:r>
      <w:proofErr w:type="spellStart"/>
      <w:r w:rsidR="00DC3CDA" w:rsidRPr="00DC3CDA">
        <w:rPr>
          <w:rFonts w:ascii="Arial" w:hAnsi="Arial" w:cs="Arial"/>
          <w:color w:val="0D0D0D" w:themeColor="text1" w:themeTint="F2"/>
          <w:sz w:val="18"/>
          <w:szCs w:val="18"/>
          <w:lang w:val="en-US"/>
        </w:rPr>
        <w:t>oblimin</w:t>
      </w:r>
      <w:proofErr w:type="spellEnd"/>
      <w:r w:rsidR="00DC3CDA" w:rsidRPr="00DC3CDA">
        <w:rPr>
          <w:rFonts w:ascii="Arial" w:hAnsi="Arial" w:cs="Arial"/>
          <w:color w:val="0D0D0D" w:themeColor="text1" w:themeTint="F2"/>
          <w:sz w:val="18"/>
          <w:szCs w:val="18"/>
          <w:lang w:val="en-US"/>
        </w:rPr>
        <w:t>) for the VIFT evaluation scale items</w:t>
      </w:r>
      <w:r w:rsidRPr="00644CB1">
        <w:rPr>
          <w:rFonts w:ascii="Arial" w:hAnsi="Arial" w:cs="Arial"/>
          <w:color w:val="0D0D0D" w:themeColor="text1" w:themeTint="F2"/>
          <w:sz w:val="18"/>
          <w:szCs w:val="18"/>
          <w:lang w:val="en-US"/>
        </w:rPr>
        <w:t xml:space="preserve"> </w:t>
      </w:r>
    </w:p>
    <w:tbl>
      <w:tblPr>
        <w:tblW w:w="6379" w:type="dxa"/>
        <w:tblLayout w:type="fixed"/>
        <w:tblLook w:val="0600" w:firstRow="0" w:lastRow="0" w:firstColumn="0" w:lastColumn="0" w:noHBand="1" w:noVBand="1"/>
      </w:tblPr>
      <w:tblGrid>
        <w:gridCol w:w="851"/>
        <w:gridCol w:w="1985"/>
        <w:gridCol w:w="1984"/>
        <w:gridCol w:w="1559"/>
      </w:tblGrid>
      <w:tr w:rsidR="009870E2" w:rsidRPr="00E15AEB" w14:paraId="73904B9D" w14:textId="77777777" w:rsidTr="00DD3886">
        <w:trPr>
          <w:trHeight w:val="360"/>
        </w:trPr>
        <w:tc>
          <w:tcPr>
            <w:tcW w:w="851" w:type="dxa"/>
            <w:tcBorders>
              <w:top w:val="single" w:sz="4" w:space="0" w:color="auto"/>
              <w:bottom w:val="single" w:sz="4" w:space="0" w:color="auto"/>
            </w:tcBorders>
            <w:tcMar>
              <w:top w:w="100" w:type="dxa"/>
              <w:left w:w="100" w:type="dxa"/>
              <w:bottom w:w="100" w:type="dxa"/>
              <w:right w:w="100" w:type="dxa"/>
            </w:tcMar>
          </w:tcPr>
          <w:p w14:paraId="298A25B8" w14:textId="7C1E57C3" w:rsidR="009870E2" w:rsidRPr="00E15AEB" w:rsidRDefault="009870E2" w:rsidP="00283DD8">
            <w:pPr>
              <w:pStyle w:val="TableText"/>
              <w:spacing w:line="240" w:lineRule="auto"/>
              <w:ind w:left="197" w:hanging="197"/>
              <w:jc w:val="center"/>
              <w:rPr>
                <w:color w:val="0D0D0D" w:themeColor="text1" w:themeTint="F2"/>
              </w:rPr>
            </w:pPr>
            <w:r w:rsidRPr="00E15AEB">
              <w:rPr>
                <w:color w:val="0D0D0D" w:themeColor="text1" w:themeTint="F2"/>
              </w:rPr>
              <w:t>Item</w:t>
            </w:r>
          </w:p>
        </w:tc>
        <w:tc>
          <w:tcPr>
            <w:tcW w:w="1985" w:type="dxa"/>
            <w:tcBorders>
              <w:top w:val="single" w:sz="4" w:space="0" w:color="auto"/>
              <w:bottom w:val="single" w:sz="4" w:space="0" w:color="auto"/>
            </w:tcBorders>
            <w:tcMar>
              <w:top w:w="100" w:type="dxa"/>
              <w:left w:w="100" w:type="dxa"/>
              <w:bottom w:w="100" w:type="dxa"/>
              <w:right w:w="100" w:type="dxa"/>
            </w:tcMar>
          </w:tcPr>
          <w:p w14:paraId="33D5D465" w14:textId="36BA2727" w:rsidR="009870E2" w:rsidRPr="00E15AEB" w:rsidRDefault="009870E2" w:rsidP="00EF5096">
            <w:pPr>
              <w:pStyle w:val="TableText"/>
              <w:spacing w:line="240" w:lineRule="auto"/>
              <w:jc w:val="center"/>
              <w:rPr>
                <w:color w:val="0D0D0D" w:themeColor="text1" w:themeTint="F2"/>
              </w:rPr>
            </w:pPr>
            <w:r w:rsidRPr="00E15AEB">
              <w:rPr>
                <w:color w:val="0D0D0D" w:themeColor="text1" w:themeTint="F2"/>
              </w:rPr>
              <w:t>Orga</w:t>
            </w:r>
            <w:r w:rsidR="006469CD" w:rsidRPr="00E15AEB">
              <w:rPr>
                <w:color w:val="0D0D0D" w:themeColor="text1" w:themeTint="F2"/>
              </w:rPr>
              <w:t>nizers’ efficiency</w:t>
            </w:r>
          </w:p>
        </w:tc>
        <w:tc>
          <w:tcPr>
            <w:tcW w:w="1984" w:type="dxa"/>
            <w:tcBorders>
              <w:top w:val="single" w:sz="4" w:space="0" w:color="auto"/>
              <w:bottom w:val="single" w:sz="4" w:space="0" w:color="auto"/>
            </w:tcBorders>
            <w:tcMar>
              <w:top w:w="100" w:type="dxa"/>
              <w:left w:w="100" w:type="dxa"/>
              <w:bottom w:w="100" w:type="dxa"/>
              <w:right w:w="100" w:type="dxa"/>
            </w:tcMar>
          </w:tcPr>
          <w:p w14:paraId="53DF83D5" w14:textId="459AE315" w:rsidR="009870E2" w:rsidRPr="00E15AEB" w:rsidRDefault="00D52E40" w:rsidP="00283DD8">
            <w:pPr>
              <w:pStyle w:val="TableText"/>
              <w:spacing w:line="240" w:lineRule="auto"/>
              <w:ind w:left="37" w:hanging="37"/>
              <w:jc w:val="center"/>
              <w:rPr>
                <w:color w:val="0D0D0D" w:themeColor="text1" w:themeTint="F2"/>
              </w:rPr>
            </w:pPr>
            <w:r w:rsidRPr="00E15AEB">
              <w:rPr>
                <w:color w:val="0D0D0D" w:themeColor="text1" w:themeTint="F2"/>
              </w:rPr>
              <w:t>VIFT quality</w:t>
            </w:r>
          </w:p>
        </w:tc>
        <w:tc>
          <w:tcPr>
            <w:tcW w:w="1559" w:type="dxa"/>
            <w:tcBorders>
              <w:top w:val="single" w:sz="4" w:space="0" w:color="auto"/>
              <w:bottom w:val="single" w:sz="4" w:space="0" w:color="auto"/>
            </w:tcBorders>
          </w:tcPr>
          <w:p w14:paraId="3D9761D0" w14:textId="16DD4989" w:rsidR="009870E2" w:rsidRPr="00E15AEB" w:rsidRDefault="009870E2" w:rsidP="00DD3886">
            <w:pPr>
              <w:pStyle w:val="TableText"/>
              <w:spacing w:line="240" w:lineRule="auto"/>
              <w:ind w:left="197" w:hanging="197"/>
              <w:jc w:val="center"/>
              <w:rPr>
                <w:color w:val="0D0D0D" w:themeColor="text1" w:themeTint="F2"/>
                <w:vertAlign w:val="superscript"/>
              </w:rPr>
            </w:pPr>
            <w:r w:rsidRPr="00E15AEB">
              <w:rPr>
                <w:color w:val="0D0D0D" w:themeColor="text1" w:themeTint="F2"/>
              </w:rPr>
              <w:t>h</w:t>
            </w:r>
            <w:r w:rsidRPr="00E15AEB">
              <w:rPr>
                <w:color w:val="0D0D0D" w:themeColor="text1" w:themeTint="F2"/>
                <w:vertAlign w:val="superscript"/>
              </w:rPr>
              <w:t>2</w:t>
            </w:r>
          </w:p>
        </w:tc>
      </w:tr>
      <w:tr w:rsidR="00BF1E62" w:rsidRPr="00E15AEB" w14:paraId="26701AD9" w14:textId="77777777" w:rsidTr="00DD3886">
        <w:tc>
          <w:tcPr>
            <w:tcW w:w="851" w:type="dxa"/>
            <w:tcBorders>
              <w:top w:val="single" w:sz="4" w:space="0" w:color="auto"/>
            </w:tcBorders>
            <w:tcMar>
              <w:top w:w="100" w:type="dxa"/>
              <w:left w:w="100" w:type="dxa"/>
              <w:bottom w:w="100" w:type="dxa"/>
              <w:right w:w="100" w:type="dxa"/>
            </w:tcMar>
          </w:tcPr>
          <w:p w14:paraId="01B1CB30" w14:textId="300A5D44" w:rsidR="00BF1E62" w:rsidRPr="00E15AEB" w:rsidRDefault="00BF1E62" w:rsidP="00DD3886">
            <w:pPr>
              <w:pStyle w:val="TableText"/>
              <w:spacing w:line="240" w:lineRule="auto"/>
              <w:ind w:left="197" w:hanging="197"/>
              <w:jc w:val="center"/>
              <w:rPr>
                <w:color w:val="0D0D0D" w:themeColor="text1" w:themeTint="F2"/>
              </w:rPr>
            </w:pPr>
            <w:r w:rsidRPr="00E15AEB">
              <w:t>1</w:t>
            </w:r>
          </w:p>
        </w:tc>
        <w:tc>
          <w:tcPr>
            <w:tcW w:w="1985" w:type="dxa"/>
            <w:tcBorders>
              <w:top w:val="single" w:sz="4" w:space="0" w:color="auto"/>
            </w:tcBorders>
            <w:tcMar>
              <w:top w:w="100" w:type="dxa"/>
              <w:left w:w="100" w:type="dxa"/>
              <w:bottom w:w="100" w:type="dxa"/>
              <w:right w:w="100" w:type="dxa"/>
            </w:tcMar>
          </w:tcPr>
          <w:p w14:paraId="1CCC9B60" w14:textId="18A8D03F" w:rsidR="00BF1E62" w:rsidRPr="00E15AEB" w:rsidRDefault="00BF1E62" w:rsidP="00DD3886">
            <w:pPr>
              <w:pStyle w:val="TableText"/>
              <w:spacing w:line="240" w:lineRule="auto"/>
              <w:ind w:left="197" w:hanging="197"/>
              <w:jc w:val="center"/>
              <w:rPr>
                <w:color w:val="0D0D0D" w:themeColor="text1" w:themeTint="F2"/>
              </w:rPr>
            </w:pPr>
            <w:r w:rsidRPr="00E15AEB">
              <w:t>—</w:t>
            </w:r>
          </w:p>
        </w:tc>
        <w:tc>
          <w:tcPr>
            <w:tcW w:w="1984" w:type="dxa"/>
            <w:tcBorders>
              <w:top w:val="single" w:sz="4" w:space="0" w:color="auto"/>
            </w:tcBorders>
            <w:tcMar>
              <w:top w:w="100" w:type="dxa"/>
              <w:left w:w="100" w:type="dxa"/>
              <w:bottom w:w="100" w:type="dxa"/>
              <w:right w:w="100" w:type="dxa"/>
            </w:tcMar>
          </w:tcPr>
          <w:p w14:paraId="7071686C" w14:textId="1F49D2DC" w:rsidR="00BF1E62" w:rsidRPr="00E15AEB" w:rsidRDefault="00BF1E62" w:rsidP="00DD3886">
            <w:pPr>
              <w:pStyle w:val="TableText"/>
              <w:spacing w:line="240" w:lineRule="auto"/>
              <w:ind w:left="197" w:hanging="197"/>
              <w:jc w:val="center"/>
              <w:rPr>
                <w:color w:val="0D0D0D" w:themeColor="text1" w:themeTint="F2"/>
              </w:rPr>
            </w:pPr>
            <w:r w:rsidRPr="00E15AEB">
              <w:t>.546</w:t>
            </w:r>
          </w:p>
        </w:tc>
        <w:tc>
          <w:tcPr>
            <w:tcW w:w="1559" w:type="dxa"/>
            <w:tcBorders>
              <w:top w:val="single" w:sz="4" w:space="0" w:color="auto"/>
            </w:tcBorders>
          </w:tcPr>
          <w:p w14:paraId="63900080" w14:textId="6E2B10D2" w:rsidR="00BF1E62" w:rsidRPr="00E15AEB" w:rsidRDefault="00BF1E62" w:rsidP="00DD3886">
            <w:pPr>
              <w:pStyle w:val="TableText"/>
              <w:spacing w:line="240" w:lineRule="auto"/>
              <w:ind w:left="197" w:hanging="197"/>
              <w:jc w:val="center"/>
              <w:rPr>
                <w:color w:val="0D0D0D" w:themeColor="text1" w:themeTint="F2"/>
              </w:rPr>
            </w:pPr>
            <w:r w:rsidRPr="00E15AEB">
              <w:t>.360</w:t>
            </w:r>
          </w:p>
        </w:tc>
      </w:tr>
      <w:tr w:rsidR="00BF1E62" w:rsidRPr="00E15AEB" w14:paraId="5DC2EEE4" w14:textId="77777777" w:rsidTr="00DD3886">
        <w:tc>
          <w:tcPr>
            <w:tcW w:w="851" w:type="dxa"/>
            <w:tcMar>
              <w:top w:w="100" w:type="dxa"/>
              <w:left w:w="100" w:type="dxa"/>
              <w:bottom w:w="100" w:type="dxa"/>
              <w:right w:w="100" w:type="dxa"/>
            </w:tcMar>
          </w:tcPr>
          <w:p w14:paraId="35C2C356" w14:textId="05312C66" w:rsidR="00BF1E62" w:rsidRPr="00E15AEB" w:rsidRDefault="00BF1E62" w:rsidP="00DD3886">
            <w:pPr>
              <w:pStyle w:val="TableText"/>
              <w:spacing w:line="240" w:lineRule="auto"/>
              <w:ind w:left="197" w:hanging="197"/>
              <w:jc w:val="center"/>
              <w:rPr>
                <w:color w:val="0D0D0D" w:themeColor="text1" w:themeTint="F2"/>
              </w:rPr>
            </w:pPr>
            <w:r w:rsidRPr="00E15AEB">
              <w:t>2</w:t>
            </w:r>
          </w:p>
        </w:tc>
        <w:tc>
          <w:tcPr>
            <w:tcW w:w="1985" w:type="dxa"/>
            <w:tcMar>
              <w:top w:w="100" w:type="dxa"/>
              <w:left w:w="100" w:type="dxa"/>
              <w:bottom w:w="100" w:type="dxa"/>
              <w:right w:w="100" w:type="dxa"/>
            </w:tcMar>
          </w:tcPr>
          <w:p w14:paraId="0BCC7F2E" w14:textId="4A80EBF1" w:rsidR="00BF1E62" w:rsidRPr="00E15AEB" w:rsidRDefault="00BF1E62" w:rsidP="000A0DEA">
            <w:pPr>
              <w:pStyle w:val="TableText"/>
              <w:spacing w:line="240" w:lineRule="auto"/>
              <w:ind w:left="197" w:hanging="197"/>
              <w:jc w:val="center"/>
              <w:rPr>
                <w:color w:val="0D0D0D" w:themeColor="text1" w:themeTint="F2"/>
              </w:rPr>
            </w:pPr>
            <w:r w:rsidRPr="00E15AEB">
              <w:t>—</w:t>
            </w:r>
          </w:p>
        </w:tc>
        <w:tc>
          <w:tcPr>
            <w:tcW w:w="1984" w:type="dxa"/>
            <w:tcMar>
              <w:top w:w="100" w:type="dxa"/>
              <w:left w:w="100" w:type="dxa"/>
              <w:bottom w:w="100" w:type="dxa"/>
              <w:right w:w="100" w:type="dxa"/>
            </w:tcMar>
          </w:tcPr>
          <w:p w14:paraId="3F37BF62" w14:textId="4EE860CE" w:rsidR="00BF1E62" w:rsidRPr="00E15AEB" w:rsidRDefault="00BF1E62" w:rsidP="000A0DEA">
            <w:pPr>
              <w:pStyle w:val="TableText"/>
              <w:spacing w:line="240" w:lineRule="auto"/>
              <w:ind w:left="197" w:hanging="197"/>
              <w:jc w:val="center"/>
              <w:rPr>
                <w:color w:val="0D0D0D" w:themeColor="text1" w:themeTint="F2"/>
              </w:rPr>
            </w:pPr>
            <w:r w:rsidRPr="00E15AEB">
              <w:t>.649</w:t>
            </w:r>
          </w:p>
        </w:tc>
        <w:tc>
          <w:tcPr>
            <w:tcW w:w="1559" w:type="dxa"/>
          </w:tcPr>
          <w:p w14:paraId="56001F70" w14:textId="43D69A06" w:rsidR="00BF1E62" w:rsidRPr="00E15AEB" w:rsidRDefault="00BF1E62" w:rsidP="000A0DEA">
            <w:pPr>
              <w:pStyle w:val="TableText"/>
              <w:spacing w:line="240" w:lineRule="auto"/>
              <w:ind w:left="197" w:hanging="197"/>
              <w:jc w:val="center"/>
              <w:rPr>
                <w:color w:val="0D0D0D" w:themeColor="text1" w:themeTint="F2"/>
              </w:rPr>
            </w:pPr>
            <w:r w:rsidRPr="00E15AEB">
              <w:t>.422</w:t>
            </w:r>
          </w:p>
        </w:tc>
      </w:tr>
      <w:tr w:rsidR="00BF1E62" w:rsidRPr="00E15AEB" w14:paraId="1A9DF5D0" w14:textId="77777777" w:rsidTr="00DD3886">
        <w:tc>
          <w:tcPr>
            <w:tcW w:w="851" w:type="dxa"/>
            <w:tcMar>
              <w:top w:w="100" w:type="dxa"/>
              <w:left w:w="100" w:type="dxa"/>
              <w:bottom w:w="100" w:type="dxa"/>
              <w:right w:w="100" w:type="dxa"/>
            </w:tcMar>
          </w:tcPr>
          <w:p w14:paraId="1A538D8D" w14:textId="1ADFB432" w:rsidR="00BF1E62" w:rsidRPr="00E15AEB" w:rsidRDefault="00BF1E62" w:rsidP="00DD3886">
            <w:pPr>
              <w:pStyle w:val="TableText"/>
              <w:spacing w:line="240" w:lineRule="auto"/>
              <w:ind w:left="197" w:hanging="197"/>
              <w:jc w:val="center"/>
              <w:rPr>
                <w:color w:val="0D0D0D" w:themeColor="text1" w:themeTint="F2"/>
              </w:rPr>
            </w:pPr>
            <w:r w:rsidRPr="00E15AEB">
              <w:t>3</w:t>
            </w:r>
          </w:p>
        </w:tc>
        <w:tc>
          <w:tcPr>
            <w:tcW w:w="1985" w:type="dxa"/>
            <w:tcMar>
              <w:top w:w="100" w:type="dxa"/>
              <w:left w:w="100" w:type="dxa"/>
              <w:bottom w:w="100" w:type="dxa"/>
              <w:right w:w="100" w:type="dxa"/>
            </w:tcMar>
          </w:tcPr>
          <w:p w14:paraId="126A2335" w14:textId="131097BE" w:rsidR="00BF1E62" w:rsidRPr="00E15AEB" w:rsidRDefault="00BF1E62" w:rsidP="00DD3886">
            <w:pPr>
              <w:pStyle w:val="TableText"/>
              <w:spacing w:line="240" w:lineRule="auto"/>
              <w:ind w:left="197" w:hanging="197"/>
              <w:jc w:val="center"/>
              <w:rPr>
                <w:color w:val="0D0D0D" w:themeColor="text1" w:themeTint="F2"/>
              </w:rPr>
            </w:pPr>
            <w:r w:rsidRPr="00E15AEB">
              <w:t>—</w:t>
            </w:r>
          </w:p>
        </w:tc>
        <w:tc>
          <w:tcPr>
            <w:tcW w:w="1984" w:type="dxa"/>
            <w:tcMar>
              <w:top w:w="100" w:type="dxa"/>
              <w:left w:w="100" w:type="dxa"/>
              <w:bottom w:w="100" w:type="dxa"/>
              <w:right w:w="100" w:type="dxa"/>
            </w:tcMar>
          </w:tcPr>
          <w:p w14:paraId="0CD55896" w14:textId="7E9A02A0" w:rsidR="00BF1E62" w:rsidRPr="00E15AEB" w:rsidRDefault="00BF1E62" w:rsidP="00DD3886">
            <w:pPr>
              <w:pStyle w:val="TableText"/>
              <w:spacing w:line="240" w:lineRule="auto"/>
              <w:ind w:left="197" w:hanging="197"/>
              <w:jc w:val="center"/>
              <w:rPr>
                <w:color w:val="0D0D0D" w:themeColor="text1" w:themeTint="F2"/>
              </w:rPr>
            </w:pPr>
            <w:r w:rsidRPr="00E15AEB">
              <w:t>.589</w:t>
            </w:r>
          </w:p>
        </w:tc>
        <w:tc>
          <w:tcPr>
            <w:tcW w:w="1559" w:type="dxa"/>
          </w:tcPr>
          <w:p w14:paraId="6E0A424A" w14:textId="7563B393" w:rsidR="00BF1E62" w:rsidRPr="00E15AEB" w:rsidRDefault="00BF1E62" w:rsidP="00DD3886">
            <w:pPr>
              <w:pStyle w:val="TableText"/>
              <w:spacing w:line="240" w:lineRule="auto"/>
              <w:ind w:left="197" w:hanging="197"/>
              <w:jc w:val="center"/>
              <w:rPr>
                <w:color w:val="0D0D0D" w:themeColor="text1" w:themeTint="F2"/>
              </w:rPr>
            </w:pPr>
            <w:r w:rsidRPr="00E15AEB">
              <w:t>.392</w:t>
            </w:r>
          </w:p>
        </w:tc>
      </w:tr>
      <w:tr w:rsidR="00BF1E62" w:rsidRPr="00E15AEB" w14:paraId="0FD83BB2" w14:textId="77777777" w:rsidTr="00DD3886">
        <w:tc>
          <w:tcPr>
            <w:tcW w:w="851" w:type="dxa"/>
            <w:tcMar>
              <w:top w:w="100" w:type="dxa"/>
              <w:left w:w="100" w:type="dxa"/>
              <w:bottom w:w="100" w:type="dxa"/>
              <w:right w:w="100" w:type="dxa"/>
            </w:tcMar>
          </w:tcPr>
          <w:p w14:paraId="26FC4177" w14:textId="327AF42F" w:rsidR="00BF1E62" w:rsidRPr="00E15AEB" w:rsidDel="00EF5096" w:rsidRDefault="00BF1E62" w:rsidP="00DD3886">
            <w:pPr>
              <w:pStyle w:val="TableText"/>
              <w:spacing w:line="240" w:lineRule="auto"/>
              <w:ind w:left="197" w:hanging="197"/>
              <w:jc w:val="center"/>
              <w:rPr>
                <w:color w:val="0D0D0D" w:themeColor="text1" w:themeTint="F2"/>
              </w:rPr>
            </w:pPr>
            <w:r w:rsidRPr="00E15AEB">
              <w:t>4</w:t>
            </w:r>
          </w:p>
        </w:tc>
        <w:tc>
          <w:tcPr>
            <w:tcW w:w="1985" w:type="dxa"/>
            <w:tcMar>
              <w:top w:w="100" w:type="dxa"/>
              <w:left w:w="100" w:type="dxa"/>
              <w:bottom w:w="100" w:type="dxa"/>
              <w:right w:w="100" w:type="dxa"/>
            </w:tcMar>
          </w:tcPr>
          <w:p w14:paraId="366829FA" w14:textId="31F688EA" w:rsidR="00BF1E62" w:rsidRPr="00E15AEB" w:rsidDel="00EF5096" w:rsidRDefault="00BF1E62" w:rsidP="00BF1E62">
            <w:pPr>
              <w:pStyle w:val="TableText"/>
              <w:spacing w:line="240" w:lineRule="auto"/>
              <w:ind w:left="197" w:hanging="197"/>
              <w:jc w:val="center"/>
              <w:rPr>
                <w:color w:val="0D0D0D" w:themeColor="text1" w:themeTint="F2"/>
              </w:rPr>
            </w:pPr>
            <w:r w:rsidRPr="00E15AEB">
              <w:t>—</w:t>
            </w:r>
          </w:p>
        </w:tc>
        <w:tc>
          <w:tcPr>
            <w:tcW w:w="1984" w:type="dxa"/>
            <w:tcMar>
              <w:top w:w="100" w:type="dxa"/>
              <w:left w:w="100" w:type="dxa"/>
              <w:bottom w:w="100" w:type="dxa"/>
              <w:right w:w="100" w:type="dxa"/>
            </w:tcMar>
          </w:tcPr>
          <w:p w14:paraId="551F3B0E" w14:textId="59EF4AAE" w:rsidR="00BF1E62" w:rsidRPr="00E15AEB" w:rsidDel="00EF5096" w:rsidRDefault="00BF1E62" w:rsidP="00BF1E62">
            <w:pPr>
              <w:pStyle w:val="TableText"/>
              <w:spacing w:line="240" w:lineRule="auto"/>
              <w:ind w:left="197" w:hanging="197"/>
              <w:jc w:val="center"/>
              <w:rPr>
                <w:color w:val="0D0D0D" w:themeColor="text1" w:themeTint="F2"/>
              </w:rPr>
            </w:pPr>
            <w:r w:rsidRPr="00E15AEB">
              <w:t>.406</w:t>
            </w:r>
          </w:p>
        </w:tc>
        <w:tc>
          <w:tcPr>
            <w:tcW w:w="1559" w:type="dxa"/>
          </w:tcPr>
          <w:p w14:paraId="2A295CC2" w14:textId="4C10CE9A" w:rsidR="00BF1E62" w:rsidRPr="00E15AEB" w:rsidDel="00EF5096" w:rsidRDefault="00BF1E62" w:rsidP="00BF1E62">
            <w:pPr>
              <w:pStyle w:val="TableText"/>
              <w:spacing w:line="240" w:lineRule="auto"/>
              <w:ind w:left="197" w:hanging="197"/>
              <w:jc w:val="center"/>
              <w:rPr>
                <w:color w:val="0D0D0D" w:themeColor="text1" w:themeTint="F2"/>
              </w:rPr>
            </w:pPr>
            <w:r w:rsidRPr="00E15AEB">
              <w:t>.303</w:t>
            </w:r>
          </w:p>
        </w:tc>
      </w:tr>
      <w:tr w:rsidR="00BF1E62" w:rsidRPr="00E15AEB" w14:paraId="49DC74A1" w14:textId="77777777" w:rsidTr="00DD3886">
        <w:tc>
          <w:tcPr>
            <w:tcW w:w="851" w:type="dxa"/>
            <w:tcMar>
              <w:top w:w="100" w:type="dxa"/>
              <w:left w:w="100" w:type="dxa"/>
              <w:bottom w:w="100" w:type="dxa"/>
              <w:right w:w="100" w:type="dxa"/>
            </w:tcMar>
          </w:tcPr>
          <w:p w14:paraId="6FBBC76C" w14:textId="3BD2B82C" w:rsidR="00BF1E62" w:rsidRPr="00E15AEB" w:rsidDel="00EF5096" w:rsidRDefault="00BF1E62" w:rsidP="00DD3886">
            <w:pPr>
              <w:pStyle w:val="TableText"/>
              <w:spacing w:line="240" w:lineRule="auto"/>
              <w:ind w:left="197" w:hanging="197"/>
              <w:jc w:val="center"/>
              <w:rPr>
                <w:color w:val="0D0D0D" w:themeColor="text1" w:themeTint="F2"/>
              </w:rPr>
            </w:pPr>
            <w:r w:rsidRPr="00E15AEB">
              <w:t>5</w:t>
            </w:r>
          </w:p>
        </w:tc>
        <w:tc>
          <w:tcPr>
            <w:tcW w:w="1985" w:type="dxa"/>
            <w:tcMar>
              <w:top w:w="100" w:type="dxa"/>
              <w:left w:w="100" w:type="dxa"/>
              <w:bottom w:w="100" w:type="dxa"/>
              <w:right w:w="100" w:type="dxa"/>
            </w:tcMar>
          </w:tcPr>
          <w:p w14:paraId="11DE7E7C" w14:textId="1DF03BBD" w:rsidR="00BF1E62" w:rsidRPr="00E15AEB" w:rsidDel="00EF5096" w:rsidRDefault="00BF1E62" w:rsidP="00BF1E62">
            <w:pPr>
              <w:pStyle w:val="TableText"/>
              <w:spacing w:line="240" w:lineRule="auto"/>
              <w:ind w:left="197" w:hanging="197"/>
              <w:jc w:val="center"/>
              <w:rPr>
                <w:color w:val="0D0D0D" w:themeColor="text1" w:themeTint="F2"/>
              </w:rPr>
            </w:pPr>
            <w:r w:rsidRPr="00E15AEB">
              <w:t>—</w:t>
            </w:r>
          </w:p>
        </w:tc>
        <w:tc>
          <w:tcPr>
            <w:tcW w:w="1984" w:type="dxa"/>
            <w:tcMar>
              <w:top w:w="100" w:type="dxa"/>
              <w:left w:w="100" w:type="dxa"/>
              <w:bottom w:w="100" w:type="dxa"/>
              <w:right w:w="100" w:type="dxa"/>
            </w:tcMar>
          </w:tcPr>
          <w:p w14:paraId="1FA72574" w14:textId="24308DA4" w:rsidR="00BF1E62" w:rsidRPr="00E15AEB" w:rsidDel="00EF5096" w:rsidRDefault="00BF1E62" w:rsidP="00BF1E62">
            <w:pPr>
              <w:pStyle w:val="TableText"/>
              <w:spacing w:line="240" w:lineRule="auto"/>
              <w:ind w:left="197" w:hanging="197"/>
              <w:jc w:val="center"/>
              <w:rPr>
                <w:color w:val="0D0D0D" w:themeColor="text1" w:themeTint="F2"/>
              </w:rPr>
            </w:pPr>
            <w:r w:rsidRPr="00E15AEB">
              <w:t>.624</w:t>
            </w:r>
          </w:p>
        </w:tc>
        <w:tc>
          <w:tcPr>
            <w:tcW w:w="1559" w:type="dxa"/>
          </w:tcPr>
          <w:p w14:paraId="6A5494C7" w14:textId="75B68718" w:rsidR="00BF1E62" w:rsidRPr="00E15AEB" w:rsidDel="00EF5096" w:rsidRDefault="00BF1E62" w:rsidP="00BF1E62">
            <w:pPr>
              <w:pStyle w:val="TableText"/>
              <w:spacing w:line="240" w:lineRule="auto"/>
              <w:ind w:left="197" w:hanging="197"/>
              <w:jc w:val="center"/>
              <w:rPr>
                <w:color w:val="0D0D0D" w:themeColor="text1" w:themeTint="F2"/>
              </w:rPr>
            </w:pPr>
            <w:r w:rsidRPr="00E15AEB">
              <w:t>.347</w:t>
            </w:r>
          </w:p>
        </w:tc>
      </w:tr>
      <w:tr w:rsidR="00BF1E62" w:rsidRPr="00E15AEB" w14:paraId="604CC4F8" w14:textId="77777777" w:rsidTr="00DD3886">
        <w:tc>
          <w:tcPr>
            <w:tcW w:w="851" w:type="dxa"/>
            <w:tcMar>
              <w:top w:w="100" w:type="dxa"/>
              <w:left w:w="100" w:type="dxa"/>
              <w:bottom w:w="100" w:type="dxa"/>
              <w:right w:w="100" w:type="dxa"/>
            </w:tcMar>
          </w:tcPr>
          <w:p w14:paraId="1427D053" w14:textId="76699E99" w:rsidR="00BF1E62" w:rsidRPr="00E15AEB" w:rsidDel="00EF5096" w:rsidRDefault="00BF1E62" w:rsidP="00DD3886">
            <w:pPr>
              <w:pStyle w:val="TableText"/>
              <w:spacing w:line="240" w:lineRule="auto"/>
              <w:ind w:left="197" w:hanging="197"/>
              <w:jc w:val="center"/>
              <w:rPr>
                <w:color w:val="0D0D0D" w:themeColor="text1" w:themeTint="F2"/>
              </w:rPr>
            </w:pPr>
            <w:r w:rsidRPr="00E15AEB">
              <w:t>6</w:t>
            </w:r>
          </w:p>
        </w:tc>
        <w:tc>
          <w:tcPr>
            <w:tcW w:w="1985" w:type="dxa"/>
            <w:tcMar>
              <w:top w:w="100" w:type="dxa"/>
              <w:left w:w="100" w:type="dxa"/>
              <w:bottom w:w="100" w:type="dxa"/>
              <w:right w:w="100" w:type="dxa"/>
            </w:tcMar>
          </w:tcPr>
          <w:p w14:paraId="566FBF2A" w14:textId="4CF64F97" w:rsidR="00BF1E62" w:rsidRPr="00E15AEB" w:rsidDel="00EF5096" w:rsidRDefault="00BF1E62" w:rsidP="00BF1E62">
            <w:pPr>
              <w:pStyle w:val="TableText"/>
              <w:spacing w:line="240" w:lineRule="auto"/>
              <w:ind w:left="197" w:hanging="197"/>
              <w:jc w:val="center"/>
              <w:rPr>
                <w:color w:val="0D0D0D" w:themeColor="text1" w:themeTint="F2"/>
              </w:rPr>
            </w:pPr>
            <w:r w:rsidRPr="00E15AEB">
              <w:t>—</w:t>
            </w:r>
          </w:p>
        </w:tc>
        <w:tc>
          <w:tcPr>
            <w:tcW w:w="1984" w:type="dxa"/>
            <w:tcMar>
              <w:top w:w="100" w:type="dxa"/>
              <w:left w:w="100" w:type="dxa"/>
              <w:bottom w:w="100" w:type="dxa"/>
              <w:right w:w="100" w:type="dxa"/>
            </w:tcMar>
          </w:tcPr>
          <w:p w14:paraId="1805A53F" w14:textId="20581F03" w:rsidR="00BF1E62" w:rsidRPr="00E15AEB" w:rsidDel="00EF5096" w:rsidRDefault="00BF1E62" w:rsidP="00BF1E62">
            <w:pPr>
              <w:pStyle w:val="TableText"/>
              <w:spacing w:line="240" w:lineRule="auto"/>
              <w:ind w:left="197" w:hanging="197"/>
              <w:jc w:val="center"/>
              <w:rPr>
                <w:color w:val="0D0D0D" w:themeColor="text1" w:themeTint="F2"/>
              </w:rPr>
            </w:pPr>
            <w:r w:rsidRPr="00E15AEB">
              <w:t>.382</w:t>
            </w:r>
          </w:p>
        </w:tc>
        <w:tc>
          <w:tcPr>
            <w:tcW w:w="1559" w:type="dxa"/>
          </w:tcPr>
          <w:p w14:paraId="2BA12673" w14:textId="6FAA70AE" w:rsidR="00BF1E62" w:rsidRPr="00E15AEB" w:rsidDel="00EF5096" w:rsidRDefault="00BF1E62" w:rsidP="00BF1E62">
            <w:pPr>
              <w:pStyle w:val="TableText"/>
              <w:spacing w:line="240" w:lineRule="auto"/>
              <w:ind w:left="197" w:hanging="197"/>
              <w:jc w:val="center"/>
              <w:rPr>
                <w:color w:val="0D0D0D" w:themeColor="text1" w:themeTint="F2"/>
              </w:rPr>
            </w:pPr>
            <w:r w:rsidRPr="00E15AEB">
              <w:t>.142</w:t>
            </w:r>
          </w:p>
        </w:tc>
      </w:tr>
      <w:tr w:rsidR="00BF1E62" w:rsidRPr="00E15AEB" w14:paraId="44C5916C" w14:textId="77777777" w:rsidTr="00DD3886">
        <w:tc>
          <w:tcPr>
            <w:tcW w:w="851" w:type="dxa"/>
            <w:tcMar>
              <w:top w:w="100" w:type="dxa"/>
              <w:left w:w="100" w:type="dxa"/>
              <w:bottom w:w="100" w:type="dxa"/>
              <w:right w:w="100" w:type="dxa"/>
            </w:tcMar>
          </w:tcPr>
          <w:p w14:paraId="35A42047" w14:textId="78B1C50F" w:rsidR="00BF1E62" w:rsidRPr="00E15AEB" w:rsidDel="00EF5096" w:rsidRDefault="00BF1E62" w:rsidP="00DD3886">
            <w:pPr>
              <w:pStyle w:val="TableText"/>
              <w:spacing w:line="240" w:lineRule="auto"/>
              <w:ind w:left="197" w:hanging="197"/>
              <w:jc w:val="center"/>
              <w:rPr>
                <w:color w:val="0D0D0D" w:themeColor="text1" w:themeTint="F2"/>
              </w:rPr>
            </w:pPr>
            <w:r w:rsidRPr="00E15AEB">
              <w:t>7</w:t>
            </w:r>
          </w:p>
        </w:tc>
        <w:tc>
          <w:tcPr>
            <w:tcW w:w="1985" w:type="dxa"/>
            <w:tcMar>
              <w:top w:w="100" w:type="dxa"/>
              <w:left w:w="100" w:type="dxa"/>
              <w:bottom w:w="100" w:type="dxa"/>
              <w:right w:w="100" w:type="dxa"/>
            </w:tcMar>
          </w:tcPr>
          <w:p w14:paraId="74771277" w14:textId="56E1C869" w:rsidR="00BF1E62" w:rsidRPr="00E15AEB" w:rsidDel="00EF5096" w:rsidRDefault="00BF1E62" w:rsidP="00BF1E62">
            <w:pPr>
              <w:pStyle w:val="TableText"/>
              <w:spacing w:line="240" w:lineRule="auto"/>
              <w:ind w:left="197" w:hanging="197"/>
              <w:jc w:val="center"/>
              <w:rPr>
                <w:color w:val="0D0D0D" w:themeColor="text1" w:themeTint="F2"/>
              </w:rPr>
            </w:pPr>
            <w:r w:rsidRPr="00E15AEB">
              <w:t>—</w:t>
            </w:r>
          </w:p>
        </w:tc>
        <w:tc>
          <w:tcPr>
            <w:tcW w:w="1984" w:type="dxa"/>
            <w:tcMar>
              <w:top w:w="100" w:type="dxa"/>
              <w:left w:w="100" w:type="dxa"/>
              <w:bottom w:w="100" w:type="dxa"/>
              <w:right w:w="100" w:type="dxa"/>
            </w:tcMar>
          </w:tcPr>
          <w:p w14:paraId="170C54CC" w14:textId="2ED236A4" w:rsidR="00BF1E62" w:rsidRPr="00E15AEB" w:rsidDel="00EF5096" w:rsidRDefault="00BF1E62" w:rsidP="00BF1E62">
            <w:pPr>
              <w:pStyle w:val="TableText"/>
              <w:spacing w:line="240" w:lineRule="auto"/>
              <w:ind w:left="197" w:hanging="197"/>
              <w:jc w:val="center"/>
              <w:rPr>
                <w:color w:val="0D0D0D" w:themeColor="text1" w:themeTint="F2"/>
              </w:rPr>
            </w:pPr>
            <w:r w:rsidRPr="00E15AEB">
              <w:t>.627</w:t>
            </w:r>
          </w:p>
        </w:tc>
        <w:tc>
          <w:tcPr>
            <w:tcW w:w="1559" w:type="dxa"/>
          </w:tcPr>
          <w:p w14:paraId="4F1DC96F" w14:textId="51870AE4" w:rsidR="00BF1E62" w:rsidRPr="00E15AEB" w:rsidDel="00EF5096" w:rsidRDefault="00BF1E62" w:rsidP="00BF1E62">
            <w:pPr>
              <w:pStyle w:val="TableText"/>
              <w:spacing w:line="240" w:lineRule="auto"/>
              <w:ind w:left="197" w:hanging="197"/>
              <w:jc w:val="center"/>
              <w:rPr>
                <w:color w:val="0D0D0D" w:themeColor="text1" w:themeTint="F2"/>
              </w:rPr>
            </w:pPr>
            <w:r w:rsidRPr="00E15AEB">
              <w:t>.329</w:t>
            </w:r>
          </w:p>
        </w:tc>
      </w:tr>
      <w:tr w:rsidR="00BF1E62" w:rsidRPr="00E15AEB" w14:paraId="0BA67A69" w14:textId="77777777" w:rsidTr="00DD3886">
        <w:tc>
          <w:tcPr>
            <w:tcW w:w="851" w:type="dxa"/>
            <w:tcMar>
              <w:top w:w="100" w:type="dxa"/>
              <w:left w:w="100" w:type="dxa"/>
              <w:bottom w:w="100" w:type="dxa"/>
              <w:right w:w="100" w:type="dxa"/>
            </w:tcMar>
          </w:tcPr>
          <w:p w14:paraId="49252A11" w14:textId="44B9BA73" w:rsidR="00BF1E62" w:rsidRPr="00E15AEB" w:rsidDel="00EF5096" w:rsidRDefault="00BF1E62" w:rsidP="00DD3886">
            <w:pPr>
              <w:pStyle w:val="TableText"/>
              <w:spacing w:line="240" w:lineRule="auto"/>
              <w:ind w:left="197" w:hanging="197"/>
              <w:jc w:val="center"/>
              <w:rPr>
                <w:color w:val="0D0D0D" w:themeColor="text1" w:themeTint="F2"/>
              </w:rPr>
            </w:pPr>
            <w:r w:rsidRPr="00E15AEB">
              <w:t>8</w:t>
            </w:r>
          </w:p>
        </w:tc>
        <w:tc>
          <w:tcPr>
            <w:tcW w:w="1985" w:type="dxa"/>
            <w:tcMar>
              <w:top w:w="100" w:type="dxa"/>
              <w:left w:w="100" w:type="dxa"/>
              <w:bottom w:w="100" w:type="dxa"/>
              <w:right w:w="100" w:type="dxa"/>
            </w:tcMar>
          </w:tcPr>
          <w:p w14:paraId="31CBB654" w14:textId="24329DA7" w:rsidR="00BF1E62" w:rsidRPr="00E15AEB" w:rsidDel="00EF5096" w:rsidRDefault="00BF1E62" w:rsidP="00BF1E62">
            <w:pPr>
              <w:pStyle w:val="TableText"/>
              <w:spacing w:line="240" w:lineRule="auto"/>
              <w:ind w:left="197" w:hanging="197"/>
              <w:jc w:val="center"/>
              <w:rPr>
                <w:color w:val="0D0D0D" w:themeColor="text1" w:themeTint="F2"/>
              </w:rPr>
            </w:pPr>
            <w:r w:rsidRPr="00E15AEB">
              <w:t>—</w:t>
            </w:r>
          </w:p>
        </w:tc>
        <w:tc>
          <w:tcPr>
            <w:tcW w:w="1984" w:type="dxa"/>
            <w:tcMar>
              <w:top w:w="100" w:type="dxa"/>
              <w:left w:w="100" w:type="dxa"/>
              <w:bottom w:w="100" w:type="dxa"/>
              <w:right w:w="100" w:type="dxa"/>
            </w:tcMar>
          </w:tcPr>
          <w:p w14:paraId="6F1E7A6C" w14:textId="44D6DB45" w:rsidR="00BF1E62" w:rsidRPr="00E15AEB" w:rsidDel="00EF5096" w:rsidRDefault="00BF1E62" w:rsidP="00BF1E62">
            <w:pPr>
              <w:pStyle w:val="TableText"/>
              <w:spacing w:line="240" w:lineRule="auto"/>
              <w:ind w:left="197" w:hanging="197"/>
              <w:jc w:val="center"/>
              <w:rPr>
                <w:color w:val="0D0D0D" w:themeColor="text1" w:themeTint="F2"/>
              </w:rPr>
            </w:pPr>
            <w:r w:rsidRPr="00E15AEB">
              <w:t>.389</w:t>
            </w:r>
          </w:p>
        </w:tc>
        <w:tc>
          <w:tcPr>
            <w:tcW w:w="1559" w:type="dxa"/>
          </w:tcPr>
          <w:p w14:paraId="7F4B6D21" w14:textId="01A6CA79" w:rsidR="00BF1E62" w:rsidRPr="00E15AEB" w:rsidDel="00EF5096" w:rsidRDefault="00BF1E62" w:rsidP="00BF1E62">
            <w:pPr>
              <w:pStyle w:val="TableText"/>
              <w:spacing w:line="240" w:lineRule="auto"/>
              <w:ind w:left="197" w:hanging="197"/>
              <w:jc w:val="center"/>
              <w:rPr>
                <w:color w:val="0D0D0D" w:themeColor="text1" w:themeTint="F2"/>
              </w:rPr>
            </w:pPr>
            <w:r w:rsidRPr="00E15AEB">
              <w:t>.192</w:t>
            </w:r>
          </w:p>
        </w:tc>
      </w:tr>
      <w:tr w:rsidR="00BF1E62" w:rsidRPr="00E15AEB" w14:paraId="583E0DCD" w14:textId="77777777" w:rsidTr="00DD3886">
        <w:tc>
          <w:tcPr>
            <w:tcW w:w="851" w:type="dxa"/>
            <w:tcMar>
              <w:top w:w="100" w:type="dxa"/>
              <w:left w:w="100" w:type="dxa"/>
              <w:bottom w:w="100" w:type="dxa"/>
              <w:right w:w="100" w:type="dxa"/>
            </w:tcMar>
          </w:tcPr>
          <w:p w14:paraId="2EAE803C" w14:textId="76B246B7" w:rsidR="00BF1E62" w:rsidRPr="00E15AEB" w:rsidDel="00EF5096" w:rsidRDefault="00BF1E62" w:rsidP="00DD3886">
            <w:pPr>
              <w:pStyle w:val="TableText"/>
              <w:spacing w:line="240" w:lineRule="auto"/>
              <w:ind w:left="197" w:hanging="197"/>
              <w:jc w:val="center"/>
              <w:rPr>
                <w:color w:val="0D0D0D" w:themeColor="text1" w:themeTint="F2"/>
              </w:rPr>
            </w:pPr>
            <w:r w:rsidRPr="00E15AEB">
              <w:t>9</w:t>
            </w:r>
          </w:p>
        </w:tc>
        <w:tc>
          <w:tcPr>
            <w:tcW w:w="1985" w:type="dxa"/>
            <w:tcMar>
              <w:top w:w="100" w:type="dxa"/>
              <w:left w:w="100" w:type="dxa"/>
              <w:bottom w:w="100" w:type="dxa"/>
              <w:right w:w="100" w:type="dxa"/>
            </w:tcMar>
          </w:tcPr>
          <w:p w14:paraId="777A4D4B" w14:textId="304FD49E" w:rsidR="00BF1E62" w:rsidRPr="00E15AEB" w:rsidDel="00EF5096" w:rsidRDefault="00BF1E62" w:rsidP="00BF1E62">
            <w:pPr>
              <w:pStyle w:val="TableText"/>
              <w:spacing w:line="240" w:lineRule="auto"/>
              <w:ind w:left="197" w:hanging="197"/>
              <w:jc w:val="center"/>
              <w:rPr>
                <w:color w:val="0D0D0D" w:themeColor="text1" w:themeTint="F2"/>
              </w:rPr>
            </w:pPr>
            <w:r w:rsidRPr="00E15AEB">
              <w:t>.697</w:t>
            </w:r>
          </w:p>
        </w:tc>
        <w:tc>
          <w:tcPr>
            <w:tcW w:w="1984" w:type="dxa"/>
            <w:tcMar>
              <w:top w:w="100" w:type="dxa"/>
              <w:left w:w="100" w:type="dxa"/>
              <w:bottom w:w="100" w:type="dxa"/>
              <w:right w:w="100" w:type="dxa"/>
            </w:tcMar>
          </w:tcPr>
          <w:p w14:paraId="29F42BBC" w14:textId="019C7344" w:rsidR="00BF1E62" w:rsidRPr="00E15AEB" w:rsidDel="00EF5096" w:rsidRDefault="00BF1E62" w:rsidP="00BF1E62">
            <w:pPr>
              <w:pStyle w:val="TableText"/>
              <w:spacing w:line="240" w:lineRule="auto"/>
              <w:ind w:left="197" w:hanging="197"/>
              <w:jc w:val="center"/>
              <w:rPr>
                <w:color w:val="0D0D0D" w:themeColor="text1" w:themeTint="F2"/>
              </w:rPr>
            </w:pPr>
            <w:r w:rsidRPr="00E15AEB">
              <w:t>—</w:t>
            </w:r>
          </w:p>
        </w:tc>
        <w:tc>
          <w:tcPr>
            <w:tcW w:w="1559" w:type="dxa"/>
          </w:tcPr>
          <w:p w14:paraId="173E9DF2" w14:textId="69FE9E37" w:rsidR="00BF1E62" w:rsidRPr="00E15AEB" w:rsidDel="00EF5096" w:rsidRDefault="00BF1E62" w:rsidP="00BF1E62">
            <w:pPr>
              <w:pStyle w:val="TableText"/>
              <w:spacing w:line="240" w:lineRule="auto"/>
              <w:ind w:left="197" w:hanging="197"/>
              <w:jc w:val="center"/>
              <w:rPr>
                <w:color w:val="0D0D0D" w:themeColor="text1" w:themeTint="F2"/>
              </w:rPr>
            </w:pPr>
            <w:r w:rsidRPr="00E15AEB">
              <w:t>.512</w:t>
            </w:r>
          </w:p>
        </w:tc>
      </w:tr>
      <w:tr w:rsidR="00BF1E62" w:rsidRPr="00E15AEB" w14:paraId="7D9077F8" w14:textId="77777777" w:rsidTr="00DD3886">
        <w:tc>
          <w:tcPr>
            <w:tcW w:w="851" w:type="dxa"/>
            <w:tcMar>
              <w:top w:w="100" w:type="dxa"/>
              <w:left w:w="100" w:type="dxa"/>
              <w:bottom w:w="100" w:type="dxa"/>
              <w:right w:w="100" w:type="dxa"/>
            </w:tcMar>
          </w:tcPr>
          <w:p w14:paraId="2B2C52A3" w14:textId="68088BC1" w:rsidR="00BF1E62" w:rsidRPr="00E15AEB" w:rsidDel="00EF5096" w:rsidRDefault="00BF1E62" w:rsidP="00DD3886">
            <w:pPr>
              <w:pStyle w:val="TableText"/>
              <w:spacing w:line="240" w:lineRule="auto"/>
              <w:ind w:left="197" w:hanging="197"/>
              <w:jc w:val="center"/>
              <w:rPr>
                <w:color w:val="0D0D0D" w:themeColor="text1" w:themeTint="F2"/>
              </w:rPr>
            </w:pPr>
            <w:r w:rsidRPr="00E15AEB">
              <w:t>10</w:t>
            </w:r>
          </w:p>
        </w:tc>
        <w:tc>
          <w:tcPr>
            <w:tcW w:w="1985" w:type="dxa"/>
            <w:tcMar>
              <w:top w:w="100" w:type="dxa"/>
              <w:left w:w="100" w:type="dxa"/>
              <w:bottom w:w="100" w:type="dxa"/>
              <w:right w:w="100" w:type="dxa"/>
            </w:tcMar>
          </w:tcPr>
          <w:p w14:paraId="5E6B13AD" w14:textId="2AE6665F" w:rsidR="00BF1E62" w:rsidRPr="00E15AEB" w:rsidDel="00EF5096" w:rsidRDefault="00BF1E62" w:rsidP="00BF1E62">
            <w:pPr>
              <w:pStyle w:val="TableText"/>
              <w:spacing w:line="240" w:lineRule="auto"/>
              <w:ind w:left="197" w:hanging="197"/>
              <w:jc w:val="center"/>
              <w:rPr>
                <w:color w:val="0D0D0D" w:themeColor="text1" w:themeTint="F2"/>
              </w:rPr>
            </w:pPr>
            <w:r w:rsidRPr="00E15AEB">
              <w:t>.580</w:t>
            </w:r>
          </w:p>
        </w:tc>
        <w:tc>
          <w:tcPr>
            <w:tcW w:w="1984" w:type="dxa"/>
            <w:tcMar>
              <w:top w:w="100" w:type="dxa"/>
              <w:left w:w="100" w:type="dxa"/>
              <w:bottom w:w="100" w:type="dxa"/>
              <w:right w:w="100" w:type="dxa"/>
            </w:tcMar>
          </w:tcPr>
          <w:p w14:paraId="4CDEB33B" w14:textId="63F21CA2" w:rsidR="00BF1E62" w:rsidRPr="00E15AEB" w:rsidDel="00EF5096" w:rsidRDefault="00BF1E62" w:rsidP="00BF1E62">
            <w:pPr>
              <w:pStyle w:val="TableText"/>
              <w:spacing w:line="240" w:lineRule="auto"/>
              <w:ind w:left="197" w:hanging="197"/>
              <w:jc w:val="center"/>
              <w:rPr>
                <w:color w:val="0D0D0D" w:themeColor="text1" w:themeTint="F2"/>
              </w:rPr>
            </w:pPr>
            <w:r w:rsidRPr="00E15AEB">
              <w:t>—</w:t>
            </w:r>
          </w:p>
        </w:tc>
        <w:tc>
          <w:tcPr>
            <w:tcW w:w="1559" w:type="dxa"/>
          </w:tcPr>
          <w:p w14:paraId="168EC10B" w14:textId="5A414FB0" w:rsidR="00BF1E62" w:rsidRPr="00E15AEB" w:rsidDel="00EF5096" w:rsidRDefault="00BF1E62" w:rsidP="00BF1E62">
            <w:pPr>
              <w:pStyle w:val="TableText"/>
              <w:spacing w:line="240" w:lineRule="auto"/>
              <w:ind w:left="197" w:hanging="197"/>
              <w:jc w:val="center"/>
              <w:rPr>
                <w:color w:val="0D0D0D" w:themeColor="text1" w:themeTint="F2"/>
              </w:rPr>
            </w:pPr>
            <w:r w:rsidRPr="00E15AEB">
              <w:t>.317</w:t>
            </w:r>
          </w:p>
        </w:tc>
      </w:tr>
      <w:tr w:rsidR="00BF1E62" w:rsidRPr="00E15AEB" w14:paraId="18646AAA" w14:textId="77777777" w:rsidTr="00DD3886">
        <w:tc>
          <w:tcPr>
            <w:tcW w:w="851" w:type="dxa"/>
            <w:tcMar>
              <w:top w:w="100" w:type="dxa"/>
              <w:left w:w="100" w:type="dxa"/>
              <w:bottom w:w="100" w:type="dxa"/>
              <w:right w:w="100" w:type="dxa"/>
            </w:tcMar>
          </w:tcPr>
          <w:p w14:paraId="4FEC779D" w14:textId="169AEECD" w:rsidR="00BF1E62" w:rsidRPr="00E15AEB" w:rsidDel="00EF5096" w:rsidRDefault="00BF1E62" w:rsidP="00DD3886">
            <w:pPr>
              <w:pStyle w:val="TableText"/>
              <w:spacing w:line="240" w:lineRule="auto"/>
              <w:ind w:left="197" w:hanging="197"/>
              <w:jc w:val="center"/>
              <w:rPr>
                <w:color w:val="0D0D0D" w:themeColor="text1" w:themeTint="F2"/>
              </w:rPr>
            </w:pPr>
            <w:r w:rsidRPr="00E15AEB">
              <w:t>11</w:t>
            </w:r>
          </w:p>
        </w:tc>
        <w:tc>
          <w:tcPr>
            <w:tcW w:w="1985" w:type="dxa"/>
            <w:tcMar>
              <w:top w:w="100" w:type="dxa"/>
              <w:left w:w="100" w:type="dxa"/>
              <w:bottom w:w="100" w:type="dxa"/>
              <w:right w:w="100" w:type="dxa"/>
            </w:tcMar>
          </w:tcPr>
          <w:p w14:paraId="3DB59162" w14:textId="50C7FC79" w:rsidR="00BF1E62" w:rsidRPr="00E15AEB" w:rsidDel="00EF5096" w:rsidRDefault="00BF1E62" w:rsidP="00BF1E62">
            <w:pPr>
              <w:pStyle w:val="TableText"/>
              <w:spacing w:line="240" w:lineRule="auto"/>
              <w:ind w:left="197" w:hanging="197"/>
              <w:jc w:val="center"/>
              <w:rPr>
                <w:color w:val="0D0D0D" w:themeColor="text1" w:themeTint="F2"/>
              </w:rPr>
            </w:pPr>
            <w:r w:rsidRPr="00E15AEB">
              <w:t>.623</w:t>
            </w:r>
          </w:p>
        </w:tc>
        <w:tc>
          <w:tcPr>
            <w:tcW w:w="1984" w:type="dxa"/>
            <w:tcMar>
              <w:top w:w="100" w:type="dxa"/>
              <w:left w:w="100" w:type="dxa"/>
              <w:bottom w:w="100" w:type="dxa"/>
              <w:right w:w="100" w:type="dxa"/>
            </w:tcMar>
          </w:tcPr>
          <w:p w14:paraId="79974426" w14:textId="232D8B2B" w:rsidR="00BF1E62" w:rsidRPr="00E15AEB" w:rsidDel="00EF5096" w:rsidRDefault="00BF1E62" w:rsidP="00BF1E62">
            <w:pPr>
              <w:pStyle w:val="TableText"/>
              <w:spacing w:line="240" w:lineRule="auto"/>
              <w:ind w:left="197" w:hanging="197"/>
              <w:jc w:val="center"/>
              <w:rPr>
                <w:color w:val="0D0D0D" w:themeColor="text1" w:themeTint="F2"/>
              </w:rPr>
            </w:pPr>
            <w:r w:rsidRPr="00E15AEB">
              <w:t>—</w:t>
            </w:r>
          </w:p>
        </w:tc>
        <w:tc>
          <w:tcPr>
            <w:tcW w:w="1559" w:type="dxa"/>
          </w:tcPr>
          <w:p w14:paraId="3B1E670E" w14:textId="2540C8F7" w:rsidR="00BF1E62" w:rsidRPr="00E15AEB" w:rsidDel="00EF5096" w:rsidRDefault="00BF1E62" w:rsidP="00BF1E62">
            <w:pPr>
              <w:pStyle w:val="TableText"/>
              <w:spacing w:line="240" w:lineRule="auto"/>
              <w:ind w:left="197" w:hanging="197"/>
              <w:jc w:val="center"/>
              <w:rPr>
                <w:color w:val="0D0D0D" w:themeColor="text1" w:themeTint="F2"/>
              </w:rPr>
            </w:pPr>
            <w:r w:rsidRPr="00E15AEB">
              <w:t>.439</w:t>
            </w:r>
          </w:p>
        </w:tc>
      </w:tr>
      <w:tr w:rsidR="00BF1E62" w:rsidRPr="00E15AEB" w14:paraId="21519C0C" w14:textId="77777777" w:rsidTr="00DD3886">
        <w:tc>
          <w:tcPr>
            <w:tcW w:w="851" w:type="dxa"/>
            <w:tcMar>
              <w:top w:w="100" w:type="dxa"/>
              <w:left w:w="100" w:type="dxa"/>
              <w:bottom w:w="100" w:type="dxa"/>
              <w:right w:w="100" w:type="dxa"/>
            </w:tcMar>
          </w:tcPr>
          <w:p w14:paraId="38702000" w14:textId="416A6520" w:rsidR="00BF1E62" w:rsidRPr="00E15AEB" w:rsidDel="00EF5096" w:rsidRDefault="00BF1E62" w:rsidP="00DD3886">
            <w:pPr>
              <w:pStyle w:val="TableText"/>
              <w:spacing w:line="240" w:lineRule="auto"/>
              <w:ind w:left="197" w:hanging="197"/>
              <w:jc w:val="center"/>
              <w:rPr>
                <w:color w:val="0D0D0D" w:themeColor="text1" w:themeTint="F2"/>
              </w:rPr>
            </w:pPr>
            <w:r w:rsidRPr="00E15AEB">
              <w:t>12</w:t>
            </w:r>
          </w:p>
        </w:tc>
        <w:tc>
          <w:tcPr>
            <w:tcW w:w="1985" w:type="dxa"/>
            <w:tcMar>
              <w:top w:w="100" w:type="dxa"/>
              <w:left w:w="100" w:type="dxa"/>
              <w:bottom w:w="100" w:type="dxa"/>
              <w:right w:w="100" w:type="dxa"/>
            </w:tcMar>
          </w:tcPr>
          <w:p w14:paraId="40886AC7" w14:textId="29B65BB6" w:rsidR="00BF1E62" w:rsidRPr="00E15AEB" w:rsidDel="00EF5096" w:rsidRDefault="00BF1E62" w:rsidP="00BF1E62">
            <w:pPr>
              <w:pStyle w:val="TableText"/>
              <w:spacing w:line="240" w:lineRule="auto"/>
              <w:ind w:left="197" w:hanging="197"/>
              <w:jc w:val="center"/>
              <w:rPr>
                <w:color w:val="0D0D0D" w:themeColor="text1" w:themeTint="F2"/>
              </w:rPr>
            </w:pPr>
            <w:r w:rsidRPr="00E15AEB">
              <w:t>—</w:t>
            </w:r>
          </w:p>
        </w:tc>
        <w:tc>
          <w:tcPr>
            <w:tcW w:w="1984" w:type="dxa"/>
            <w:tcMar>
              <w:top w:w="100" w:type="dxa"/>
              <w:left w:w="100" w:type="dxa"/>
              <w:bottom w:w="100" w:type="dxa"/>
              <w:right w:w="100" w:type="dxa"/>
            </w:tcMar>
          </w:tcPr>
          <w:p w14:paraId="4C7538C5" w14:textId="53E91BD9" w:rsidR="00BF1E62" w:rsidRPr="00E15AEB" w:rsidDel="00EF5096" w:rsidRDefault="00BF1E62" w:rsidP="00BF1E62">
            <w:pPr>
              <w:pStyle w:val="TableText"/>
              <w:spacing w:line="240" w:lineRule="auto"/>
              <w:ind w:left="197" w:hanging="197"/>
              <w:jc w:val="center"/>
              <w:rPr>
                <w:color w:val="0D0D0D" w:themeColor="text1" w:themeTint="F2"/>
              </w:rPr>
            </w:pPr>
            <w:r w:rsidRPr="00E15AEB">
              <w:t>.342</w:t>
            </w:r>
          </w:p>
        </w:tc>
        <w:tc>
          <w:tcPr>
            <w:tcW w:w="1559" w:type="dxa"/>
          </w:tcPr>
          <w:p w14:paraId="480FCDA9" w14:textId="30DE3FA8" w:rsidR="00BF1E62" w:rsidRPr="00E15AEB" w:rsidDel="00EF5096" w:rsidRDefault="00BF1E62" w:rsidP="00BF1E62">
            <w:pPr>
              <w:pStyle w:val="TableText"/>
              <w:spacing w:line="240" w:lineRule="auto"/>
              <w:ind w:left="197" w:hanging="197"/>
              <w:jc w:val="center"/>
              <w:rPr>
                <w:color w:val="0D0D0D" w:themeColor="text1" w:themeTint="F2"/>
              </w:rPr>
            </w:pPr>
            <w:r w:rsidRPr="00E15AEB">
              <w:t>.246</w:t>
            </w:r>
          </w:p>
        </w:tc>
      </w:tr>
      <w:tr w:rsidR="00BF1E62" w:rsidRPr="00E15AEB" w14:paraId="7FBB72B9" w14:textId="77777777" w:rsidTr="00DD3886">
        <w:tc>
          <w:tcPr>
            <w:tcW w:w="851" w:type="dxa"/>
            <w:tcMar>
              <w:top w:w="100" w:type="dxa"/>
              <w:left w:w="100" w:type="dxa"/>
              <w:bottom w:w="100" w:type="dxa"/>
              <w:right w:w="100" w:type="dxa"/>
            </w:tcMar>
          </w:tcPr>
          <w:p w14:paraId="16A8893B" w14:textId="593CD21E" w:rsidR="00BF1E62" w:rsidRPr="00E15AEB" w:rsidDel="00EF5096" w:rsidRDefault="00BF1E62" w:rsidP="00DD3886">
            <w:pPr>
              <w:pStyle w:val="TableText"/>
              <w:spacing w:line="240" w:lineRule="auto"/>
              <w:ind w:left="197" w:hanging="197"/>
              <w:jc w:val="center"/>
              <w:rPr>
                <w:color w:val="0D0D0D" w:themeColor="text1" w:themeTint="F2"/>
              </w:rPr>
            </w:pPr>
            <w:r w:rsidRPr="00E15AEB">
              <w:t>13</w:t>
            </w:r>
          </w:p>
        </w:tc>
        <w:tc>
          <w:tcPr>
            <w:tcW w:w="1985" w:type="dxa"/>
            <w:tcMar>
              <w:top w:w="100" w:type="dxa"/>
              <w:left w:w="100" w:type="dxa"/>
              <w:bottom w:w="100" w:type="dxa"/>
              <w:right w:w="100" w:type="dxa"/>
            </w:tcMar>
          </w:tcPr>
          <w:p w14:paraId="5AA549D7" w14:textId="0D55AAAF" w:rsidR="00BF1E62" w:rsidRPr="00E15AEB" w:rsidDel="00EF5096" w:rsidRDefault="00BF1E62" w:rsidP="00BF1E62">
            <w:pPr>
              <w:pStyle w:val="TableText"/>
              <w:spacing w:line="240" w:lineRule="auto"/>
              <w:ind w:left="197" w:hanging="197"/>
              <w:jc w:val="center"/>
              <w:rPr>
                <w:color w:val="0D0D0D" w:themeColor="text1" w:themeTint="F2"/>
              </w:rPr>
            </w:pPr>
            <w:r w:rsidRPr="00E15AEB">
              <w:t>.751</w:t>
            </w:r>
          </w:p>
        </w:tc>
        <w:tc>
          <w:tcPr>
            <w:tcW w:w="1984" w:type="dxa"/>
            <w:tcMar>
              <w:top w:w="100" w:type="dxa"/>
              <w:left w:w="100" w:type="dxa"/>
              <w:bottom w:w="100" w:type="dxa"/>
              <w:right w:w="100" w:type="dxa"/>
            </w:tcMar>
          </w:tcPr>
          <w:p w14:paraId="120E99CB" w14:textId="2A81B0A0" w:rsidR="00BF1E62" w:rsidRPr="00E15AEB" w:rsidDel="00EF5096" w:rsidRDefault="00BF1E62" w:rsidP="00BF1E62">
            <w:pPr>
              <w:pStyle w:val="TableText"/>
              <w:spacing w:line="240" w:lineRule="auto"/>
              <w:ind w:left="197" w:hanging="197"/>
              <w:jc w:val="center"/>
              <w:rPr>
                <w:color w:val="0D0D0D" w:themeColor="text1" w:themeTint="F2"/>
              </w:rPr>
            </w:pPr>
            <w:r w:rsidRPr="00E15AEB">
              <w:t>—</w:t>
            </w:r>
          </w:p>
        </w:tc>
        <w:tc>
          <w:tcPr>
            <w:tcW w:w="1559" w:type="dxa"/>
          </w:tcPr>
          <w:p w14:paraId="552ECEAC" w14:textId="4C61B4AE" w:rsidR="00BF1E62" w:rsidRPr="00E15AEB" w:rsidDel="00EF5096" w:rsidRDefault="00BF1E62" w:rsidP="00BF1E62">
            <w:pPr>
              <w:pStyle w:val="TableText"/>
              <w:spacing w:line="240" w:lineRule="auto"/>
              <w:ind w:left="197" w:hanging="197"/>
              <w:jc w:val="center"/>
              <w:rPr>
                <w:color w:val="0D0D0D" w:themeColor="text1" w:themeTint="F2"/>
              </w:rPr>
            </w:pPr>
            <w:r w:rsidRPr="00E15AEB">
              <w:t>.544</w:t>
            </w:r>
          </w:p>
        </w:tc>
      </w:tr>
      <w:tr w:rsidR="00BF1E62" w:rsidRPr="00E15AEB" w14:paraId="0BC8CF3C" w14:textId="77777777" w:rsidTr="00DD3886">
        <w:tc>
          <w:tcPr>
            <w:tcW w:w="851" w:type="dxa"/>
            <w:tcMar>
              <w:top w:w="100" w:type="dxa"/>
              <w:left w:w="100" w:type="dxa"/>
              <w:bottom w:w="100" w:type="dxa"/>
              <w:right w:w="100" w:type="dxa"/>
            </w:tcMar>
          </w:tcPr>
          <w:p w14:paraId="1440C2EA" w14:textId="5B5D46C9" w:rsidR="00BF1E62" w:rsidRPr="00E15AEB" w:rsidDel="00EF5096" w:rsidRDefault="00BF1E62" w:rsidP="00DD3886">
            <w:pPr>
              <w:pStyle w:val="TableText"/>
              <w:spacing w:line="240" w:lineRule="auto"/>
              <w:ind w:left="197" w:hanging="197"/>
              <w:jc w:val="center"/>
              <w:rPr>
                <w:color w:val="0D0D0D" w:themeColor="text1" w:themeTint="F2"/>
              </w:rPr>
            </w:pPr>
            <w:r w:rsidRPr="00E15AEB">
              <w:t>14</w:t>
            </w:r>
          </w:p>
        </w:tc>
        <w:tc>
          <w:tcPr>
            <w:tcW w:w="1985" w:type="dxa"/>
            <w:tcMar>
              <w:top w:w="100" w:type="dxa"/>
              <w:left w:w="100" w:type="dxa"/>
              <w:bottom w:w="100" w:type="dxa"/>
              <w:right w:w="100" w:type="dxa"/>
            </w:tcMar>
          </w:tcPr>
          <w:p w14:paraId="1382545E" w14:textId="2471631D" w:rsidR="00BF1E62" w:rsidRPr="00E15AEB" w:rsidDel="00EF5096" w:rsidRDefault="00BF1E62" w:rsidP="00BF1E62">
            <w:pPr>
              <w:pStyle w:val="TableText"/>
              <w:spacing w:line="240" w:lineRule="auto"/>
              <w:ind w:left="197" w:hanging="197"/>
              <w:jc w:val="center"/>
              <w:rPr>
                <w:color w:val="0D0D0D" w:themeColor="text1" w:themeTint="F2"/>
              </w:rPr>
            </w:pPr>
            <w:r w:rsidRPr="00E15AEB">
              <w:t>.599</w:t>
            </w:r>
          </w:p>
        </w:tc>
        <w:tc>
          <w:tcPr>
            <w:tcW w:w="1984" w:type="dxa"/>
            <w:tcMar>
              <w:top w:w="100" w:type="dxa"/>
              <w:left w:w="100" w:type="dxa"/>
              <w:bottom w:w="100" w:type="dxa"/>
              <w:right w:w="100" w:type="dxa"/>
            </w:tcMar>
          </w:tcPr>
          <w:p w14:paraId="09EB46F6" w14:textId="2CF41E10" w:rsidR="00BF1E62" w:rsidRPr="00E15AEB" w:rsidDel="00EF5096" w:rsidRDefault="00BF1E62" w:rsidP="00BF1E62">
            <w:pPr>
              <w:pStyle w:val="TableText"/>
              <w:spacing w:line="240" w:lineRule="auto"/>
              <w:ind w:left="197" w:hanging="197"/>
              <w:jc w:val="center"/>
              <w:rPr>
                <w:color w:val="0D0D0D" w:themeColor="text1" w:themeTint="F2"/>
              </w:rPr>
            </w:pPr>
            <w:r w:rsidRPr="00E15AEB">
              <w:t>—</w:t>
            </w:r>
          </w:p>
        </w:tc>
        <w:tc>
          <w:tcPr>
            <w:tcW w:w="1559" w:type="dxa"/>
          </w:tcPr>
          <w:p w14:paraId="220DF04F" w14:textId="2C320D14" w:rsidR="00BF1E62" w:rsidRPr="00E15AEB" w:rsidDel="00EF5096" w:rsidRDefault="00BF1E62" w:rsidP="00BF1E62">
            <w:pPr>
              <w:pStyle w:val="TableText"/>
              <w:spacing w:line="240" w:lineRule="auto"/>
              <w:ind w:left="197" w:hanging="197"/>
              <w:jc w:val="center"/>
              <w:rPr>
                <w:color w:val="0D0D0D" w:themeColor="text1" w:themeTint="F2"/>
              </w:rPr>
            </w:pPr>
            <w:r w:rsidRPr="00E15AEB">
              <w:t>.515</w:t>
            </w:r>
          </w:p>
        </w:tc>
      </w:tr>
      <w:tr w:rsidR="00BF1E62" w:rsidRPr="00E15AEB" w14:paraId="01E479ED" w14:textId="77777777" w:rsidTr="00DD3886">
        <w:tc>
          <w:tcPr>
            <w:tcW w:w="851" w:type="dxa"/>
            <w:tcMar>
              <w:top w:w="100" w:type="dxa"/>
              <w:left w:w="100" w:type="dxa"/>
              <w:bottom w:w="100" w:type="dxa"/>
              <w:right w:w="100" w:type="dxa"/>
            </w:tcMar>
          </w:tcPr>
          <w:p w14:paraId="0AA83EA2" w14:textId="172C73C3" w:rsidR="00BF1E62" w:rsidRPr="00E15AEB" w:rsidDel="00EF5096" w:rsidRDefault="00BF1E62" w:rsidP="00DD3886">
            <w:pPr>
              <w:pStyle w:val="TableText"/>
              <w:spacing w:line="240" w:lineRule="auto"/>
              <w:ind w:left="197" w:hanging="197"/>
              <w:jc w:val="center"/>
              <w:rPr>
                <w:color w:val="0D0D0D" w:themeColor="text1" w:themeTint="F2"/>
              </w:rPr>
            </w:pPr>
            <w:r w:rsidRPr="00E15AEB">
              <w:t>15</w:t>
            </w:r>
          </w:p>
        </w:tc>
        <w:tc>
          <w:tcPr>
            <w:tcW w:w="1985" w:type="dxa"/>
            <w:tcMar>
              <w:top w:w="100" w:type="dxa"/>
              <w:left w:w="100" w:type="dxa"/>
              <w:bottom w:w="100" w:type="dxa"/>
              <w:right w:w="100" w:type="dxa"/>
            </w:tcMar>
          </w:tcPr>
          <w:p w14:paraId="737790E2" w14:textId="1F61BBDC" w:rsidR="00BF1E62" w:rsidRPr="00E15AEB" w:rsidDel="00EF5096" w:rsidRDefault="00BF1E62" w:rsidP="00BF1E62">
            <w:pPr>
              <w:pStyle w:val="TableText"/>
              <w:spacing w:line="240" w:lineRule="auto"/>
              <w:ind w:left="197" w:hanging="197"/>
              <w:jc w:val="center"/>
              <w:rPr>
                <w:color w:val="0D0D0D" w:themeColor="text1" w:themeTint="F2"/>
              </w:rPr>
            </w:pPr>
            <w:r w:rsidRPr="00E15AEB">
              <w:t>.803</w:t>
            </w:r>
          </w:p>
        </w:tc>
        <w:tc>
          <w:tcPr>
            <w:tcW w:w="1984" w:type="dxa"/>
            <w:tcMar>
              <w:top w:w="100" w:type="dxa"/>
              <w:left w:w="100" w:type="dxa"/>
              <w:bottom w:w="100" w:type="dxa"/>
              <w:right w:w="100" w:type="dxa"/>
            </w:tcMar>
          </w:tcPr>
          <w:p w14:paraId="4CFE2B9B" w14:textId="0370AD5C" w:rsidR="00BF1E62" w:rsidRPr="00E15AEB" w:rsidDel="00EF5096" w:rsidRDefault="00BF1E62" w:rsidP="00BF1E62">
            <w:pPr>
              <w:pStyle w:val="TableText"/>
              <w:spacing w:line="240" w:lineRule="auto"/>
              <w:ind w:left="197" w:hanging="197"/>
              <w:jc w:val="center"/>
              <w:rPr>
                <w:color w:val="0D0D0D" w:themeColor="text1" w:themeTint="F2"/>
              </w:rPr>
            </w:pPr>
            <w:r w:rsidRPr="00E15AEB">
              <w:t>—</w:t>
            </w:r>
          </w:p>
        </w:tc>
        <w:tc>
          <w:tcPr>
            <w:tcW w:w="1559" w:type="dxa"/>
          </w:tcPr>
          <w:p w14:paraId="4DDBBCBD" w14:textId="14B74C03" w:rsidR="00BF1E62" w:rsidRPr="00E15AEB" w:rsidDel="00EF5096" w:rsidRDefault="00BF1E62" w:rsidP="00BF1E62">
            <w:pPr>
              <w:pStyle w:val="TableText"/>
              <w:spacing w:line="240" w:lineRule="auto"/>
              <w:ind w:left="197" w:hanging="197"/>
              <w:jc w:val="center"/>
              <w:rPr>
                <w:color w:val="0D0D0D" w:themeColor="text1" w:themeTint="F2"/>
              </w:rPr>
            </w:pPr>
            <w:r w:rsidRPr="00E15AEB">
              <w:t>.585</w:t>
            </w:r>
          </w:p>
        </w:tc>
      </w:tr>
      <w:tr w:rsidR="00BF1E62" w:rsidRPr="00E15AEB" w14:paraId="212F5DF2" w14:textId="77777777" w:rsidTr="00DD3886">
        <w:tc>
          <w:tcPr>
            <w:tcW w:w="851" w:type="dxa"/>
            <w:tcMar>
              <w:top w:w="100" w:type="dxa"/>
              <w:left w:w="100" w:type="dxa"/>
              <w:bottom w:w="100" w:type="dxa"/>
              <w:right w:w="100" w:type="dxa"/>
            </w:tcMar>
          </w:tcPr>
          <w:p w14:paraId="7C34824A" w14:textId="56EBBB4C" w:rsidR="00BF1E62" w:rsidRPr="00E15AEB" w:rsidDel="00EF5096" w:rsidRDefault="00BF1E62" w:rsidP="00DD3886">
            <w:pPr>
              <w:pStyle w:val="TableText"/>
              <w:spacing w:line="240" w:lineRule="auto"/>
              <w:ind w:left="197" w:hanging="197"/>
              <w:jc w:val="center"/>
              <w:rPr>
                <w:color w:val="0D0D0D" w:themeColor="text1" w:themeTint="F2"/>
              </w:rPr>
            </w:pPr>
            <w:r w:rsidRPr="00E15AEB">
              <w:t>16</w:t>
            </w:r>
          </w:p>
        </w:tc>
        <w:tc>
          <w:tcPr>
            <w:tcW w:w="1985" w:type="dxa"/>
            <w:tcMar>
              <w:top w:w="100" w:type="dxa"/>
              <w:left w:w="100" w:type="dxa"/>
              <w:bottom w:w="100" w:type="dxa"/>
              <w:right w:w="100" w:type="dxa"/>
            </w:tcMar>
          </w:tcPr>
          <w:p w14:paraId="05774C4B" w14:textId="2C7D32E5" w:rsidR="00BF1E62" w:rsidRPr="00E15AEB" w:rsidDel="00EF5096" w:rsidRDefault="00BF1E62" w:rsidP="00BF1E62">
            <w:pPr>
              <w:pStyle w:val="TableText"/>
              <w:spacing w:line="240" w:lineRule="auto"/>
              <w:ind w:left="197" w:hanging="197"/>
              <w:jc w:val="center"/>
              <w:rPr>
                <w:color w:val="0D0D0D" w:themeColor="text1" w:themeTint="F2"/>
              </w:rPr>
            </w:pPr>
            <w:r w:rsidRPr="00E15AEB">
              <w:t>.852</w:t>
            </w:r>
          </w:p>
        </w:tc>
        <w:tc>
          <w:tcPr>
            <w:tcW w:w="1984" w:type="dxa"/>
            <w:tcMar>
              <w:top w:w="100" w:type="dxa"/>
              <w:left w:w="100" w:type="dxa"/>
              <w:bottom w:w="100" w:type="dxa"/>
              <w:right w:w="100" w:type="dxa"/>
            </w:tcMar>
          </w:tcPr>
          <w:p w14:paraId="4CB69304" w14:textId="5A163E53" w:rsidR="00BF1E62" w:rsidRPr="00E15AEB" w:rsidDel="00EF5096" w:rsidRDefault="00BF1E62" w:rsidP="00BF1E62">
            <w:pPr>
              <w:pStyle w:val="TableText"/>
              <w:spacing w:line="240" w:lineRule="auto"/>
              <w:ind w:left="197" w:hanging="197"/>
              <w:jc w:val="center"/>
              <w:rPr>
                <w:color w:val="0D0D0D" w:themeColor="text1" w:themeTint="F2"/>
              </w:rPr>
            </w:pPr>
            <w:r w:rsidRPr="00E15AEB">
              <w:t>—</w:t>
            </w:r>
          </w:p>
        </w:tc>
        <w:tc>
          <w:tcPr>
            <w:tcW w:w="1559" w:type="dxa"/>
          </w:tcPr>
          <w:p w14:paraId="1332DC05" w14:textId="2261ECC4" w:rsidR="00BF1E62" w:rsidRPr="00E15AEB" w:rsidDel="00EF5096" w:rsidRDefault="00BF1E62" w:rsidP="00BF1E62">
            <w:pPr>
              <w:pStyle w:val="TableText"/>
              <w:spacing w:line="240" w:lineRule="auto"/>
              <w:ind w:left="197" w:hanging="197"/>
              <w:jc w:val="center"/>
              <w:rPr>
                <w:color w:val="0D0D0D" w:themeColor="text1" w:themeTint="F2"/>
              </w:rPr>
            </w:pPr>
            <w:r w:rsidRPr="00E15AEB">
              <w:t>.691</w:t>
            </w:r>
          </w:p>
        </w:tc>
      </w:tr>
      <w:tr w:rsidR="00BF1E62" w:rsidRPr="00E15AEB" w14:paraId="04321A7B" w14:textId="77777777" w:rsidTr="00DD3886">
        <w:tc>
          <w:tcPr>
            <w:tcW w:w="851" w:type="dxa"/>
            <w:tcBorders>
              <w:bottom w:val="single" w:sz="4" w:space="0" w:color="auto"/>
            </w:tcBorders>
            <w:tcMar>
              <w:top w:w="100" w:type="dxa"/>
              <w:left w:w="100" w:type="dxa"/>
              <w:bottom w:w="100" w:type="dxa"/>
              <w:right w:w="100" w:type="dxa"/>
            </w:tcMar>
          </w:tcPr>
          <w:p w14:paraId="26DDF39E" w14:textId="21C4E349" w:rsidR="00BF1E62" w:rsidRPr="00E15AEB" w:rsidDel="00EF5096" w:rsidRDefault="00BF1E62" w:rsidP="00DD3886">
            <w:pPr>
              <w:pStyle w:val="TableText"/>
              <w:spacing w:line="240" w:lineRule="auto"/>
              <w:ind w:left="197" w:hanging="197"/>
              <w:jc w:val="center"/>
              <w:rPr>
                <w:color w:val="0D0D0D" w:themeColor="text1" w:themeTint="F2"/>
              </w:rPr>
            </w:pPr>
            <w:r w:rsidRPr="00E15AEB">
              <w:t>17</w:t>
            </w:r>
          </w:p>
        </w:tc>
        <w:tc>
          <w:tcPr>
            <w:tcW w:w="1985" w:type="dxa"/>
            <w:tcBorders>
              <w:bottom w:val="single" w:sz="4" w:space="0" w:color="auto"/>
            </w:tcBorders>
            <w:tcMar>
              <w:top w:w="100" w:type="dxa"/>
              <w:left w:w="100" w:type="dxa"/>
              <w:bottom w:w="100" w:type="dxa"/>
              <w:right w:w="100" w:type="dxa"/>
            </w:tcMar>
          </w:tcPr>
          <w:p w14:paraId="2BD7AAA6" w14:textId="19503752" w:rsidR="00BF1E62" w:rsidRPr="00E15AEB" w:rsidDel="00EF5096" w:rsidRDefault="00BF1E62" w:rsidP="00BF1E62">
            <w:pPr>
              <w:pStyle w:val="TableText"/>
              <w:spacing w:line="240" w:lineRule="auto"/>
              <w:ind w:left="197" w:hanging="197"/>
              <w:jc w:val="center"/>
              <w:rPr>
                <w:color w:val="0D0D0D" w:themeColor="text1" w:themeTint="F2"/>
              </w:rPr>
            </w:pPr>
            <w:r w:rsidRPr="00E15AEB">
              <w:t>.729</w:t>
            </w:r>
          </w:p>
        </w:tc>
        <w:tc>
          <w:tcPr>
            <w:tcW w:w="1984" w:type="dxa"/>
            <w:tcBorders>
              <w:bottom w:val="single" w:sz="4" w:space="0" w:color="auto"/>
            </w:tcBorders>
            <w:tcMar>
              <w:top w:w="100" w:type="dxa"/>
              <w:left w:w="100" w:type="dxa"/>
              <w:bottom w:w="100" w:type="dxa"/>
              <w:right w:w="100" w:type="dxa"/>
            </w:tcMar>
          </w:tcPr>
          <w:p w14:paraId="0BBA6944" w14:textId="3567096D" w:rsidR="00BF1E62" w:rsidRPr="00E15AEB" w:rsidDel="00EF5096" w:rsidRDefault="00BF1E62" w:rsidP="00BF1E62">
            <w:pPr>
              <w:pStyle w:val="TableText"/>
              <w:spacing w:line="240" w:lineRule="auto"/>
              <w:ind w:left="197" w:hanging="197"/>
              <w:jc w:val="center"/>
              <w:rPr>
                <w:color w:val="0D0D0D" w:themeColor="text1" w:themeTint="F2"/>
              </w:rPr>
            </w:pPr>
            <w:r w:rsidRPr="00E15AEB">
              <w:t>—</w:t>
            </w:r>
          </w:p>
        </w:tc>
        <w:tc>
          <w:tcPr>
            <w:tcW w:w="1559" w:type="dxa"/>
            <w:tcBorders>
              <w:bottom w:val="single" w:sz="4" w:space="0" w:color="auto"/>
            </w:tcBorders>
          </w:tcPr>
          <w:p w14:paraId="096509B5" w14:textId="4CE15CC2" w:rsidR="00BF1E62" w:rsidRPr="00E15AEB" w:rsidDel="00EF5096" w:rsidRDefault="00BF1E62" w:rsidP="00BF1E62">
            <w:pPr>
              <w:pStyle w:val="TableText"/>
              <w:spacing w:line="240" w:lineRule="auto"/>
              <w:ind w:left="197" w:hanging="197"/>
              <w:jc w:val="center"/>
              <w:rPr>
                <w:color w:val="0D0D0D" w:themeColor="text1" w:themeTint="F2"/>
              </w:rPr>
            </w:pPr>
            <w:r w:rsidRPr="00E15AEB">
              <w:t>.60</w:t>
            </w:r>
          </w:p>
        </w:tc>
      </w:tr>
    </w:tbl>
    <w:p w14:paraId="0862D93A" w14:textId="6859581E" w:rsidR="00AF6CDE" w:rsidRPr="00A00C50" w:rsidRDefault="00922191" w:rsidP="00AF6CDE">
      <w:pPr>
        <w:pStyle w:val="Articlenormaltextfirstparagraph"/>
        <w:rPr>
          <w:rFonts w:ascii="Arial" w:hAnsi="Arial" w:cs="Arial"/>
          <w:i/>
          <w:iCs/>
          <w:sz w:val="16"/>
          <w:szCs w:val="16"/>
        </w:rPr>
      </w:pPr>
      <w:r w:rsidRPr="00A00C50">
        <w:rPr>
          <w:rFonts w:ascii="Arial" w:hAnsi="Arial" w:cs="Arial"/>
          <w:i/>
          <w:iCs/>
          <w:color w:val="0D0D0D" w:themeColor="text1" w:themeTint="F2"/>
          <w:sz w:val="16"/>
          <w:szCs w:val="16"/>
        </w:rPr>
        <w:t xml:space="preserve">Note. Loadings &lt; .30 suppressed. PAF = principal axis factoring; rotation = direct </w:t>
      </w:r>
      <w:proofErr w:type="spellStart"/>
      <w:r w:rsidRPr="00A00C50">
        <w:rPr>
          <w:rFonts w:ascii="Arial" w:hAnsi="Arial" w:cs="Arial"/>
          <w:i/>
          <w:iCs/>
          <w:color w:val="0D0D0D" w:themeColor="text1" w:themeTint="F2"/>
          <w:sz w:val="16"/>
          <w:szCs w:val="16"/>
        </w:rPr>
        <w:t>oblimin</w:t>
      </w:r>
      <w:proofErr w:type="spellEnd"/>
      <w:r w:rsidRPr="00A00C50">
        <w:rPr>
          <w:rFonts w:ascii="Arial" w:hAnsi="Arial" w:cs="Arial"/>
          <w:i/>
          <w:iCs/>
          <w:color w:val="0D0D0D" w:themeColor="text1" w:themeTint="F2"/>
          <w:sz w:val="16"/>
          <w:szCs w:val="16"/>
        </w:rPr>
        <w:t>.</w:t>
      </w:r>
    </w:p>
    <w:p w14:paraId="55D36015" w14:textId="22B46E5E" w:rsidR="00AF6CDE" w:rsidRPr="0098535A" w:rsidRDefault="00AF6CDE" w:rsidP="00AF6CDE">
      <w:pPr>
        <w:pStyle w:val="1"/>
        <w:numPr>
          <w:ilvl w:val="0"/>
          <w:numId w:val="7"/>
        </w:numPr>
        <w:ind w:left="357" w:hanging="357"/>
        <w:rPr>
          <w:color w:val="5B9BD5" w:themeColor="accent1"/>
        </w:rPr>
      </w:pPr>
      <w:r w:rsidRPr="0098535A">
        <w:rPr>
          <w:color w:val="5B9BD5" w:themeColor="accent1"/>
        </w:rPr>
        <w:t>Discussion</w:t>
      </w:r>
    </w:p>
    <w:p w14:paraId="00C63947" w14:textId="1709BF86" w:rsidR="00C6660A" w:rsidRPr="00644CB1" w:rsidRDefault="00C6660A" w:rsidP="00C6660A">
      <w:pPr>
        <w:spacing w:line="264" w:lineRule="auto"/>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The purpose of this study was to explore the feasibility of transforming a Serious Game (SG) into an auxiliary teaching tool for sport event management education </w:t>
      </w:r>
      <w:r w:rsidR="00741AEE">
        <w:rPr>
          <w:rFonts w:ascii="Times New Roman" w:hAnsi="Times New Roman"/>
          <w:color w:val="0D0D0D" w:themeColor="text1" w:themeTint="F2"/>
          <w:lang w:val="en-US"/>
        </w:rPr>
        <w:t>using</w:t>
      </w:r>
      <w:r w:rsidR="00741AEE"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 xml:space="preserve">a hybrid learning approach. The study aimed to determine whether such an approach could enable students to acquire </w:t>
      </w:r>
      <w:r w:rsidRPr="00644CB1">
        <w:rPr>
          <w:rFonts w:ascii="Times New Roman" w:hAnsi="Times New Roman"/>
          <w:color w:val="0D0D0D" w:themeColor="text1" w:themeTint="F2"/>
          <w:lang w:val="en-US"/>
        </w:rPr>
        <w:lastRenderedPageBreak/>
        <w:t xml:space="preserve">knowledge, develop skills, and gain practical experience in sport event management. The results provide </w:t>
      </w:r>
      <w:r w:rsidR="00741AEE" w:rsidRPr="00C74BA9">
        <w:rPr>
          <w:rFonts w:ascii="Times New Roman" w:hAnsi="Times New Roman"/>
          <w:color w:val="0D0D0D" w:themeColor="text1" w:themeTint="F2"/>
          <w:lang w:val="en-US"/>
        </w:rPr>
        <w:t xml:space="preserve">encouraging evidence suggesting </w:t>
      </w:r>
      <w:r w:rsidRPr="00644CB1">
        <w:rPr>
          <w:rFonts w:ascii="Times New Roman" w:hAnsi="Times New Roman"/>
          <w:color w:val="0D0D0D" w:themeColor="text1" w:themeTint="F2"/>
          <w:lang w:val="en-US"/>
        </w:rPr>
        <w:t xml:space="preserve">that commercial serious games </w:t>
      </w:r>
      <w:r w:rsidR="00741AEE" w:rsidRPr="00C74BA9">
        <w:rPr>
          <w:rFonts w:ascii="Times New Roman" w:hAnsi="Times New Roman"/>
          <w:color w:val="0D0D0D" w:themeColor="text1" w:themeTint="F2"/>
          <w:lang w:val="en-US"/>
        </w:rPr>
        <w:t xml:space="preserve">may be effectively integrated </w:t>
      </w:r>
      <w:r w:rsidRPr="00644CB1">
        <w:rPr>
          <w:rFonts w:ascii="Times New Roman" w:hAnsi="Times New Roman"/>
          <w:color w:val="0D0D0D" w:themeColor="text1" w:themeTint="F2"/>
          <w:lang w:val="en-US"/>
        </w:rPr>
        <w:t>into sport event management curriculum when combined with structured educational frameworks.</w:t>
      </w:r>
    </w:p>
    <w:p w14:paraId="661C2EC1" w14:textId="20D926BA" w:rsidR="00C6660A" w:rsidRPr="00644CB1" w:rsidRDefault="00C6660A" w:rsidP="00A072E9">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According to McGonigal </w:t>
      </w:r>
      <w:r w:rsidR="00573ED0" w:rsidRPr="00644CB1">
        <w:rPr>
          <w:rFonts w:ascii="Times New Roman" w:hAnsi="Times New Roman"/>
          <w:color w:val="0D0D0D" w:themeColor="text1" w:themeTint="F2"/>
          <w:lang w:val="en-US"/>
        </w:rPr>
        <w:fldChar w:fldCharType="begin" w:fldLock="1"/>
      </w:r>
      <w:r w:rsidR="008C1BCA" w:rsidRPr="00644CB1">
        <w:rPr>
          <w:rFonts w:ascii="Times New Roman" w:hAnsi="Times New Roman"/>
          <w:color w:val="0D0D0D" w:themeColor="text1" w:themeTint="F2"/>
          <w:lang w:val="en-US"/>
        </w:rPr>
        <w:instrText>ADDIN CSL_CITATION {"citationItems":[{"id":"ITEM-1","itemData":{"ISBN":"1101467150","author":[{"dropping-particle":"","family":"McGonigal","given":"Jane","non-dropping-particle":"","parse-names":false,"suffix":""}],"id":"ITEM-1","issued":{"date-parts":[["2011"]]},"publisher":"The Penguin Press","publisher-place":"New York","title":"Reality is broken: Why games make us better and how they can change the world","type":"book"},"uris":["http://www.mendeley.com/documents/?uuid=2ad91220-421a-42af-9223-6a8323d93d82"]}],"mendeley":{"formattedCitation":"[6]","plainTextFormattedCitation":"[6]","previouslyFormattedCitation":"[6]"},"properties":{"noteIndex":0},"schema":"https://github.com/citation-style-language/schema/raw/master/csl-citation.json"}</w:instrText>
      </w:r>
      <w:r w:rsidR="00573ED0" w:rsidRPr="00644CB1">
        <w:rPr>
          <w:rFonts w:ascii="Times New Roman" w:hAnsi="Times New Roman"/>
          <w:color w:val="0D0D0D" w:themeColor="text1" w:themeTint="F2"/>
          <w:lang w:val="en-US"/>
        </w:rPr>
        <w:fldChar w:fldCharType="separate"/>
      </w:r>
      <w:r w:rsidR="00573ED0" w:rsidRPr="00644CB1">
        <w:rPr>
          <w:rFonts w:ascii="Times New Roman" w:hAnsi="Times New Roman"/>
          <w:noProof/>
          <w:color w:val="0D0D0D" w:themeColor="text1" w:themeTint="F2"/>
          <w:lang w:val="en-US"/>
        </w:rPr>
        <w:t>[6]</w:t>
      </w:r>
      <w:r w:rsidR="00573ED0"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a game can be educational if it possesses clearly defined goals. In line with the work of </w:t>
      </w:r>
      <w:proofErr w:type="spellStart"/>
      <w:r w:rsidRPr="00644CB1">
        <w:rPr>
          <w:rFonts w:ascii="Times New Roman" w:hAnsi="Times New Roman"/>
          <w:color w:val="0D0D0D" w:themeColor="text1" w:themeTint="F2"/>
          <w:lang w:val="en-US"/>
        </w:rPr>
        <w:t>Afthinos</w:t>
      </w:r>
      <w:proofErr w:type="spellEnd"/>
      <w:r w:rsidRPr="00644CB1">
        <w:rPr>
          <w:rFonts w:ascii="Times New Roman" w:hAnsi="Times New Roman"/>
          <w:color w:val="0D0D0D" w:themeColor="text1" w:themeTint="F2"/>
          <w:lang w:val="en-US"/>
        </w:rPr>
        <w:t xml:space="preserve">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 </w:t>
      </w:r>
      <w:r w:rsidR="008C1BCA" w:rsidRPr="00644CB1">
        <w:rPr>
          <w:rFonts w:ascii="Times New Roman" w:hAnsi="Times New Roman"/>
          <w:color w:val="0D0D0D" w:themeColor="text1" w:themeTint="F2"/>
          <w:lang w:val="en-US"/>
        </w:rPr>
        <w:fldChar w:fldCharType="begin" w:fldLock="1"/>
      </w:r>
      <w:r w:rsidR="008C1BCA" w:rsidRPr="00644CB1">
        <w:rPr>
          <w:rFonts w:ascii="Times New Roman" w:hAnsi="Times New Roman"/>
          <w:color w:val="0D0D0D" w:themeColor="text1" w:themeTint="F2"/>
          <w:lang w:val="en-US"/>
        </w:rPr>
        <w:instrText>ADDIN CSL_CITATION {"citationItems":[{"id":"ITEM-1","itemData":{"DOI":"10.1007/s10758-021-09573-8","ISBN":"0123456789","ISSN":"22111670","abstract":"The aim of this study is to examine whether students of a sport management undergraduate course can gain knowledge in the management of a professional soccer club, by participating in a commercial serious game. Serious is considered the cyber game that its purpose exceeds entertainment. For this case study, the serious sport club management game was “Top Eleven”. The theoretical model that this study was based on, is Misfeldt’s “scenarios based learning” for the transformation of a serious game into an educational means. It includes dimensions that cover part of the sport management class content in the National and Kapodistrian University of Athens, School of Physical Education and Sport Science. The transformation consisted of educational scenarios vested to the serious game, in order to add educational parameters to its basic elements with the purpose to relate further to the sport management class. The application showed that Top Eleven covers adequately Misfeldt’s model dimensions; therefore it can be used as an educational tool. Furthermore, an evaluation of the class gamification was conducted by the participating students (n = 62). The data collected showed that the majority of the students (f = 61, 98.4%) agreed that the participation in the serious game was “helpful” to their sport management class education process. They further agreed that they gained “very” or “very much” knowledge related to the management of a professional soccer club (f = 41, 66.1%) and that 59.7% (f = 37) of them would choose to work in a position of “sport club manager” as a result of the experience they gained by participating in the serious game.","author":[{"dropping-particle":"","family":"Afthinos","given":"Yanni","non-dropping-particle":"","parse-names":false,"suffix":""},{"dropping-particle":"","family":"Kiaffas","given":"Zacharias","non-dropping-particle":"","parse-names":false,"suffix":""},{"dropping-particle":"","family":"Afthinos","given":"Theofilos","non-dropping-particle":"","parse-names":false,"suffix":""}],"container-title":"Technology, Knowledge and Learning","id":"ITEM-1","issue":"1","issued":{"date-parts":[["2022"]]},"page":"255-273","publisher":"Springer Netherlands","title":"The Serious Game “Top Eleven” as an Educational Simulation Platform for Acquiring Knowledge and Skills in the Management of Sports Clubs","type":"article-journal","volume":"27"},"uris":["http://www.mendeley.com/documents/?uuid=30dcf59c-a82e-4fef-8228-412cc63cdcc0"]}],"mendeley":{"formattedCitation":"[10]","plainTextFormattedCitation":"[10]","previouslyFormattedCitation":"[10]"},"properties":{"noteIndex":0},"schema":"https://github.com/citation-style-language/schema/raw/master/csl-citation.json"}</w:instrText>
      </w:r>
      <w:r w:rsidR="008C1BCA" w:rsidRPr="00644CB1">
        <w:rPr>
          <w:rFonts w:ascii="Times New Roman" w:hAnsi="Times New Roman"/>
          <w:color w:val="0D0D0D" w:themeColor="text1" w:themeTint="F2"/>
          <w:lang w:val="en-US"/>
        </w:rPr>
        <w:fldChar w:fldCharType="separate"/>
      </w:r>
      <w:r w:rsidR="008C1BCA" w:rsidRPr="00644CB1">
        <w:rPr>
          <w:rFonts w:ascii="Times New Roman" w:hAnsi="Times New Roman"/>
          <w:noProof/>
          <w:color w:val="0D0D0D" w:themeColor="text1" w:themeTint="F2"/>
          <w:lang w:val="en-US"/>
        </w:rPr>
        <w:t>[10]</w:t>
      </w:r>
      <w:r w:rsidR="008C1BCA"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this study </w:t>
      </w:r>
      <w:r w:rsidR="00741AEE">
        <w:rPr>
          <w:rFonts w:ascii="Times New Roman" w:hAnsi="Times New Roman"/>
          <w:color w:val="0D0D0D" w:themeColor="text1" w:themeTint="F2"/>
          <w:lang w:val="en-US"/>
        </w:rPr>
        <w:t xml:space="preserve">suggests </w:t>
      </w:r>
      <w:r w:rsidRPr="00644CB1">
        <w:rPr>
          <w:rFonts w:ascii="Times New Roman" w:hAnsi="Times New Roman"/>
          <w:color w:val="0D0D0D" w:themeColor="text1" w:themeTint="F2"/>
          <w:lang w:val="en-US"/>
        </w:rPr>
        <w:t xml:space="preserve">that Top Eleven </w:t>
      </w:r>
      <w:r w:rsidR="00741AEE">
        <w:rPr>
          <w:rFonts w:ascii="Times New Roman" w:hAnsi="Times New Roman"/>
          <w:color w:val="0D0D0D" w:themeColor="text1" w:themeTint="F2"/>
          <w:lang w:val="en-US"/>
        </w:rPr>
        <w:t xml:space="preserve">may </w:t>
      </w:r>
      <w:r w:rsidRPr="00644CB1">
        <w:rPr>
          <w:rFonts w:ascii="Times New Roman" w:hAnsi="Times New Roman"/>
          <w:color w:val="0D0D0D" w:themeColor="text1" w:themeTint="F2"/>
          <w:lang w:val="en-US"/>
        </w:rPr>
        <w:t>fulfill an educational objective by providing Sport Event Management students with knowledge, skills, and hands-on experience through structured educational scenarios designed by the instructor (see Table 2). Essentially, the game was augmented with sport event management scenarios, aligning with a</w:t>
      </w:r>
      <w:r w:rsidR="00B60A10" w:rsidRPr="00644CB1">
        <w:rPr>
          <w:rFonts w:ascii="Times New Roman" w:hAnsi="Times New Roman"/>
          <w:color w:val="0D0D0D" w:themeColor="text1" w:themeTint="F2"/>
          <w:lang w:val="en-US"/>
        </w:rPr>
        <w:t>n innovative</w:t>
      </w:r>
      <w:r w:rsidR="008E4AAB"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«learn-by-play» educational methodology that transforms a SG into a learning tool</w:t>
      </w:r>
      <w:r w:rsidR="00FD31DF" w:rsidRPr="00644CB1">
        <w:rPr>
          <w:rFonts w:ascii="Times New Roman" w:hAnsi="Times New Roman"/>
          <w:color w:val="0D0D0D" w:themeColor="text1" w:themeTint="F2"/>
        </w:rPr>
        <w:t xml:space="preserve"> </w:t>
      </w:r>
      <w:r w:rsidR="00F766AC" w:rsidRPr="00644CB1">
        <w:rPr>
          <w:rFonts w:ascii="Times New Roman" w:hAnsi="Times New Roman"/>
          <w:color w:val="0D0D0D" w:themeColor="text1" w:themeTint="F2"/>
        </w:rPr>
        <w:fldChar w:fldCharType="begin" w:fldLock="1"/>
      </w:r>
      <w:r w:rsidR="000F56E9" w:rsidRPr="00644CB1">
        <w:rPr>
          <w:rFonts w:ascii="Times New Roman" w:hAnsi="Times New Roman"/>
          <w:color w:val="0D0D0D" w:themeColor="text1" w:themeTint="F2"/>
        </w:rPr>
        <w:instrText>ADDIN CSL_CITATION {"citationItems":[{"id":"ITEM-1","itemData":{"DOI":"10.1007/978-981-19-0351-9_74-1","author":[{"dropping-particle":"","family":"Schrader","given":"Claudia","non-dropping-particle":"","parse-names":false,"suffix":""}],"container-title":"Handbook of Open, Distance and Digital Education","id":"ITEM-1","issued":{"date-parts":[["2022"]]},"page":"1-14","publisher":"Springer Singapore","publisher-place":"Singapore","title":"Serious Games and Game-Based Learning","type":"chapter"},"uris":["http://www.mendeley.com/documents/?uuid=9d903544-231e-48ef-a9d5-ee49f7c57d11"]}],"mendeley":{"formattedCitation":"[50]","plainTextFormattedCitation":"[50]","previouslyFormattedCitation":"[50]"},"properties":{"noteIndex":0},"schema":"https://github.com/citation-style-language/schema/raw/master/csl-citation.json"}</w:instrText>
      </w:r>
      <w:r w:rsidR="00F766AC" w:rsidRPr="00644CB1">
        <w:rPr>
          <w:rFonts w:ascii="Times New Roman" w:hAnsi="Times New Roman"/>
          <w:color w:val="0D0D0D" w:themeColor="text1" w:themeTint="F2"/>
        </w:rPr>
        <w:fldChar w:fldCharType="separate"/>
      </w:r>
      <w:r w:rsidR="00F766AC" w:rsidRPr="00644CB1">
        <w:rPr>
          <w:rFonts w:ascii="Times New Roman" w:hAnsi="Times New Roman"/>
          <w:noProof/>
          <w:color w:val="0D0D0D" w:themeColor="text1" w:themeTint="F2"/>
        </w:rPr>
        <w:t>[50]</w:t>
      </w:r>
      <w:r w:rsidR="00F766AC" w:rsidRPr="00644CB1">
        <w:rPr>
          <w:rFonts w:ascii="Times New Roman" w:hAnsi="Times New Roman"/>
          <w:color w:val="0D0D0D" w:themeColor="text1" w:themeTint="F2"/>
        </w:rPr>
        <w:fldChar w:fldCharType="end"/>
      </w:r>
      <w:r w:rsidR="00FD31DF" w:rsidRPr="00644CB1">
        <w:rPr>
          <w:rFonts w:ascii="Times New Roman" w:hAnsi="Times New Roman"/>
          <w:color w:val="0D0D0D" w:themeColor="text1" w:themeTint="F2"/>
        </w:rPr>
        <w:t>.</w:t>
      </w:r>
    </w:p>
    <w:p w14:paraId="623A7CED" w14:textId="36F19F54" w:rsidR="00C6660A" w:rsidRPr="00644CB1" w:rsidRDefault="00C6660A" w:rsidP="00C6660A">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The VIFT was designed as a controlled football tournament managed exclusively by students enrolled in the Sport Event Management class. Utilizing the SG Top Eleven, the tournament was developed based on two established theoretical models: a) the Unified Model of Events Management </w:t>
      </w:r>
      <w:r w:rsidR="008C1BCA" w:rsidRPr="00644CB1">
        <w:rPr>
          <w:rFonts w:ascii="Times New Roman" w:hAnsi="Times New Roman"/>
          <w:color w:val="0D0D0D" w:themeColor="text1" w:themeTint="F2"/>
          <w:lang w:val="en-US"/>
        </w:rPr>
        <w:fldChar w:fldCharType="begin" w:fldLock="1"/>
      </w:r>
      <w:r w:rsidR="00F379D6" w:rsidRPr="00644CB1">
        <w:rPr>
          <w:rFonts w:ascii="Times New Roman" w:hAnsi="Times New Roman"/>
          <w:color w:val="0D0D0D" w:themeColor="text1" w:themeTint="F2"/>
          <w:lang w:val="en-US"/>
        </w:rPr>
        <w:instrText>ADDIN CSL_CITATION {"citationItems":[{"id":"ITEM-1","itemData":{"ISBN":"978-0-7506-5872-0","author":[{"dropping-particle":"","family":"Salem","given":"G.","non-dropping-particle":"","parse-names":false,"suffix":""},{"dropping-particle":"","family":"Jones","given":"E.","non-dropping-particle":"","parse-names":false,"suffix":""},{"dropping-particle":"","family":"Morgan","given":"N.","non-dropping-particle":"","parse-names":false,"suffix":""}],"container-title":"Festival and events management: an international arts and culture perspective","editor":[{"dropping-particle":"","family":"Yeoman","given":"I.","non-dropping-particle":"","parse-names":false,"suffix":""},{"dropping-particle":"","family":"Robertson","given":"M.","non-dropping-particle":"","parse-names":false,"suffix":""},{"dropping-particle":"","family":"Ali-Knight","given":"J.A.","non-dropping-particle":"","parse-names":false,"suffix":""},{"dropping-particle":"","family":"Drummond","given":"S.","non-dropping-particle":"","parse-names":false,"suffix":""},{"dropping-particle":"","family":"McMahon-Beattie","given":"U.","non-dropping-particle":"","parse-names":false,"suffix":""}],"id":"ITEM-1","issued":{"date-parts":[["2014"]]},"page":"14-31","publisher":"Elsevier Butterworth-Heinemann","publisher-place":"Boston, MA","title":"An overview of events management","type":"chapter"},"uris":["http://www.mendeley.com/documents/?uuid=74ce0dc2-1ee2-4d79-8055-f405e3731374"]}],"mendeley":{"formattedCitation":"[38]","plainTextFormattedCitation":"[38]","previouslyFormattedCitation":"[38]"},"properties":{"noteIndex":0},"schema":"https://github.com/citation-style-language/schema/raw/master/csl-citation.json"}</w:instrText>
      </w:r>
      <w:r w:rsidR="008C1BCA" w:rsidRPr="00644CB1">
        <w:rPr>
          <w:rFonts w:ascii="Times New Roman" w:hAnsi="Times New Roman"/>
          <w:color w:val="0D0D0D" w:themeColor="text1" w:themeTint="F2"/>
          <w:lang w:val="en-US"/>
        </w:rPr>
        <w:fldChar w:fldCharType="separate"/>
      </w:r>
      <w:r w:rsidR="008C1BCA" w:rsidRPr="00644CB1">
        <w:rPr>
          <w:rFonts w:ascii="Times New Roman" w:hAnsi="Times New Roman"/>
          <w:noProof/>
          <w:color w:val="0D0D0D" w:themeColor="text1" w:themeTint="F2"/>
          <w:lang w:val="en-US"/>
        </w:rPr>
        <w:t>[38]</w:t>
      </w:r>
      <w:r w:rsidR="008C1BCA"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and b) the Scenario-Based Education Framework </w:t>
      </w:r>
      <w:r w:rsidR="00F379D6" w:rsidRPr="00644CB1">
        <w:rPr>
          <w:rFonts w:ascii="Times New Roman" w:hAnsi="Times New Roman"/>
          <w:color w:val="0D0D0D" w:themeColor="text1" w:themeTint="F2"/>
          <w:lang w:val="en-US"/>
        </w:rPr>
        <w:fldChar w:fldCharType="begin" w:fldLock="1"/>
      </w:r>
      <w:r w:rsidR="00F379D6" w:rsidRPr="00644CB1">
        <w:rPr>
          <w:rFonts w:ascii="Times New Roman" w:hAnsi="Times New Roman"/>
          <w:color w:val="0D0D0D" w:themeColor="text1" w:themeTint="F2"/>
          <w:lang w:val="en-US"/>
        </w:rPr>
        <w:instrText>ADDIN CSL_CITATION {"citationItems":[{"id":"ITEM-1","itemData":{"ISSN":"14794403","abstract":"In this paper I describe s how students use a project management simulation game based on an attack-defense mechanism where two teams of players compete by challenging each other’s projects. The project management simulation game is intended to be played by pre-service construction workers and engineers. The gameplay has two parts: a planning part, where the player make managerial decisions about his construction site, and a challenge part where the player chooses between typical problems to occur on the opponent’s construction site. Playing the game involves analyzing both your own and you opponent’s building project for weak spots. The intention of the project management simulation game, is to provide students with an increased sensitivity towards the relation between planning and reality in complex construction projects. The project management simulation game can be interpreted both as a competitive game and as a simulation. Both of these views are meaningful and can be seen as supporting learning. Emphasizing the simulation aspect let us explain how students learn by being immersed into a simulated world, where the players identify with specific roles, live out specific situations, and experiment with relevant parameters. Emphasizing the competition game aspect we can see how play and competition allow players to experience intrinsic motivation and engagement, as well as thinking strategically about their choices, and hence put attention towards all the things that can go wrong in construction work. The goal of the paper is to investigate empirically how these two understandings influence game experience and learning outcome. This question is approached by qualitative post-game interviews about the experienced fun, competition and realism. Specific attention is given to how the understandings of the experience (for instance as a game and as a simulation) is entangled when the students describe their experience. Using the concepts frame and domain it is analyzed how the students conceptualize and make meaning of the particular educational scenario manifested by the project management simulation game. We take as an outset that students interpret the situations in the project management simulation game as relating to one or several domains, especially the domains competition and simulation. Results suggest that the views of the scenario as a competition and as a simulation do coexist, and that these views merge in a subtle way. The players consider the…","author":[{"dropping-particle":"","family":"Misfeldt","given":"Morten","non-dropping-particle":"","parse-names":false,"suffix":""}],"container-title":"Electronic Journal of e-Learning","id":"ITEM-1","issue":"3","issued":{"date-parts":[["2015"]]},"page":"181-191","title":"Scenario based education as a framework for understanding students engagement and learning in a project management simulation game","type":"article-journal","volume":"13"},"uris":["http://www.mendeley.com/documents/?uuid=092313e4-c29d-4f9b-b151-b70746c3b863"]}],"mendeley":{"formattedCitation":"[45]","plainTextFormattedCitation":"[45]","previouslyFormattedCitation":"[45]"},"properties":{"noteIndex":0},"schema":"https://github.com/citation-style-language/schema/raw/master/csl-citation.json"}</w:instrText>
      </w:r>
      <w:r w:rsidR="00F379D6" w:rsidRPr="00644CB1">
        <w:rPr>
          <w:rFonts w:ascii="Times New Roman" w:hAnsi="Times New Roman"/>
          <w:color w:val="0D0D0D" w:themeColor="text1" w:themeTint="F2"/>
          <w:lang w:val="en-US"/>
        </w:rPr>
        <w:fldChar w:fldCharType="separate"/>
      </w:r>
      <w:r w:rsidR="00F379D6" w:rsidRPr="00644CB1">
        <w:rPr>
          <w:rFonts w:ascii="Times New Roman" w:hAnsi="Times New Roman"/>
          <w:noProof/>
          <w:color w:val="0D0D0D" w:themeColor="text1" w:themeTint="F2"/>
          <w:lang w:val="en-US"/>
        </w:rPr>
        <w:t>[45]</w:t>
      </w:r>
      <w:r w:rsidR="00F379D6"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Through this innovative alternative teaching method, students engaged in a dynamic, practice-oriented learning process, using various sport management and marketing tools</w:t>
      </w:r>
      <w:r w:rsidR="00F379D6" w:rsidRPr="00644CB1">
        <w:rPr>
          <w:rFonts w:ascii="Times New Roman" w:hAnsi="Times New Roman"/>
          <w:color w:val="0D0D0D" w:themeColor="text1" w:themeTint="F2"/>
          <w:lang w:val="en-US"/>
        </w:rPr>
        <w:t xml:space="preserve"> </w:t>
      </w:r>
      <w:r w:rsidR="00F379D6" w:rsidRPr="00644CB1">
        <w:rPr>
          <w:rFonts w:ascii="Times New Roman" w:hAnsi="Times New Roman"/>
          <w:color w:val="0D0D0D" w:themeColor="text1" w:themeTint="F2"/>
          <w:lang w:val="en-US"/>
        </w:rPr>
        <w:fldChar w:fldCharType="begin" w:fldLock="1"/>
      </w:r>
      <w:r w:rsidR="000C1521" w:rsidRPr="00644CB1">
        <w:rPr>
          <w:rFonts w:ascii="Times New Roman" w:hAnsi="Times New Roman"/>
          <w:color w:val="0D0D0D" w:themeColor="text1" w:themeTint="F2"/>
          <w:lang w:val="en-US"/>
        </w:rPr>
        <w:instrText>ADDIN CSL_CITATION {"citationItems":[{"id":"ITEM-1","itemData":{"DOI":"10.1007/s10758-021-09573-8","ISBN":"0123456789","ISSN":"22111670","abstract":"The aim of this study is to examine whether students of a sport management undergraduate course can gain knowledge in the management of a professional soccer club, by participating in a commercial serious game. Serious is considered the cyber game that its purpose exceeds entertainment. For this case study, the serious sport club management game was “Top Eleven”. The theoretical model that this study was based on, is Misfeldt’s “scenarios based learning” for the transformation of a serious game into an educational means. It includes dimensions that cover part of the sport management class content in the National and Kapodistrian University of Athens, School of Physical Education and Sport Science. The transformation consisted of educational scenarios vested to the serious game, in order to add educational parameters to its basic elements with the purpose to relate further to the sport management class. The application showed that Top Eleven covers adequately Misfeldt’s model dimensions; therefore it can be used as an educational tool. Furthermore, an evaluation of the class gamification was conducted by the participating students (n = 62). The data collected showed that the majority of the students (f = 61, 98.4%) agreed that the participation in the serious game was “helpful” to their sport management class education process. They further agreed that they gained “very” or “very much” knowledge related to the management of a professional soccer club (f = 41, 66.1%) and that 59.7% (f = 37) of them would choose to work in a position of “sport club manager” as a result of the experience they gained by participating in the serious game.","author":[{"dropping-particle":"","family":"Afthinos","given":"Yanni","non-dropping-particle":"","parse-names":false,"suffix":""},{"dropping-particle":"","family":"Kiaffas","given":"Zacharias","non-dropping-particle":"","parse-names":false,"suffix":""},{"dropping-particle":"","family":"Afthinos","given":"Theofilos","non-dropping-particle":"","parse-names":false,"suffix":""}],"container-title":"Technology, Knowledge and Learning","id":"ITEM-1","issue":"1","issued":{"date-parts":[["2022"]]},"page":"255-273","publisher":"Springer Netherlands","title":"The Serious Game “Top Eleven” as an Educational Simulation Platform for Acquiring Knowledge and Skills in the Management of Sports Clubs","type":"article-journal","volume":"27"},"uris":["http://www.mendeley.com/documents/?uuid=30dcf59c-a82e-4fef-8228-412cc63cdcc0"]},{"id":"ITEM-2","itemData":{"DOI":"10.3389/feduc.2025.1511729","ISSN":"2504284X","abstract":"Introduction: The present systematic review aims to synthesize and critically analyze the use of serious games in the professional training and education of psychologists and psychology students. Methods: Following PRISMA guidelines, database searches from inception to July 2023 (PsycINFO, PubMed, Web of Science, and Scopus) yielded 4,409 records, of which 14 met the eligibility criteria, including 17 studies. Quality assessment was performed using the Newcastle-Ottawa Scale and the Risk of Bias Tool for Randomized Trials. Results: The review identified three pivotal areas where serious games demonstrated significant educational impact: enhancing psychological traits and attitudes (e.g., prejudice, empathy), promoting theoretical knowledge acquisition (e.g., biopsychology), and developing professional skills (e.g., investigative interview with children). Serious games, particularly those providing feedback and modeling, significantly enhance the quality of learning and training for psychology students and professionals. Discussion: Key findings revealed that serious games operate by offering realistic, engaging, and flexible learning environments while mitigating risks associated with real-world practice. Methodological limitations, including moderate to high risk of bias in many studies, especially those that relied on cross-sectional data, underscore the need for rigorous designs and long-term evaluations. Practical implications suggest integrating serious games into curricula to address gaps in experiential learning for psychologists, facilitating skill development and knowledge retention. Future research should explore the long-term impact of serious games on professional competencies and assess their applicability across diverse educational contexts.","author":[{"dropping-particle":"","family":"Facchino","given":"Antonio Pio","non-dropping-particle":"","parse-names":false,"suffix":""},{"dropping-particle":"","family":"Marchetti","given":"Daniela","non-dropping-particle":"","parse-names":false,"suffix":""},{"dropping-particle":"","family":"Colasanti","given":"Marco","non-dropping-particle":"","parse-names":false,"suffix":""},{"dropping-particle":"","family":"Fontanesi","given":"Lilybeth","non-dropping-particle":"","parse-names":false,"suffix":""},{"dropping-particle":"","family":"Verrocchio","given":"Maria Cristina","non-dropping-particle":"","parse-names":false,"suffix":""}],"container-title":"Frontiers in Education","id":"ITEM-2","issued":{"date-parts":[["2025"]]},"title":"The use of serious games for psychological education and training: a systematic review","type":"article-journal","volume":"10"},"uris":["http://www.mendeley.com/documents/?uuid=9b4b1401-e51a-45eb-acf8-a622b5ddff02"]}],"mendeley":{"formattedCitation":"[10], [51]","plainTextFormattedCitation":"[10], [51]","previouslyFormattedCitation":"[10], [51]"},"properties":{"noteIndex":0},"schema":"https://github.com/citation-style-language/schema/raw/master/csl-citation.json"}</w:instrText>
      </w:r>
      <w:r w:rsidR="00F379D6" w:rsidRPr="00644CB1">
        <w:rPr>
          <w:rFonts w:ascii="Times New Roman" w:hAnsi="Times New Roman"/>
          <w:color w:val="0D0D0D" w:themeColor="text1" w:themeTint="F2"/>
          <w:lang w:val="en-US"/>
        </w:rPr>
        <w:fldChar w:fldCharType="separate"/>
      </w:r>
      <w:r w:rsidR="000F56E9" w:rsidRPr="00644CB1">
        <w:rPr>
          <w:rFonts w:ascii="Times New Roman" w:hAnsi="Times New Roman"/>
          <w:noProof/>
          <w:color w:val="0D0D0D" w:themeColor="text1" w:themeTint="F2"/>
          <w:lang w:val="en-US"/>
        </w:rPr>
        <w:t>[10], [51]</w:t>
      </w:r>
      <w:r w:rsidR="00F379D6"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w:t>
      </w:r>
    </w:p>
    <w:p w14:paraId="78D76FA1" w14:textId="1732C09E" w:rsidR="00C6660A" w:rsidRPr="00644CB1" w:rsidRDefault="00C6660A" w:rsidP="00657291">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Initially, following Misfeldt's </w:t>
      </w:r>
      <w:r w:rsidR="00E55289" w:rsidRPr="00644CB1">
        <w:rPr>
          <w:rFonts w:ascii="Times New Roman" w:hAnsi="Times New Roman"/>
          <w:color w:val="0D0D0D" w:themeColor="text1" w:themeTint="F2"/>
          <w:lang w:val="en-US"/>
        </w:rPr>
        <w:fldChar w:fldCharType="begin" w:fldLock="1"/>
      </w:r>
      <w:r w:rsidR="00E55289" w:rsidRPr="00644CB1">
        <w:rPr>
          <w:rFonts w:ascii="Times New Roman" w:hAnsi="Times New Roman"/>
          <w:color w:val="0D0D0D" w:themeColor="text1" w:themeTint="F2"/>
          <w:lang w:val="en-US"/>
        </w:rPr>
        <w:instrText>ADDIN CSL_CITATION {"citationItems":[{"id":"ITEM-1","itemData":{"ISSN":"14794403","abstract":"In this paper I describe s how students use a project management simulation game based on an attack-defense mechanism where two teams of players compete by challenging each other’s projects. The project management simulation game is intended to be played by pre-service construction workers and engineers. The gameplay has two parts: a planning part, where the player make managerial decisions about his construction site, and a challenge part where the player chooses between typical problems to occur on the opponent’s construction site. Playing the game involves analyzing both your own and you opponent’s building project for weak spots. The intention of the project management simulation game, is to provide students with an increased sensitivity towards the relation between planning and reality in complex construction projects. The project management simulation game can be interpreted both as a competitive game and as a simulation. Both of these views are meaningful and can be seen as supporting learning. Emphasizing the simulation aspect let us explain how students learn by being immersed into a simulated world, where the players identify with specific roles, live out specific situations, and experiment with relevant parameters. Emphasizing the competition game aspect we can see how play and competition allow players to experience intrinsic motivation and engagement, as well as thinking strategically about their choices, and hence put attention towards all the things that can go wrong in construction work. The goal of the paper is to investigate empirically how these two understandings influence game experience and learning outcome. This question is approached by qualitative post-game interviews about the experienced fun, competition and realism. Specific attention is given to how the understandings of the experience (for instance as a game and as a simulation) is entangled when the students describe their experience. Using the concepts frame and domain it is analyzed how the students conceptualize and make meaning of the particular educational scenario manifested by the project management simulation game. We take as an outset that students interpret the situations in the project management simulation game as relating to one or several domains, especially the domains competition and simulation. Results suggest that the views of the scenario as a competition and as a simulation do coexist, and that these views merge in a subtle way. The players consider the…","author":[{"dropping-particle":"","family":"Misfeldt","given":"Morten","non-dropping-particle":"","parse-names":false,"suffix":""}],"container-title":"Electronic Journal of e-Learning","id":"ITEM-1","issue":"3","issued":{"date-parts":[["2015"]]},"page":"181-191","title":"Scenario based education as a framework for understanding students engagement and learning in a project management simulation game","type":"article-journal","volume":"13"},"uris":["http://www.mendeley.com/documents/?uuid=092313e4-c29d-4f9b-b151-b70746c3b863"]}],"mendeley":{"formattedCitation":"[45]","plainTextFormattedCitation":"[45]","previouslyFormattedCitation":"[45]"},"properties":{"noteIndex":0},"schema":"https://github.com/citation-style-language/schema/raw/master/csl-citation.json"}</w:instrText>
      </w:r>
      <w:r w:rsidR="00E55289" w:rsidRPr="00644CB1">
        <w:rPr>
          <w:rFonts w:ascii="Times New Roman" w:hAnsi="Times New Roman"/>
          <w:color w:val="0D0D0D" w:themeColor="text1" w:themeTint="F2"/>
          <w:lang w:val="en-US"/>
        </w:rPr>
        <w:fldChar w:fldCharType="separate"/>
      </w:r>
      <w:r w:rsidR="00E55289" w:rsidRPr="00644CB1">
        <w:rPr>
          <w:rFonts w:ascii="Times New Roman" w:hAnsi="Times New Roman"/>
          <w:noProof/>
          <w:color w:val="0D0D0D" w:themeColor="text1" w:themeTint="F2"/>
          <w:lang w:val="en-US"/>
        </w:rPr>
        <w:t>[45]</w:t>
      </w:r>
      <w:r w:rsidR="00E55289"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model, students created an event organization scenario. In line with the first phase of Salem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's </w:t>
      </w:r>
      <w:r w:rsidR="00E55289" w:rsidRPr="00644CB1">
        <w:rPr>
          <w:rFonts w:ascii="Times New Roman" w:hAnsi="Times New Roman"/>
          <w:color w:val="0D0D0D" w:themeColor="text1" w:themeTint="F2"/>
          <w:lang w:val="en-US"/>
        </w:rPr>
        <w:fldChar w:fldCharType="begin" w:fldLock="1"/>
      </w:r>
      <w:r w:rsidR="00E55289" w:rsidRPr="00644CB1">
        <w:rPr>
          <w:rFonts w:ascii="Times New Roman" w:hAnsi="Times New Roman"/>
          <w:color w:val="0D0D0D" w:themeColor="text1" w:themeTint="F2"/>
          <w:lang w:val="en-US"/>
        </w:rPr>
        <w:instrText>ADDIN CSL_CITATION {"citationItems":[{"id":"ITEM-1","itemData":{"ISBN":"978-0-7506-5872-0","author":[{"dropping-particle":"","family":"Salem","given":"G.","non-dropping-particle":"","parse-names":false,"suffix":""},{"dropping-particle":"","family":"Jones","given":"E.","non-dropping-particle":"","parse-names":false,"suffix":""},{"dropping-particle":"","family":"Morgan","given":"N.","non-dropping-particle":"","parse-names":false,"suffix":""}],"container-title":"Festival and events management: an international arts and culture perspective","editor":[{"dropping-particle":"","family":"Yeoman","given":"I.","non-dropping-particle":"","parse-names":false,"suffix":""},{"dropping-particle":"","family":"Robertson","given":"M.","non-dropping-particle":"","parse-names":false,"suffix":""},{"dropping-particle":"","family":"Ali-Knight","given":"J.A.","non-dropping-particle":"","parse-names":false,"suffix":""},{"dropping-particle":"","family":"Drummond","given":"S.","non-dropping-particle":"","parse-names":false,"suffix":""},{"dropping-particle":"","family":"McMahon-Beattie","given":"U.","non-dropping-particle":"","parse-names":false,"suffix":""}],"id":"ITEM-1","issued":{"date-parts":[["2014"]]},"page":"14-31","publisher":"Elsevier Butterworth-Heinemann","publisher-place":"Boston, MA","title":"An overview of events management","type":"chapter"},"uris":["http://www.mendeley.com/documents/?uuid=74ce0dc2-1ee2-4d79-8055-f405e3731374"]}],"mendeley":{"formattedCitation":"[38]","plainTextFormattedCitation":"[38]","previouslyFormattedCitation":"[38]"},"properties":{"noteIndex":0},"schema":"https://github.com/citation-style-language/schema/raw/master/csl-citation.json"}</w:instrText>
      </w:r>
      <w:r w:rsidR="00E55289" w:rsidRPr="00644CB1">
        <w:rPr>
          <w:rFonts w:ascii="Times New Roman" w:hAnsi="Times New Roman"/>
          <w:color w:val="0D0D0D" w:themeColor="text1" w:themeTint="F2"/>
          <w:lang w:val="en-US"/>
        </w:rPr>
        <w:fldChar w:fldCharType="separate"/>
      </w:r>
      <w:r w:rsidR="00E55289" w:rsidRPr="00644CB1">
        <w:rPr>
          <w:rFonts w:ascii="Times New Roman" w:hAnsi="Times New Roman"/>
          <w:noProof/>
          <w:color w:val="0D0D0D" w:themeColor="text1" w:themeTint="F2"/>
          <w:lang w:val="en-US"/>
        </w:rPr>
        <w:t>[38]</w:t>
      </w:r>
      <w:r w:rsidR="00E55289"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model, organizers defined the mission statement, set the VIFT goals, and established the Organizing Committee (OC). The second phase involved practical event planning, in accordance with Kendal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 </w:t>
      </w:r>
      <w:r w:rsidR="00DC2A2A" w:rsidRPr="00644CB1">
        <w:rPr>
          <w:rFonts w:ascii="Times New Roman" w:hAnsi="Times New Roman"/>
          <w:color w:val="0D0D0D" w:themeColor="text1" w:themeTint="F2"/>
          <w:lang w:val="en-US"/>
        </w:rPr>
        <w:fldChar w:fldCharType="begin" w:fldLock="1"/>
      </w:r>
      <w:r w:rsidR="003B2F46" w:rsidRPr="00644CB1">
        <w:rPr>
          <w:rFonts w:ascii="Times New Roman" w:hAnsi="Times New Roman"/>
          <w:color w:val="0D0D0D" w:themeColor="text1" w:themeTint="F2"/>
          <w:lang w:val="en-US"/>
        </w:rPr>
        <w:instrText>ADDIN CSL_CITATION {"citationItems":[{"id":"ITEM-1","itemData":{"DOI":"10.1016/j.cor.2009.05.013","ISSN":"03050548","abstract":"Sports have worldwide appeal. Professional sport leagues involve significant investments in players. Events such as the Olympics Games, the Football World Cup and the major golf and tennis tournaments generate huge worldwide television audiences and many sports are multi-million dollar industries. A key aspect of sporting events is the ability to generate schedules that optimize logistic issues and that are seen as fair to all those who have an interest. This is not just restricted to generating the fixtures, but also to other areas such as assigning officials to the games in the competitions. This paper provides an annotated bibliography for sports scheduling articles. This area can be traced back over 40 years. It is noticeable that the number of papers has risen in recent years, demonstrating that scientific interest is increasing in this area. © 2009 Elsevier Ltd. All rights reserved.","author":[{"dropping-particle":"","family":"Kendall","given":"Graham","non-dropping-particle":"","parse-names":false,"suffix":""},{"dropping-particle":"","family":"Knust","given":"Sigrid","non-dropping-particle":"","parse-names":false,"suffix":""},{"dropping-particle":"","family":"Ribeiro","given":"Celso C.","non-dropping-particle":"","parse-names":false,"suffix":""},{"dropping-particle":"","family":"Urrutia","given":"Sebastián","non-dropping-particle":"","parse-names":false,"suffix":""}],"container-title":"Computers and Operations Research","id":"ITEM-1","issue":"1","issued":{"date-parts":[["2010"]]},"page":"1-19","publisher":"Elsevier","title":"Scheduling in sports: An annotated bibliography","type":"article-journal","volume":"37"},"uris":["http://www.mendeley.com/documents/?uuid=89910123-b21c-45fc-b3ed-e9a0324e5438"]}],"mendeley":{"formattedCitation":"[39]","plainTextFormattedCitation":"[39]","previouslyFormattedCitation":"[39]"},"properties":{"noteIndex":0},"schema":"https://github.com/citation-style-language/schema/raw/master/csl-citation.json"}</w:instrText>
      </w:r>
      <w:r w:rsidR="00DC2A2A" w:rsidRPr="00644CB1">
        <w:rPr>
          <w:rFonts w:ascii="Times New Roman" w:hAnsi="Times New Roman"/>
          <w:color w:val="0D0D0D" w:themeColor="text1" w:themeTint="F2"/>
          <w:lang w:val="en-US"/>
        </w:rPr>
        <w:fldChar w:fldCharType="separate"/>
      </w:r>
      <w:r w:rsidR="00DC2A2A" w:rsidRPr="00644CB1">
        <w:rPr>
          <w:rFonts w:ascii="Times New Roman" w:hAnsi="Times New Roman"/>
          <w:noProof/>
          <w:color w:val="0D0D0D" w:themeColor="text1" w:themeTint="F2"/>
          <w:lang w:val="en-US"/>
        </w:rPr>
        <w:t>[39]</w:t>
      </w:r>
      <w:r w:rsidR="00DC2A2A"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where students utilized planning tools and developed a Structured Task Analysis, a fundamental tool in event management </w:t>
      </w:r>
      <w:r w:rsidR="003B2F46" w:rsidRPr="00644CB1">
        <w:rPr>
          <w:rFonts w:ascii="Times New Roman" w:hAnsi="Times New Roman"/>
          <w:color w:val="0D0D0D" w:themeColor="text1" w:themeTint="F2"/>
          <w:lang w:val="en-US"/>
        </w:rPr>
        <w:fldChar w:fldCharType="begin" w:fldLock="1"/>
      </w:r>
      <w:r w:rsidR="00A31118" w:rsidRPr="00644CB1">
        <w:rPr>
          <w:rFonts w:ascii="Times New Roman" w:hAnsi="Times New Roman"/>
          <w:color w:val="0D0D0D" w:themeColor="text1" w:themeTint="F2"/>
          <w:lang w:val="en-US"/>
        </w:rPr>
        <w:instrText>ADDIN CSL_CITATION {"citationItems":[{"id":"ITEM-1","itemData":{"author":[{"dropping-particle":"","family":"Afthinos","given":"Yanni","non-dropping-particle":"","parse-names":false,"suffix":""}],"id":"ITEM-1","issued":{"date-parts":[["2015"]]},"publisher":"Sport Option","publisher-place":"Athens","title":"Sport Event Organization [Οργάνωση αθλητικών αγώνων]","type":"book"},"uris":["http://www.mendeley.com/documents/?uuid=943ea676-e5c9-41d2-a534-2671a4925099"]}],"mendeley":{"formattedCitation":"[41]","plainTextFormattedCitation":"[41]","previouslyFormattedCitation":"[41]"},"properties":{"noteIndex":0},"schema":"https://github.com/citation-style-language/schema/raw/master/csl-citation.json"}</w:instrText>
      </w:r>
      <w:r w:rsidR="003B2F46" w:rsidRPr="00644CB1">
        <w:rPr>
          <w:rFonts w:ascii="Times New Roman" w:hAnsi="Times New Roman"/>
          <w:color w:val="0D0D0D" w:themeColor="text1" w:themeTint="F2"/>
          <w:lang w:val="en-US"/>
        </w:rPr>
        <w:fldChar w:fldCharType="separate"/>
      </w:r>
      <w:r w:rsidR="003B2F46" w:rsidRPr="00644CB1">
        <w:rPr>
          <w:rFonts w:ascii="Times New Roman" w:hAnsi="Times New Roman"/>
          <w:noProof/>
          <w:color w:val="0D0D0D" w:themeColor="text1" w:themeTint="F2"/>
          <w:lang w:val="en-US"/>
        </w:rPr>
        <w:t>[41]</w:t>
      </w:r>
      <w:r w:rsidR="003B2F46"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During the implementation phase (third element of the model), organizers gained hands-on experience in managing operations and resolving managerial challenges</w:t>
      </w:r>
      <w:r w:rsidRPr="00741AEE">
        <w:rPr>
          <w:rFonts w:ascii="Times New Roman" w:hAnsi="Times New Roman"/>
          <w:color w:val="0D0D0D" w:themeColor="text1" w:themeTint="F2"/>
          <w:lang w:val="en-US"/>
        </w:rPr>
        <w:t xml:space="preserve">. </w:t>
      </w:r>
      <w:r w:rsidR="00741AEE" w:rsidRPr="007E1414">
        <w:rPr>
          <w:rFonts w:ascii="Times New Roman" w:hAnsi="Times New Roman"/>
          <w:color w:val="0D0D0D" w:themeColor="text1" w:themeTint="F2"/>
          <w:lang w:val="en-US"/>
        </w:rPr>
        <w:t>For example, PMs encountered scheduling conflicts when multiple matches were scheduled simultaneously, which they resolved by implementing staggered time slots. Technical issues arose when some participants experienced connectivity problems with the Face</w:t>
      </w:r>
      <w:r w:rsidR="00EC09E3">
        <w:rPr>
          <w:rFonts w:ascii="Times New Roman" w:hAnsi="Times New Roman"/>
          <w:color w:val="0D0D0D" w:themeColor="text1" w:themeTint="F2"/>
          <w:lang w:val="en-US"/>
        </w:rPr>
        <w:t>b</w:t>
      </w:r>
      <w:r w:rsidR="00741AEE" w:rsidRPr="007E1414">
        <w:rPr>
          <w:rFonts w:ascii="Times New Roman" w:hAnsi="Times New Roman"/>
          <w:color w:val="0D0D0D" w:themeColor="text1" w:themeTint="F2"/>
          <w:lang w:val="en-US"/>
        </w:rPr>
        <w:t>ook platform (in which Top Eleven runs), leading PMs to develop backup communication protocols via email and messaging apps. Additionally, disputes over match results required PMs to establish a formal verification process using timestamped screenshots, demonstrating problem-solving and decision-making competencies in real-time operational contexts.</w:t>
      </w:r>
      <w:r w:rsidR="00741AEE">
        <w:rPr>
          <w:rFonts w:ascii="Times New Roman" w:hAnsi="Times New Roman"/>
          <w:sz w:val="24"/>
          <w:szCs w:val="24"/>
          <w:lang w:val="en-US"/>
        </w:rPr>
        <w:t xml:space="preserve"> </w:t>
      </w:r>
      <w:r w:rsidRPr="00644CB1">
        <w:rPr>
          <w:rFonts w:ascii="Times New Roman" w:hAnsi="Times New Roman"/>
          <w:color w:val="0D0D0D" w:themeColor="text1" w:themeTint="F2"/>
          <w:lang w:val="en-US"/>
        </w:rPr>
        <w:t>Finally, in the evaluation phase (fourth element), both the VIFT and the organizers were assessed by participants, while the organizers were additionally evaluated by the class instructor through a written test and deliverables.</w:t>
      </w:r>
    </w:p>
    <w:p w14:paraId="7BE26407" w14:textId="77777777" w:rsidR="00C6660A" w:rsidRPr="00644CB1" w:rsidRDefault="00C6660A" w:rsidP="00C6660A">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From a marketing perspective, the organizers created a website as the primary communication and information tool for the VIFT. Additionally, they designed and implemented a sponsorship program, which enabled them to secure sponsorships, leading to the awarding of in-kind contributions from sponsors during the virtual closing ceremony.</w:t>
      </w:r>
    </w:p>
    <w:p w14:paraId="52D55F3E" w14:textId="764742B7" w:rsidR="00126981" w:rsidRPr="00644CB1" w:rsidRDefault="00C6660A" w:rsidP="00126981">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The results </w:t>
      </w:r>
      <w:r w:rsidR="008B719D">
        <w:rPr>
          <w:rFonts w:ascii="Times New Roman" w:hAnsi="Times New Roman"/>
          <w:color w:val="0D0D0D" w:themeColor="text1" w:themeTint="F2"/>
          <w:lang w:val="en-US"/>
        </w:rPr>
        <w:t xml:space="preserve">suggest </w:t>
      </w:r>
      <w:r w:rsidRPr="00644CB1">
        <w:rPr>
          <w:rFonts w:ascii="Times New Roman" w:hAnsi="Times New Roman"/>
          <w:color w:val="0D0D0D" w:themeColor="text1" w:themeTint="F2"/>
          <w:lang w:val="en-US"/>
        </w:rPr>
        <w:t xml:space="preserve">that commercial serious games </w:t>
      </w:r>
      <w:r w:rsidR="008B719D">
        <w:rPr>
          <w:rFonts w:ascii="Times New Roman" w:hAnsi="Times New Roman"/>
          <w:color w:val="0D0D0D" w:themeColor="text1" w:themeTint="F2"/>
          <w:lang w:val="en-US"/>
        </w:rPr>
        <w:t>may</w:t>
      </w:r>
      <w:r w:rsidR="008B719D"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 xml:space="preserve">be effectively integrated into sport event management curriculum when combined with structured educational frameworks. The findings indicate that the sport event management skills outlined in Table 2 were effectively developed and positively evaluated by the class instructor, supported by high-quality deliverables, written test performance, and successful VIFT completion. </w:t>
      </w:r>
    </w:p>
    <w:p w14:paraId="03A90274" w14:textId="05AB5CC6" w:rsidR="004B0A20" w:rsidRPr="00644CB1" w:rsidRDefault="00425050" w:rsidP="00D0099F">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The VIFT implementation through Top Eleven serious game yielded significant insights into integrating commercial games with structured educational frameworks. Students progressed through Misfeldt's </w:t>
      </w:r>
      <w:r w:rsidR="00070F93" w:rsidRPr="00644CB1">
        <w:rPr>
          <w:rFonts w:ascii="Times New Roman" w:hAnsi="Times New Roman"/>
          <w:color w:val="0D0D0D" w:themeColor="text1" w:themeTint="F2"/>
          <w:lang w:val="en-US"/>
        </w:rPr>
        <w:fldChar w:fldCharType="begin" w:fldLock="1"/>
      </w:r>
      <w:r w:rsidR="00FF76C1" w:rsidRPr="00644CB1">
        <w:rPr>
          <w:rFonts w:ascii="Times New Roman" w:hAnsi="Times New Roman"/>
          <w:color w:val="0D0D0D" w:themeColor="text1" w:themeTint="F2"/>
          <w:lang w:val="en-US"/>
        </w:rPr>
        <w:instrText>ADDIN CSL_CITATION {"citationItems":[{"id":"ITEM-1","itemData":{"ISSN":"14794403","abstract":"In this paper I describe s how students use a project management simulation game based on an attack-defense mechanism where two teams of players compete by challenging each other’s projects. The project management simulation game is intended to be played by pre-service construction workers and engineers. The gameplay has two parts: a planning part, where the player make managerial decisions about his construction site, and a challenge part where the player chooses between typical problems to occur on the opponent’s construction site. Playing the game involves analyzing both your own and you opponent’s building project for weak spots. The intention of the project management simulation game, is to provide students with an increased sensitivity towards the relation between planning and reality in complex construction projects. The project management simulation game can be interpreted both as a competitive game and as a simulation. Both of these views are meaningful and can be seen as supporting learning. Emphasizing the simulation aspect let us explain how students learn by being immersed into a simulated world, where the players identify with specific roles, live out specific situations, and experiment with relevant parameters. Emphasizing the competition game aspect we can see how play and competition allow players to experience intrinsic motivation and engagement, as well as thinking strategically about their choices, and hence put attention towards all the things that can go wrong in construction work. The goal of the paper is to investigate empirically how these two understandings influence game experience and learning outcome. This question is approached by qualitative post-game interviews about the experienced fun, competition and realism. Specific attention is given to how the understandings of the experience (for instance as a game and as a simulation) is entangled when the students describe their experience. Using the concepts frame and domain it is analyzed how the students conceptualize and make meaning of the particular educational scenario manifested by the project management simulation game. We take as an outset that students interpret the situations in the project management simulation game as relating to one or several domains, especially the domains competition and simulation. Results suggest that the views of the scenario as a competition and as a simulation do coexist, and that these views merge in a subtle way. The players consider the…","author":[{"dropping-particle":"","family":"Misfeldt","given":"Morten","non-dropping-particle":"","parse-names":false,"suffix":""}],"container-title":"Electronic Journal of e-Learning","id":"ITEM-1","issue":"3","issued":{"date-parts":[["2015"]]},"page":"181-191","title":"Scenario based education as a framework for understanding students engagement and learning in a project management simulation game","type":"article-journal","volume":"13"},"uris":["http://www.mendeley.com/documents/?uuid=092313e4-c29d-4f9b-b151-b70746c3b863"]}],"mendeley":{"formattedCitation":"[45]","plainTextFormattedCitation":"[45]","previouslyFormattedCitation":"[45]"},"properties":{"noteIndex":0},"schema":"https://github.com/citation-style-language/schema/raw/master/csl-citation.json"}</w:instrText>
      </w:r>
      <w:r w:rsidR="00070F93" w:rsidRPr="00644CB1">
        <w:rPr>
          <w:rFonts w:ascii="Times New Roman" w:hAnsi="Times New Roman"/>
          <w:color w:val="0D0D0D" w:themeColor="text1" w:themeTint="F2"/>
          <w:lang w:val="en-US"/>
        </w:rPr>
        <w:fldChar w:fldCharType="separate"/>
      </w:r>
      <w:r w:rsidR="00070F93" w:rsidRPr="00644CB1">
        <w:rPr>
          <w:rFonts w:ascii="Times New Roman" w:hAnsi="Times New Roman"/>
          <w:noProof/>
          <w:color w:val="0D0D0D" w:themeColor="text1" w:themeTint="F2"/>
          <w:lang w:val="en-US"/>
        </w:rPr>
        <w:t>[45]</w:t>
      </w:r>
      <w:r w:rsidR="00070F93" w:rsidRPr="00644CB1">
        <w:rPr>
          <w:rFonts w:ascii="Times New Roman" w:hAnsi="Times New Roman"/>
          <w:color w:val="0D0D0D" w:themeColor="text1" w:themeTint="F2"/>
          <w:lang w:val="en-US"/>
        </w:rPr>
        <w:fldChar w:fldCharType="end"/>
      </w:r>
      <w:r w:rsidR="00FF76C1"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 xml:space="preserve">scenario-based model and Salem </w:t>
      </w:r>
      <w:r w:rsidRPr="00644CB1">
        <w:rPr>
          <w:rFonts w:ascii="Times New Roman" w:hAnsi="Times New Roman"/>
          <w:i/>
          <w:iCs/>
          <w:color w:val="0D0D0D" w:themeColor="text1" w:themeTint="F2"/>
          <w:lang w:val="en-US"/>
        </w:rPr>
        <w:t>et al</w:t>
      </w:r>
      <w:r w:rsidRPr="00644CB1">
        <w:rPr>
          <w:rFonts w:ascii="Times New Roman" w:hAnsi="Times New Roman"/>
          <w:color w:val="0D0D0D" w:themeColor="text1" w:themeTint="F2"/>
          <w:lang w:val="en-US"/>
        </w:rPr>
        <w:t xml:space="preserve">.'s </w:t>
      </w:r>
      <w:r w:rsidR="00FF76C1" w:rsidRPr="00644CB1">
        <w:rPr>
          <w:rFonts w:ascii="Times New Roman" w:hAnsi="Times New Roman"/>
          <w:color w:val="0D0D0D" w:themeColor="text1" w:themeTint="F2"/>
          <w:lang w:val="en-US"/>
        </w:rPr>
        <w:fldChar w:fldCharType="begin" w:fldLock="1"/>
      </w:r>
      <w:r w:rsidR="00466BBD" w:rsidRPr="00644CB1">
        <w:rPr>
          <w:rFonts w:ascii="Times New Roman" w:hAnsi="Times New Roman"/>
          <w:color w:val="0D0D0D" w:themeColor="text1" w:themeTint="F2"/>
          <w:lang w:val="en-US"/>
        </w:rPr>
        <w:instrText>ADDIN CSL_CITATION {"citationItems":[{"id":"ITEM-1","itemData":{"ISBN":"978-0-7506-5872-0","author":[{"dropping-particle":"","family":"Salem","given":"G.","non-dropping-particle":"","parse-names":false,"suffix":""},{"dropping-particle":"","family":"Jones","given":"E.","non-dropping-particle":"","parse-names":false,"suffix":""},{"dropping-particle":"","family":"Morgan","given":"N.","non-dropping-particle":"","parse-names":false,"suffix":""}],"container-title":"Festival and events management: an international arts and culture perspective","editor":[{"dropping-particle":"","family":"Yeoman","given":"I.","non-dropping-particle":"","parse-names":false,"suffix":""},{"dropping-particle":"","family":"Robertson","given":"M.","non-dropping-particle":"","parse-names":false,"suffix":""},{"dropping-particle":"","family":"Ali-Knight","given":"J.A.","non-dropping-particle":"","parse-names":false,"suffix":""},{"dropping-particle":"","family":"Drummond","given":"S.","non-dropping-particle":"","parse-names":false,"suffix":""},{"dropping-particle":"","family":"McMahon-Beattie","given":"U.","non-dropping-particle":"","parse-names":false,"suffix":""}],"id":"ITEM-1","issued":{"date-parts":[["2014"]]},"page":"14-31","publisher":"Elsevier Butterworth-Heinemann","publisher-place":"Boston, MA","title":"An overview of events management","type":"chapter"},"uris":["http://www.mendeley.com/documents/?uuid=74ce0dc2-1ee2-4d79-8055-f405e3731374"]}],"mendeley":{"formattedCitation":"[38]","plainTextFormattedCitation":"[38]","previouslyFormattedCitation":"[38]"},"properties":{"noteIndex":0},"schema":"https://github.com/citation-style-language/schema/raw/master/csl-citation.json"}</w:instrText>
      </w:r>
      <w:r w:rsidR="00FF76C1" w:rsidRPr="00644CB1">
        <w:rPr>
          <w:rFonts w:ascii="Times New Roman" w:hAnsi="Times New Roman"/>
          <w:color w:val="0D0D0D" w:themeColor="text1" w:themeTint="F2"/>
          <w:lang w:val="en-US"/>
        </w:rPr>
        <w:fldChar w:fldCharType="separate"/>
      </w:r>
      <w:r w:rsidR="00FF76C1" w:rsidRPr="00644CB1">
        <w:rPr>
          <w:rFonts w:ascii="Times New Roman" w:hAnsi="Times New Roman"/>
          <w:noProof/>
          <w:color w:val="0D0D0D" w:themeColor="text1" w:themeTint="F2"/>
          <w:lang w:val="en-US"/>
        </w:rPr>
        <w:t>[38]</w:t>
      </w:r>
      <w:r w:rsidR="00FF76C1" w:rsidRPr="00644CB1">
        <w:rPr>
          <w:rFonts w:ascii="Times New Roman" w:hAnsi="Times New Roman"/>
          <w:color w:val="0D0D0D" w:themeColor="text1" w:themeTint="F2"/>
          <w:lang w:val="en-US"/>
        </w:rPr>
        <w:fldChar w:fldCharType="end"/>
      </w:r>
      <w:r w:rsidR="00FF76C1"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four-phase Unified Model, from mission definition to comprehensive evaluation, while developing practical deliverables including website development, sponsorship programs, and securing in-kind contributions.</w:t>
      </w:r>
      <w:r w:rsidR="00126981" w:rsidRPr="00644CB1">
        <w:rPr>
          <w:rFonts w:ascii="Times New Roman" w:hAnsi="Times New Roman"/>
          <w:color w:val="0D0D0D" w:themeColor="text1" w:themeTint="F2"/>
          <w:lang w:val="en-US"/>
        </w:rPr>
        <w:t xml:space="preserve"> </w:t>
      </w:r>
    </w:p>
    <w:p w14:paraId="44F0F722" w14:textId="3DFED102" w:rsidR="001D79B7" w:rsidRPr="00644CB1" w:rsidRDefault="00425050" w:rsidP="00D0099F">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These findings align with research demonstrating that serious games foster experiential, student-centered learning </w:t>
      </w:r>
      <w:r w:rsidR="000C1521" w:rsidRPr="00644CB1">
        <w:rPr>
          <w:rFonts w:ascii="Times New Roman" w:hAnsi="Times New Roman"/>
          <w:color w:val="0D0D0D" w:themeColor="text1" w:themeTint="F2"/>
          <w:lang w:val="en-US"/>
        </w:rPr>
        <w:fldChar w:fldCharType="begin" w:fldLock="1"/>
      </w:r>
      <w:r w:rsidR="00A6572C" w:rsidRPr="00644CB1">
        <w:rPr>
          <w:rFonts w:ascii="Times New Roman" w:hAnsi="Times New Roman"/>
          <w:color w:val="0D0D0D" w:themeColor="text1" w:themeTint="F2"/>
          <w:lang w:val="en-US"/>
        </w:rPr>
        <w:instrText>ADDIN CSL_CITATION {"citationItems":[{"id":"ITEM-1","itemData":{"DOI":"10.3389/feduc.2025.1511729","ISSN":"2504284X","abstract":"Introduction: The present systematic review aims to synthesize and critically analyze the use of serious games in the professional training and education of psychologists and psychology students. Methods: Following PRISMA guidelines, database searches from inception to July 2023 (PsycINFO, PubMed, Web of Science, and Scopus) yielded 4,409 records, of which 14 met the eligibility criteria, including 17 studies. Quality assessment was performed using the Newcastle-Ottawa Scale and the Risk of Bias Tool for Randomized Trials. Results: The review identified three pivotal areas where serious games demonstrated significant educational impact: enhancing psychological traits and attitudes (e.g., prejudice, empathy), promoting theoretical knowledge acquisition (e.g., biopsychology), and developing professional skills (e.g., investigative interview with children). Serious games, particularly those providing feedback and modeling, significantly enhance the quality of learning and training for psychology students and professionals. Discussion: Key findings revealed that serious games operate by offering realistic, engaging, and flexible learning environments while mitigating risks associated with real-world practice. Methodological limitations, including moderate to high risk of bias in many studies, especially those that relied on cross-sectional data, underscore the need for rigorous designs and long-term evaluations. Practical implications suggest integrating serious games into curricula to address gaps in experiential learning for psychologists, facilitating skill development and knowledge retention. Future research should explore the long-term impact of serious games on professional competencies and assess their applicability across diverse educational contexts.","author":[{"dropping-particle":"","family":"Facchino","given":"Antonio Pio","non-dropping-particle":"","parse-names":false,"suffix":""},{"dropping-particle":"","family":"Marchetti","given":"Daniela","non-dropping-particle":"","parse-names":false,"suffix":""},{"dropping-particle":"","family":"Colasanti","given":"Marco","non-dropping-particle":"","parse-names":false,"suffix":""},{"dropping-particle":"","family":"Fontanesi","given":"Lilybeth","non-dropping-particle":"","parse-names":false,"suffix":""},{"dropping-particle":"","family":"Verrocchio","given":"Maria Cristina","non-dropping-particle":"","parse-names":false,"suffix":""}],"container-title":"Frontiers in Education","id":"ITEM-1","issued":{"date-parts":[["2025"]]},"title":"The use of serious games for psychological education and training: a systematic review","type":"article-journal","volume":"10"},"uris":["http://www.mendeley.com/documents/?uuid=9b4b1401-e51a-45eb-acf8-a622b5ddff02"]}],"mendeley":{"formattedCitation":"[51]","plainTextFormattedCitation":"[51]","previouslyFormattedCitation":"[51]"},"properties":{"noteIndex":0},"schema":"https://github.com/citation-style-language/schema/raw/master/csl-citation.json"}</w:instrText>
      </w:r>
      <w:r w:rsidR="000C1521" w:rsidRPr="00644CB1">
        <w:rPr>
          <w:rFonts w:ascii="Times New Roman" w:hAnsi="Times New Roman"/>
          <w:color w:val="0D0D0D" w:themeColor="text1" w:themeTint="F2"/>
          <w:lang w:val="en-US"/>
        </w:rPr>
        <w:fldChar w:fldCharType="separate"/>
      </w:r>
      <w:r w:rsidR="000C1521" w:rsidRPr="00644CB1">
        <w:rPr>
          <w:rFonts w:ascii="Times New Roman" w:hAnsi="Times New Roman"/>
          <w:noProof/>
          <w:color w:val="0D0D0D" w:themeColor="text1" w:themeTint="F2"/>
          <w:lang w:val="en-US"/>
        </w:rPr>
        <w:t>[51]</w:t>
      </w:r>
      <w:r w:rsidR="000C1521"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though our study extends this by embedding sport management and marketing tools within the game environment. The successful deliverable completion validates findings that experiential learning bridges the gap between academic learning and professional readiness</w:t>
      </w:r>
      <w:r w:rsidR="00A6572C" w:rsidRPr="00644CB1">
        <w:rPr>
          <w:rFonts w:ascii="Times New Roman" w:hAnsi="Times New Roman"/>
          <w:color w:val="0D0D0D" w:themeColor="text1" w:themeTint="F2"/>
          <w:lang w:val="en-US"/>
        </w:rPr>
        <w:t xml:space="preserve"> </w:t>
      </w:r>
      <w:r w:rsidR="00A6572C" w:rsidRPr="00644CB1">
        <w:rPr>
          <w:rFonts w:ascii="Times New Roman" w:hAnsi="Times New Roman"/>
          <w:color w:val="0D0D0D" w:themeColor="text1" w:themeTint="F2"/>
          <w:lang w:val="en-US"/>
        </w:rPr>
        <w:fldChar w:fldCharType="begin" w:fldLock="1"/>
      </w:r>
      <w:r w:rsidR="00826714" w:rsidRPr="00644CB1">
        <w:rPr>
          <w:rFonts w:ascii="Times New Roman" w:hAnsi="Times New Roman"/>
          <w:color w:val="0D0D0D" w:themeColor="text1" w:themeTint="F2"/>
          <w:lang w:val="en-US"/>
        </w:rPr>
        <w:instrText>ADDIN CSL_CITATION {"citationItems":[{"id":"ITEM-1","itemData":{"DOI":"10.1111/bjet.12226","ISSN":"0007-1013","abstract":"Serious games are generally considered to induce positive effects in the areas of learning motivation and learning gains. Yet few studies have examined how these factors are related. Therefore, an empirical study was conducted to test the relationship between anticipated enjoyment and willingness to play, as well as between game enjoyment, self‐reported cognitive and motivational learning gains and test results. In an explorative study, 74 children from five primary schools played the learning game AWWWARE . The results of pre‐ and post‐tests were analysed using multiple linear regressions. The analysis showed that anticipated enjoyment played only a minor part in students' willingness to learn with serious games. Of greater importance was the students' expectation that the learning game would be easy and instructive. The level of actual enjoyment of the game also had a smaller influence than expected. While there was a correlation between enjoyment and the motivation to continue being engaged with the subject matter of the game, no effect was found with respect to self‐assessed or tested learning gains. The results lead to the conclusion that other factors, such as explicit learning tasks, instruction and support inherent in the game or supplemented by teachers, may be more decisive than the experience of fun during the game.","author":[{"dropping-particle":"","family":"Iten","given":"Nina","non-dropping-particle":"","parse-names":false,"suffix":""},{"dropping-particle":"","family":"Petko","given":"Dominik","non-dropping-particle":"","parse-names":false,"suffix":""}],"container-title":"British Journal of Educational Technology","id":"ITEM-1","issue":"1","issued":{"date-parts":[["2016","1","11"]]},"page":"151-163","title":"Learning with serious games: Is fun playing the game a predictor of learning success?","type":"article-journal","volume":"47"},"uris":["http://www.mendeley.com/documents/?uuid=1aa5818d-6dfc-4856-b74b-6cda438c465a"]}],"mendeley":{"formattedCitation":"[52]","plainTextFormattedCitation":"[52]","previouslyFormattedCitation":"[52]"},"properties":{"noteIndex":0},"schema":"https://github.com/citation-style-language/schema/raw/master/csl-citation.json"}</w:instrText>
      </w:r>
      <w:r w:rsidR="00A6572C" w:rsidRPr="00644CB1">
        <w:rPr>
          <w:rFonts w:ascii="Times New Roman" w:hAnsi="Times New Roman"/>
          <w:color w:val="0D0D0D" w:themeColor="text1" w:themeTint="F2"/>
          <w:lang w:val="en-US"/>
        </w:rPr>
        <w:fldChar w:fldCharType="separate"/>
      </w:r>
      <w:r w:rsidR="00A6572C" w:rsidRPr="00644CB1">
        <w:rPr>
          <w:rFonts w:ascii="Times New Roman" w:hAnsi="Times New Roman"/>
          <w:noProof/>
          <w:color w:val="0D0D0D" w:themeColor="text1" w:themeTint="F2"/>
          <w:lang w:val="en-US"/>
        </w:rPr>
        <w:t>[52]</w:t>
      </w:r>
      <w:r w:rsidR="00A6572C"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w:t>
      </w:r>
    </w:p>
    <w:p w14:paraId="3D4F2ED6" w14:textId="6380CC71" w:rsidR="004B0A20" w:rsidRPr="00644CB1" w:rsidRDefault="00425050" w:rsidP="00D0099F">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lastRenderedPageBreak/>
        <w:t>However, our approach reveals critical distinctions from existing literature.</w:t>
      </w:r>
      <w:r w:rsidR="001D79B7"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First, while previous research identifies expected learning performance as the primary factor in serious game acceptance</w:t>
      </w:r>
      <w:r w:rsidRPr="00644CB1">
        <w:rPr>
          <w:rFonts w:ascii="Times New Roman" w:hAnsi="Times New Roman"/>
          <w:color w:val="0D0D0D" w:themeColor="text1" w:themeTint="F2"/>
        </w:rPr>
        <w:t xml:space="preserve"> </w:t>
      </w:r>
      <w:r w:rsidR="00826714" w:rsidRPr="00644CB1">
        <w:rPr>
          <w:rFonts w:ascii="Times New Roman" w:hAnsi="Times New Roman"/>
          <w:color w:val="0D0D0D" w:themeColor="text1" w:themeTint="F2"/>
        </w:rPr>
        <w:fldChar w:fldCharType="begin" w:fldLock="1"/>
      </w:r>
      <w:r w:rsidR="00163E0D" w:rsidRPr="00644CB1">
        <w:rPr>
          <w:rFonts w:ascii="Times New Roman" w:hAnsi="Times New Roman"/>
          <w:color w:val="0D0D0D" w:themeColor="text1" w:themeTint="F2"/>
        </w:rPr>
        <w:instrText>ADDIN CSL_CITATION {"citationItems":[{"id":"ITEM-1","itemData":{"DOI":"10.1007/978-981-19-0351-9_74-1","author":[{"dropping-particle":"","family":"Schrader","given":"Claudia","non-dropping-particle":"","parse-names":false,"suffix":""}],"container-title":"Handbook of Open, Distance and Digital Education","id":"ITEM-1","issued":{"date-parts":[["2022"]]},"page":"1-14","publisher":"Springer Singapore","publisher-place":"Singapore","title":"Serious Games and Game-Based Learning","type":"chapter"},"uris":["http://www.mendeley.com/documents/?uuid=9d903544-231e-48ef-a9d5-ee49f7c57d11"]}],"mendeley":{"formattedCitation":"[50]","plainTextFormattedCitation":"[50]","previouslyFormattedCitation":"[50]"},"properties":{"noteIndex":0},"schema":"https://github.com/citation-style-language/schema/raw/master/csl-citation.json"}</w:instrText>
      </w:r>
      <w:r w:rsidR="00826714" w:rsidRPr="00644CB1">
        <w:rPr>
          <w:rFonts w:ascii="Times New Roman" w:hAnsi="Times New Roman"/>
          <w:color w:val="0D0D0D" w:themeColor="text1" w:themeTint="F2"/>
        </w:rPr>
        <w:fldChar w:fldCharType="separate"/>
      </w:r>
      <w:r w:rsidR="00826714" w:rsidRPr="00644CB1">
        <w:rPr>
          <w:rFonts w:ascii="Times New Roman" w:hAnsi="Times New Roman"/>
          <w:noProof/>
          <w:color w:val="0D0D0D" w:themeColor="text1" w:themeTint="F2"/>
        </w:rPr>
        <w:t>[50]</w:t>
      </w:r>
      <w:r w:rsidR="00826714" w:rsidRPr="00644CB1">
        <w:rPr>
          <w:rFonts w:ascii="Times New Roman" w:hAnsi="Times New Roman"/>
          <w:color w:val="0D0D0D" w:themeColor="text1" w:themeTint="F2"/>
        </w:rPr>
        <w:fldChar w:fldCharType="end"/>
      </w:r>
      <w:r w:rsidRPr="00644CB1">
        <w:rPr>
          <w:rFonts w:ascii="Times New Roman" w:hAnsi="Times New Roman"/>
          <w:color w:val="0D0D0D" w:themeColor="text1" w:themeTint="F2"/>
          <w:lang w:val="en-US"/>
        </w:rPr>
        <w:t xml:space="preserve">, our dual-framework integration </w:t>
      </w:r>
      <w:r w:rsidR="00D6461C" w:rsidRPr="00644CB1">
        <w:rPr>
          <w:rFonts w:ascii="Times New Roman" w:hAnsi="Times New Roman"/>
          <w:color w:val="0D0D0D" w:themeColor="text1" w:themeTint="F2"/>
          <w:lang w:val="en-US"/>
        </w:rPr>
        <w:fldChar w:fldCharType="begin" w:fldLock="1"/>
      </w:r>
      <w:r w:rsidR="00DC4E6A" w:rsidRPr="00644CB1">
        <w:rPr>
          <w:rFonts w:ascii="Times New Roman" w:hAnsi="Times New Roman"/>
          <w:color w:val="0D0D0D" w:themeColor="text1" w:themeTint="F2"/>
          <w:lang w:val="en-US"/>
        </w:rPr>
        <w:instrText>ADDIN CSL_CITATION {"citationItems":[{"id":"ITEM-1","itemData":{"ISSN":"14794403","abstract":"In this paper I describe s how students use a project management simulation game based on an attack-defense mechanism where two teams of players compete by challenging each other’s projects. The project management simulation game is intended to be played by pre-service construction workers and engineers. The gameplay has two parts: a planning part, where the player make managerial decisions about his construction site, and a challenge part where the player chooses between typical problems to occur on the opponent’s construction site. Playing the game involves analyzing both your own and you opponent’s building project for weak spots. The intention of the project management simulation game, is to provide students with an increased sensitivity towards the relation between planning and reality in complex construction projects. The project management simulation game can be interpreted both as a competitive game and as a simulation. Both of these views are meaningful and can be seen as supporting learning. Emphasizing the simulation aspect let us explain how students learn by being immersed into a simulated world, where the players identify with specific roles, live out specific situations, and experiment with relevant parameters. Emphasizing the competition game aspect we can see how play and competition allow players to experience intrinsic motivation and engagement, as well as thinking strategically about their choices, and hence put attention towards all the things that can go wrong in construction work. The goal of the paper is to investigate empirically how these two understandings influence game experience and learning outcome. This question is approached by qualitative post-game interviews about the experienced fun, competition and realism. Specific attention is given to how the understandings of the experience (for instance as a game and as a simulation) is entangled when the students describe their experience. Using the concepts frame and domain it is analyzed how the students conceptualize and make meaning of the particular educational scenario manifested by the project management simulation game. We take as an outset that students interpret the situations in the project management simulation game as relating to one or several domains, especially the domains competition and simulation. Results suggest that the views of the scenario as a competition and as a simulation do coexist, and that these views merge in a subtle way. The players consider the…","author":[{"dropping-particle":"","family":"Misfeldt","given":"Morten","non-dropping-particle":"","parse-names":false,"suffix":""}],"container-title":"Electronic Journal of e-Learning","id":"ITEM-1","issue":"3","issued":{"date-parts":[["2015"]]},"page":"181-191","title":"Scenario based education as a framework for understanding students engagement and learning in a project management simulation game","type":"article-journal","volume":"13"},"uris":["http://www.mendeley.com/documents/?uuid=092313e4-c29d-4f9b-b151-b70746c3b863"]},{"id":"ITEM-2","itemData":{"ISBN":"978-0-7506-5872-0","author":[{"dropping-particle":"","family":"Salem","given":"G.","non-dropping-particle":"","parse-names":false,"suffix":""},{"dropping-particle":"","family":"Jones","given":"E.","non-dropping-particle":"","parse-names":false,"suffix":""},{"dropping-particle":"","family":"Morgan","given":"N.","non-dropping-particle":"","parse-names":false,"suffix":""}],"container-title":"Festival and events management: an international arts and culture perspective","editor":[{"dropping-particle":"","family":"Yeoman","given":"I.","non-dropping-particle":"","parse-names":false,"suffix":""},{"dropping-particle":"","family":"Robertson","given":"M.","non-dropping-particle":"","parse-names":false,"suffix":""},{"dropping-particle":"","family":"Ali-Knight","given":"J.A.","non-dropping-particle":"","parse-names":false,"suffix":""},{"dropping-particle":"","family":"Drummond","given":"S.","non-dropping-particle":"","parse-names":false,"suffix":""},{"dropping-particle":"","family":"McMahon-Beattie","given":"U.","non-dropping-particle":"","parse-names":false,"suffix":""}],"id":"ITEM-2","issued":{"date-parts":[["2014"]]},"page":"14-31","publisher":"Elsevier Butterworth-Heinemann","publisher-place":"Boston, MA","title":"An overview of events management","type":"chapter"},"uris":["http://www.mendeley.com/documents/?uuid=74ce0dc2-1ee2-4d79-8055-f405e3731374"]}],"mendeley":{"formattedCitation":"[38], [45]","plainTextFormattedCitation":"[38], [45]","previouslyFormattedCitation":"[38], [45]"},"properties":{"noteIndex":0},"schema":"https://github.com/citation-style-language/schema/raw/master/csl-citation.json"}</w:instrText>
      </w:r>
      <w:r w:rsidR="00D6461C" w:rsidRPr="00644CB1">
        <w:rPr>
          <w:rFonts w:ascii="Times New Roman" w:hAnsi="Times New Roman"/>
          <w:color w:val="0D0D0D" w:themeColor="text1" w:themeTint="F2"/>
          <w:lang w:val="en-US"/>
        </w:rPr>
        <w:fldChar w:fldCharType="separate"/>
      </w:r>
      <w:r w:rsidR="00D6461C" w:rsidRPr="00644CB1">
        <w:rPr>
          <w:rFonts w:ascii="Times New Roman" w:hAnsi="Times New Roman"/>
          <w:noProof/>
          <w:color w:val="0D0D0D" w:themeColor="text1" w:themeTint="F2"/>
          <w:lang w:val="en-US"/>
        </w:rPr>
        <w:t>[38], [45]</w:t>
      </w:r>
      <w:r w:rsidR="00D6461C"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demonstrates that structured scaffolding</w:t>
      </w:r>
      <w:r w:rsidR="008B719D">
        <w:rPr>
          <w:rFonts w:ascii="Times New Roman" w:hAnsi="Times New Roman"/>
          <w:color w:val="0D0D0D" w:themeColor="text1" w:themeTint="F2"/>
          <w:lang w:val="en-US"/>
        </w:rPr>
        <w:t xml:space="preserve"> may</w:t>
      </w:r>
      <w:r w:rsidRPr="00644CB1">
        <w:rPr>
          <w:rFonts w:ascii="Times New Roman" w:hAnsi="Times New Roman"/>
          <w:color w:val="0D0D0D" w:themeColor="text1" w:themeTint="F2"/>
          <w:lang w:val="en-US"/>
        </w:rPr>
        <w:t xml:space="preserve"> elevate engagement beyond mere acceptance to measurable skill development in operational planning, stakeholder management, and marketing communications. Second, unlike studies where serious games primarily target cognitive outcomes</w:t>
      </w:r>
      <w:r w:rsidR="00DC714C" w:rsidRPr="00644CB1">
        <w:rPr>
          <w:rFonts w:ascii="Times New Roman" w:hAnsi="Times New Roman"/>
          <w:color w:val="0D0D0D" w:themeColor="text1" w:themeTint="F2"/>
          <w:lang w:val="en-US"/>
        </w:rPr>
        <w:t xml:space="preserve"> </w:t>
      </w:r>
      <w:r w:rsidR="00A31118" w:rsidRPr="00644CB1">
        <w:rPr>
          <w:rFonts w:ascii="Times New Roman" w:hAnsi="Times New Roman"/>
          <w:color w:val="0D0D0D" w:themeColor="text1" w:themeTint="F2"/>
          <w:lang w:val="en-US"/>
        </w:rPr>
        <w:fldChar w:fldCharType="begin" w:fldLock="1"/>
      </w:r>
      <w:r w:rsidR="00D6461C" w:rsidRPr="00644CB1">
        <w:rPr>
          <w:rFonts w:ascii="Times New Roman" w:hAnsi="Times New Roman"/>
          <w:color w:val="0D0D0D" w:themeColor="text1" w:themeTint="F2"/>
          <w:lang w:val="en-US"/>
        </w:rPr>
        <w:instrText>ADDIN CSL_CITATION {"citationItems":[{"id":"ITEM-1","itemData":{"DOI":"10.1186/s41239-017-0062-1","ISBN":"4123901700","ISSN":"23659440","abstract":"The focus of higher education institutions is the preparation of future professionals. To achieve this aim, innovative teaching methods are often deployed, including games and simulations, which form the subject of this paper. As the field of digital games and simulations is ever maturing, this paper attempts to systematically review the literature relevant to games and simulation pedagogy in higher education. Two researchers collaborate to apply a qualitative method, coding and synthesizing the results using multiple criteria. The main objective is to study the impact of games and simulations with regard to achieving specific learning objectives. On balance, results indicate that games and/or simulations have a positive impact on learning goals. The researchers identify three learning outcomes when integrating games into the learning process: cognitive, behavioural, and affective. As a final step, the authors consolidate evidence for the benefit of academics and practitioners in higher education interested in the efficient use of games and simulations for pedagogical purposes. Such evidence also provides potential options and pathways for future research.","author":[{"dropping-particle":"","family":"Vlachopoulos","given":"Dimitrios","non-dropping-particle":"","parse-names":false,"suffix":""},{"dropping-particle":"","family":"Makri","given":"Agoritsa","non-dropping-particle":"","parse-names":false,"suffix":""}],"container-title":"International Journal of Educational Technology in Higher Education","id":"ITEM-1","issue":"1","issued":{"date-parts":[["2017"]]},"number-of-pages":"1-33","publisher":"International Journal of Educational Technology in Higher Education","title":"The effect of games and simulations on higher education: a systematic literature review","type":"book","volume":"14"},"uris":["http://www.mendeley.com/documents/?uuid=d6e654e7-80de-46ef-b60e-76d06588330b"]}],"mendeley":{"formattedCitation":"[1]","plainTextFormattedCitation":"[1]","previouslyFormattedCitation":"[1]"},"properties":{"noteIndex":0},"schema":"https://github.com/citation-style-language/schema/raw/master/csl-citation.json"}</w:instrText>
      </w:r>
      <w:r w:rsidR="00A31118" w:rsidRPr="00644CB1">
        <w:rPr>
          <w:rFonts w:ascii="Times New Roman" w:hAnsi="Times New Roman"/>
          <w:color w:val="0D0D0D" w:themeColor="text1" w:themeTint="F2"/>
          <w:lang w:val="en-US"/>
        </w:rPr>
        <w:fldChar w:fldCharType="separate"/>
      </w:r>
      <w:r w:rsidR="00A31118" w:rsidRPr="00644CB1">
        <w:rPr>
          <w:rFonts w:ascii="Times New Roman" w:hAnsi="Times New Roman"/>
          <w:noProof/>
          <w:color w:val="0D0D0D" w:themeColor="text1" w:themeTint="F2"/>
          <w:lang w:val="en-US"/>
        </w:rPr>
        <w:t>[1]</w:t>
      </w:r>
      <w:r w:rsidR="00A31118"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the VIFT deliberately emphasized behavioral competencies through hands-on operational challenge</w:t>
      </w:r>
      <w:r w:rsidR="00D47D03"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s and sponsorship negotiations, addressing both technical and soft skills</w:t>
      </w:r>
      <w:r w:rsidR="0094582E" w:rsidRPr="0094582E">
        <w:rPr>
          <w:rFonts w:ascii="Times New Roman" w:hAnsi="Times New Roman"/>
          <w:color w:val="0D0D0D" w:themeColor="text1" w:themeTint="F2"/>
          <w:lang w:val="en-US"/>
        </w:rPr>
        <w:t xml:space="preserve"> - </w:t>
      </w:r>
      <w:r w:rsidRPr="00644CB1">
        <w:rPr>
          <w:rFonts w:ascii="Times New Roman" w:hAnsi="Times New Roman"/>
          <w:color w:val="0D0D0D" w:themeColor="text1" w:themeTint="F2"/>
          <w:lang w:val="en-US"/>
        </w:rPr>
        <w:t>a more holistic approach than typical implementations.</w:t>
      </w:r>
    </w:p>
    <w:p w14:paraId="080DF69D" w14:textId="0FB254EC" w:rsidR="00425050" w:rsidRPr="00644CB1" w:rsidRDefault="00425050" w:rsidP="00D0099F">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The sponsorship component particularly demonstrates what research describes as professional role alignment</w:t>
      </w:r>
      <w:r w:rsidR="00163E0D" w:rsidRPr="00644CB1">
        <w:rPr>
          <w:rFonts w:ascii="Times New Roman" w:hAnsi="Times New Roman"/>
          <w:color w:val="0D0D0D" w:themeColor="text1" w:themeTint="F2"/>
          <w:lang w:val="en-US"/>
        </w:rPr>
        <w:t xml:space="preserve"> </w:t>
      </w:r>
      <w:r w:rsidR="00163E0D" w:rsidRPr="00644CB1">
        <w:rPr>
          <w:rFonts w:ascii="Times New Roman" w:hAnsi="Times New Roman"/>
          <w:color w:val="0D0D0D" w:themeColor="text1" w:themeTint="F2"/>
          <w:lang w:val="en-US"/>
        </w:rPr>
        <w:fldChar w:fldCharType="begin" w:fldLock="1"/>
      </w:r>
      <w:r w:rsidR="00EB5EEE" w:rsidRPr="00644CB1">
        <w:rPr>
          <w:rFonts w:ascii="Times New Roman" w:hAnsi="Times New Roman"/>
          <w:color w:val="0D0D0D" w:themeColor="text1" w:themeTint="F2"/>
          <w:lang w:val="en-US"/>
        </w:rPr>
        <w:instrText>ADDIN CSL_CITATION {"citationItems":[{"id":"ITEM-1","itemData":{"DOI":"10.1111/bjet.12226","ISSN":"0007-1013","abstract":"Serious games are generally considered to induce positive effects in the areas of learning motivation and learning gains. Yet few studies have examined how these factors are related. Therefore, an empirical study was conducted to test the relationship between anticipated enjoyment and willingness to play, as well as between game enjoyment, self‐reported cognitive and motivational learning gains and test results. In an explorative study, 74 children from five primary schools played the learning game AWWWARE . The results of pre‐ and post‐tests were analysed using multiple linear regressions. The analysis showed that anticipated enjoyment played only a minor part in students' willingness to learn with serious games. Of greater importance was the students' expectation that the learning game would be easy and instructive. The level of actual enjoyment of the game also had a smaller influence than expected. While there was a correlation between enjoyment and the motivation to continue being engaged with the subject matter of the game, no effect was found with respect to self‐assessed or tested learning gains. The results lead to the conclusion that other factors, such as explicit learning tasks, instruction and support inherent in the game or supplemented by teachers, may be more decisive than the experience of fun during the game.","author":[{"dropping-particle":"","family":"Iten","given":"Nina","non-dropping-particle":"","parse-names":false,"suffix":""},{"dropping-particle":"","family":"Petko","given":"Dominik","non-dropping-particle":"","parse-names":false,"suffix":""}],"container-title":"British Journal of Educational Technology","id":"ITEM-1","issue":"1","issued":{"date-parts":[["2016","1","11"]]},"page":"151-163","title":"Learning with serious games: Is fun playing the game a predictor of learning success?","type":"article-journal","volume":"47"},"uris":["http://www.mendeley.com/documents/?uuid=1aa5818d-6dfc-4856-b74b-6cda438c465a"]}],"mendeley":{"formattedCitation":"[52]","plainTextFormattedCitation":"[52]","previouslyFormattedCitation":"[52]"},"properties":{"noteIndex":0},"schema":"https://github.com/citation-style-language/schema/raw/master/csl-citation.json"}</w:instrText>
      </w:r>
      <w:r w:rsidR="00163E0D" w:rsidRPr="00644CB1">
        <w:rPr>
          <w:rFonts w:ascii="Times New Roman" w:hAnsi="Times New Roman"/>
          <w:color w:val="0D0D0D" w:themeColor="text1" w:themeTint="F2"/>
          <w:lang w:val="en-US"/>
        </w:rPr>
        <w:fldChar w:fldCharType="separate"/>
      </w:r>
      <w:r w:rsidR="00163E0D" w:rsidRPr="00644CB1">
        <w:rPr>
          <w:rFonts w:ascii="Times New Roman" w:hAnsi="Times New Roman"/>
          <w:noProof/>
          <w:color w:val="0D0D0D" w:themeColor="text1" w:themeTint="F2"/>
          <w:lang w:val="en-US"/>
        </w:rPr>
        <w:t>[52]</w:t>
      </w:r>
      <w:r w:rsidR="00163E0D"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suggesting commercial serious games with authentic scenarios </w:t>
      </w:r>
      <w:r w:rsidR="008B719D">
        <w:rPr>
          <w:rFonts w:ascii="Times New Roman" w:hAnsi="Times New Roman"/>
          <w:color w:val="0D0D0D" w:themeColor="text1" w:themeTint="F2"/>
          <w:lang w:val="en-US"/>
        </w:rPr>
        <w:t>may</w:t>
      </w:r>
      <w:r w:rsidR="008B719D"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 xml:space="preserve">simulate sport event marketing complexity better than traditional case studies. This </w:t>
      </w:r>
      <w:r w:rsidR="008B719D">
        <w:rPr>
          <w:rFonts w:ascii="Times New Roman" w:hAnsi="Times New Roman"/>
          <w:color w:val="0D0D0D" w:themeColor="text1" w:themeTint="F2"/>
          <w:lang w:val="en-US"/>
        </w:rPr>
        <w:t>raises question about</w:t>
      </w:r>
      <w:r w:rsidR="008B719D"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 xml:space="preserve">assumptions that purpose-built educational games are inherently superior, supporting emerging research on adapting existing platforms for educational purposes </w:t>
      </w:r>
      <w:r w:rsidR="00EB5EEE" w:rsidRPr="00644CB1">
        <w:rPr>
          <w:rFonts w:ascii="Times New Roman" w:hAnsi="Times New Roman"/>
          <w:color w:val="0D0D0D" w:themeColor="text1" w:themeTint="F2"/>
          <w:lang w:val="en-US"/>
        </w:rPr>
        <w:fldChar w:fldCharType="begin" w:fldLock="1"/>
      </w:r>
      <w:r w:rsidR="00EB5EEE" w:rsidRPr="00644CB1">
        <w:rPr>
          <w:rFonts w:ascii="Times New Roman" w:hAnsi="Times New Roman"/>
          <w:color w:val="0D0D0D" w:themeColor="text1" w:themeTint="F2"/>
          <w:lang w:val="en-US"/>
        </w:rPr>
        <w:instrText>ADDIN CSL_CITATION {"citationItems":[{"id":"ITEM-1","itemData":{"DOI":"10.1007/978-981-19-0351-9_74-1","author":[{"dropping-particle":"","family":"Schrader","given":"Claudia","non-dropping-particle":"","parse-names":false,"suffix":""}],"container-title":"Handbook of Open, Distance and Digital Education","id":"ITEM-1","issued":{"date-parts":[["2022"]]},"page":"1-14","publisher":"Springer Singapore","publisher-place":"Singapore","title":"Serious Games and Game-Based Learning","type":"chapter"},"uris":["http://www.mendeley.com/documents/?uuid=9d903544-231e-48ef-a9d5-ee49f7c57d11"]}],"mendeley":{"formattedCitation":"[50]","plainTextFormattedCitation":"[50]","previouslyFormattedCitation":"[50]"},"properties":{"noteIndex":0},"schema":"https://github.com/citation-style-language/schema/raw/master/csl-citation.json"}</w:instrText>
      </w:r>
      <w:r w:rsidR="00EB5EEE" w:rsidRPr="00644CB1">
        <w:rPr>
          <w:rFonts w:ascii="Times New Roman" w:hAnsi="Times New Roman"/>
          <w:color w:val="0D0D0D" w:themeColor="text1" w:themeTint="F2"/>
          <w:lang w:val="en-US"/>
        </w:rPr>
        <w:fldChar w:fldCharType="separate"/>
      </w:r>
      <w:r w:rsidR="00EB5EEE" w:rsidRPr="00644CB1">
        <w:rPr>
          <w:rFonts w:ascii="Times New Roman" w:hAnsi="Times New Roman"/>
          <w:noProof/>
          <w:color w:val="0D0D0D" w:themeColor="text1" w:themeTint="F2"/>
          <w:lang w:val="en-US"/>
        </w:rPr>
        <w:t>[50]</w:t>
      </w:r>
      <w:r w:rsidR="00EB5EEE"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Our findings indicate the </w:t>
      </w:r>
      <w:r w:rsidR="00D47D03" w:rsidRPr="00644CB1">
        <w:rPr>
          <w:rFonts w:ascii="Times New Roman" w:hAnsi="Times New Roman"/>
          <w:color w:val="0D0D0D" w:themeColor="text1" w:themeTint="F2"/>
          <w:lang w:val="en-US"/>
        </w:rPr>
        <w:t>education</w:t>
      </w:r>
      <w:r w:rsidRPr="00644CB1">
        <w:rPr>
          <w:rFonts w:ascii="Times New Roman" w:hAnsi="Times New Roman"/>
          <w:color w:val="0D0D0D" w:themeColor="text1" w:themeTint="F2"/>
          <w:lang w:val="en-US"/>
        </w:rPr>
        <w:t>al framework surrounding the game</w:t>
      </w:r>
      <w:r w:rsidR="0094582E" w:rsidRPr="0094582E">
        <w:rPr>
          <w:rFonts w:ascii="Times New Roman" w:hAnsi="Times New Roman"/>
          <w:color w:val="0D0D0D" w:themeColor="text1" w:themeTint="F2"/>
          <w:lang w:val="en-US"/>
        </w:rPr>
        <w:t xml:space="preserve"> - </w:t>
      </w:r>
      <w:r w:rsidRPr="00644CB1">
        <w:rPr>
          <w:rFonts w:ascii="Times New Roman" w:hAnsi="Times New Roman"/>
          <w:color w:val="0D0D0D" w:themeColor="text1" w:themeTint="F2"/>
          <w:lang w:val="en-US"/>
        </w:rPr>
        <w:t>not the game's design alone</w:t>
      </w:r>
      <w:r w:rsidR="0094582E" w:rsidRPr="0094582E">
        <w:rPr>
          <w:rFonts w:ascii="Times New Roman" w:hAnsi="Times New Roman"/>
          <w:color w:val="0D0D0D" w:themeColor="text1" w:themeTint="F2"/>
          <w:lang w:val="en-US"/>
        </w:rPr>
        <w:t xml:space="preserve"> - </w:t>
      </w:r>
      <w:proofErr w:type="gramStart"/>
      <w:r w:rsidR="008B719D">
        <w:rPr>
          <w:rFonts w:ascii="Times New Roman" w:hAnsi="Times New Roman"/>
          <w:color w:val="0D0D0D" w:themeColor="text1" w:themeTint="F2"/>
          <w:lang w:val="en-US"/>
        </w:rPr>
        <w:t>maybe</w:t>
      </w:r>
      <w:proofErr w:type="gramEnd"/>
      <w:r w:rsidR="008B719D">
        <w:rPr>
          <w:rFonts w:ascii="Times New Roman" w:hAnsi="Times New Roman"/>
          <w:color w:val="0D0D0D" w:themeColor="text1" w:themeTint="F2"/>
          <w:lang w:val="en-US"/>
        </w:rPr>
        <w:t xml:space="preserve"> acritical factor in determining</w:t>
      </w:r>
      <w:r w:rsidR="008B719D"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effectiveness.</w:t>
      </w:r>
    </w:p>
    <w:p w14:paraId="1ABA98BD" w14:textId="63B9AC66" w:rsidR="00425050" w:rsidRPr="00644CB1" w:rsidRDefault="00425050" w:rsidP="009D0444">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Nevertheless, systematic reviews note many serious game studies lack long-term follow-up</w:t>
      </w:r>
      <w:r w:rsidR="00EB5EEE" w:rsidRPr="00644CB1">
        <w:rPr>
          <w:rFonts w:ascii="Times New Roman" w:hAnsi="Times New Roman"/>
          <w:color w:val="0D0D0D" w:themeColor="text1" w:themeTint="F2"/>
          <w:lang w:val="en-US"/>
        </w:rPr>
        <w:t xml:space="preserve"> </w:t>
      </w:r>
      <w:r w:rsidR="00EB5EEE" w:rsidRPr="00644CB1">
        <w:rPr>
          <w:rFonts w:ascii="Times New Roman" w:hAnsi="Times New Roman"/>
          <w:color w:val="0D0D0D" w:themeColor="text1" w:themeTint="F2"/>
          <w:lang w:val="en-US"/>
        </w:rPr>
        <w:fldChar w:fldCharType="begin" w:fldLock="1"/>
      </w:r>
      <w:r w:rsidR="00BB7A7B" w:rsidRPr="00644CB1">
        <w:rPr>
          <w:rFonts w:ascii="Times New Roman" w:hAnsi="Times New Roman"/>
          <w:color w:val="0D0D0D" w:themeColor="text1" w:themeTint="F2"/>
          <w:lang w:val="en-US"/>
        </w:rPr>
        <w:instrText>ADDIN CSL_CITATION {"citationItems":[{"id":"ITEM-1","itemData":{"DOI":"10.3390/info14020132","ISSN":"2078-2489","abstract":"The transformation of educational processes, derived from the technological disruption that has taken place in the educational field, has allowed for the development of certain methodologies and techniques that place emphasis on the students as an active element in their own learning. Among these methodologies is learning based on video games. Serious games are video games with an explicit educational objective, that facilitate the generation of motivating contexts, promoting relevant experiences, and with the possibility of creating challenges of a systemic nature. With a systematic literature review (SLR) methodology, this study analysed the pedagogical models and/or approaches that are implemented in the teaching–learning processes brought about by the use of serious games, with the aim of evidencing the potentialities derived from the conception of the video game as an educational resource. The results show a clear conceptual network in relation to the analysed subject, with little interaction between selected studies. A variety of pedagogical models were identified, pertaining to the use of serious games as an educational resource in the classroom context. As an overall conclusion, there is no one reference model able to generate a single pedagogy for serious games.","author":[{"dropping-particle":"","family":"Fernández-Sánchez","given":"María Rosa","non-dropping-particle":"","parse-names":false,"suffix":""},{"dropping-particle":"","family":"González-Fernández","given":"Alberto","non-dropping-particle":"","parse-names":false,"suffix":""},{"dropping-particle":"","family":"Acevedo-Borrega","given":"Jesús","non-dropping-particle":"","parse-names":false,"suffix":""}],"container-title":"Information","id":"ITEM-1","issue":"2","issued":{"date-parts":[["2023","2","17"]]},"page":"132","title":"Conceptual Approach to the Pedagogy of Serious Games","type":"article-journal","volume":"14"},"uris":["http://www.mendeley.com/documents/?uuid=a44defb3-aeaf-4a05-8a46-c053f706bfc2"]}],"mendeley":{"formattedCitation":"[53]","plainTextFormattedCitation":"[53]","previouslyFormattedCitation":"[53]"},"properties":{"noteIndex":0},"schema":"https://github.com/citation-style-language/schema/raw/master/csl-citation.json"}</w:instrText>
      </w:r>
      <w:r w:rsidR="00EB5EEE" w:rsidRPr="00644CB1">
        <w:rPr>
          <w:rFonts w:ascii="Times New Roman" w:hAnsi="Times New Roman"/>
          <w:color w:val="0D0D0D" w:themeColor="text1" w:themeTint="F2"/>
          <w:lang w:val="en-US"/>
        </w:rPr>
        <w:fldChar w:fldCharType="separate"/>
      </w:r>
      <w:r w:rsidR="00EB5EEE" w:rsidRPr="00644CB1">
        <w:rPr>
          <w:rFonts w:ascii="Times New Roman" w:hAnsi="Times New Roman"/>
          <w:noProof/>
          <w:color w:val="0D0D0D" w:themeColor="text1" w:themeTint="F2"/>
          <w:lang w:val="en-US"/>
        </w:rPr>
        <w:t>[53]</w:t>
      </w:r>
      <w:r w:rsidR="00EB5EEE"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highlighting the need for future research examining whether VIFT-developed skills translate to actual professional performance beyond controlled academic environments.</w:t>
      </w:r>
    </w:p>
    <w:p w14:paraId="48BD24E8" w14:textId="23E4BC98" w:rsidR="00604EAC" w:rsidRPr="00644CB1" w:rsidRDefault="00604EAC" w:rsidP="00604EAC">
      <w:pPr>
        <w:pStyle w:val="2"/>
        <w:numPr>
          <w:ilvl w:val="1"/>
          <w:numId w:val="7"/>
        </w:numPr>
        <w:ind w:left="567" w:hanging="567"/>
        <w:rPr>
          <w:color w:val="0D0D0D" w:themeColor="text1" w:themeTint="F2"/>
        </w:rPr>
      </w:pPr>
      <w:r w:rsidRPr="00644CB1">
        <w:rPr>
          <w:color w:val="0D0D0D" w:themeColor="text1" w:themeTint="F2"/>
        </w:rPr>
        <w:t>Theor</w:t>
      </w:r>
      <w:r w:rsidR="00D91159" w:rsidRPr="00644CB1">
        <w:rPr>
          <w:color w:val="0D0D0D" w:themeColor="text1" w:themeTint="F2"/>
        </w:rPr>
        <w:t xml:space="preserve">etical </w:t>
      </w:r>
      <w:r w:rsidR="004005E6" w:rsidRPr="00644CB1">
        <w:rPr>
          <w:color w:val="0D0D0D" w:themeColor="text1" w:themeTint="F2"/>
        </w:rPr>
        <w:t>k</w:t>
      </w:r>
      <w:r w:rsidR="00D91159" w:rsidRPr="00644CB1">
        <w:rPr>
          <w:color w:val="0D0D0D" w:themeColor="text1" w:themeTint="F2"/>
        </w:rPr>
        <w:t xml:space="preserve">nowledge </w:t>
      </w:r>
      <w:r w:rsidR="004005E6" w:rsidRPr="00644CB1">
        <w:rPr>
          <w:color w:val="0D0D0D" w:themeColor="text1" w:themeTint="F2"/>
        </w:rPr>
        <w:t>a</w:t>
      </w:r>
      <w:r w:rsidR="00D91159" w:rsidRPr="00644CB1">
        <w:rPr>
          <w:color w:val="0D0D0D" w:themeColor="text1" w:themeTint="F2"/>
        </w:rPr>
        <w:t xml:space="preserve">cquisition and </w:t>
      </w:r>
      <w:r w:rsidR="004005E6" w:rsidRPr="00644CB1">
        <w:rPr>
          <w:color w:val="0D0D0D" w:themeColor="text1" w:themeTint="F2"/>
        </w:rPr>
        <w:t>s</w:t>
      </w:r>
      <w:r w:rsidR="00D91159" w:rsidRPr="00644CB1">
        <w:rPr>
          <w:color w:val="0D0D0D" w:themeColor="text1" w:themeTint="F2"/>
        </w:rPr>
        <w:t xml:space="preserve">kill </w:t>
      </w:r>
      <w:r w:rsidR="004005E6" w:rsidRPr="00644CB1">
        <w:rPr>
          <w:color w:val="0D0D0D" w:themeColor="text1" w:themeTint="F2"/>
        </w:rPr>
        <w:t>d</w:t>
      </w:r>
      <w:r w:rsidR="00D91159" w:rsidRPr="00644CB1">
        <w:rPr>
          <w:color w:val="0D0D0D" w:themeColor="text1" w:themeTint="F2"/>
        </w:rPr>
        <w:t>evelopment</w:t>
      </w:r>
    </w:p>
    <w:p w14:paraId="2687D681" w14:textId="1903F1DF" w:rsidR="00421E2C" w:rsidRPr="00644CB1" w:rsidRDefault="00DF3CC1" w:rsidP="00591429">
      <w:pPr>
        <w:spacing w:line="264" w:lineRule="auto"/>
        <w:jc w:val="both"/>
        <w:rPr>
          <w:color w:val="0D0D0D" w:themeColor="text1" w:themeTint="F2"/>
          <w:lang w:val="en-US"/>
        </w:rPr>
      </w:pPr>
      <w:r w:rsidRPr="00644CB1">
        <w:rPr>
          <w:rFonts w:ascii="Times New Roman" w:hAnsi="Times New Roman"/>
          <w:color w:val="0D0D0D" w:themeColor="text1" w:themeTint="F2"/>
          <w:lang w:val="en-US"/>
        </w:rPr>
        <w:t xml:space="preserve">The findings </w:t>
      </w:r>
      <w:r w:rsidR="008B719D">
        <w:rPr>
          <w:rFonts w:ascii="Times New Roman" w:hAnsi="Times New Roman"/>
          <w:color w:val="0D0D0D" w:themeColor="text1" w:themeTint="F2"/>
          <w:lang w:val="en-US"/>
        </w:rPr>
        <w:t>suggest</w:t>
      </w:r>
      <w:r w:rsidR="008B719D"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 xml:space="preserve">that the hybrid approach </w:t>
      </w:r>
      <w:r w:rsidR="008B719D">
        <w:rPr>
          <w:rFonts w:ascii="Times New Roman" w:hAnsi="Times New Roman"/>
          <w:color w:val="0D0D0D" w:themeColor="text1" w:themeTint="F2"/>
          <w:lang w:val="en-US"/>
        </w:rPr>
        <w:t>may</w:t>
      </w:r>
      <w:r w:rsidR="008B719D"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 xml:space="preserve">facilitate both theoretical knowledge acquisition and practical skill development. The written test results (M = 6.61) indicate satisfactory knowledge acquisition, aligning with </w:t>
      </w:r>
      <w:proofErr w:type="spellStart"/>
      <w:r w:rsidRPr="00644CB1">
        <w:rPr>
          <w:rFonts w:ascii="Times New Roman" w:hAnsi="Times New Roman"/>
          <w:color w:val="0D0D0D" w:themeColor="text1" w:themeTint="F2"/>
          <w:lang w:val="en-US"/>
        </w:rPr>
        <w:t>Zhonggen's</w:t>
      </w:r>
      <w:proofErr w:type="spellEnd"/>
      <w:r w:rsidRPr="00644CB1">
        <w:rPr>
          <w:rFonts w:ascii="Times New Roman" w:hAnsi="Times New Roman"/>
          <w:color w:val="0D0D0D" w:themeColor="text1" w:themeTint="F2"/>
          <w:lang w:val="en-US"/>
        </w:rPr>
        <w:t xml:space="preserve"> </w:t>
      </w:r>
      <w:r w:rsidR="00DC4E6A" w:rsidRPr="00644CB1">
        <w:rPr>
          <w:rFonts w:ascii="Times New Roman" w:hAnsi="Times New Roman"/>
          <w:color w:val="0D0D0D" w:themeColor="text1" w:themeTint="F2"/>
          <w:lang w:val="en-US"/>
        </w:rPr>
        <w:fldChar w:fldCharType="begin" w:fldLock="1"/>
      </w:r>
      <w:r w:rsidR="003368BD" w:rsidRPr="00644CB1">
        <w:rPr>
          <w:rFonts w:ascii="Times New Roman" w:hAnsi="Times New Roman"/>
          <w:color w:val="0D0D0D" w:themeColor="text1" w:themeTint="F2"/>
          <w:lang w:val="en-US"/>
        </w:rPr>
        <w:instrText>ADDIN CSL_CITATION {"citationItems":[{"id":"ITEM-1","itemData":{"DOI":"10.1155/2019/4797032","ISSN":"16877055","abstract":"It seems necessary to review the literature to explore the effectiveness of serious games in education, since the number of studies on serious games is surging up. This study systematically reviewed the literature within around a recent decade. The trend of the number of publications related to use of serious games in education was firstly clarified based on the data retrieved from major databases. Secondly, various factors were determined that influenced the effect of serious game assisted learning. The major section identified both advantages and disadvantages of use of serious games in education. Use of serious games in medical science has been rising in a recent decade, which is thus highlighted in this study. Attitudes toward use of serious games in education were explored, as well as the new development of use of serious games in education. Future theoretical and practical exploration might need interdisciplinary cooperation.","author":[{"dropping-particle":"","family":"Zhonggen","given":"Yu","non-dropping-particle":"","parse-names":false,"suffix":""}],"container-title":"International Journal of Computer Games Technology","id":"ITEM-1","issue":"3","issued":{"date-parts":[["2019"]]},"title":"A Meta-Analysis of Use of Serious Games in Education over a Decade","type":"article-journal","volume":"2019"},"uris":["http://www.mendeley.com/documents/?uuid=bf0c81fe-11f0-49eb-b901-81848b560071"]}],"mendeley":{"formattedCitation":"[12]","plainTextFormattedCitation":"[12]","previouslyFormattedCitation":"[12]"},"properties":{"noteIndex":0},"schema":"https://github.com/citation-style-language/schema/raw/master/csl-citation.json"}</w:instrText>
      </w:r>
      <w:r w:rsidR="00DC4E6A" w:rsidRPr="00644CB1">
        <w:rPr>
          <w:rFonts w:ascii="Times New Roman" w:hAnsi="Times New Roman"/>
          <w:color w:val="0D0D0D" w:themeColor="text1" w:themeTint="F2"/>
          <w:lang w:val="en-US"/>
        </w:rPr>
        <w:fldChar w:fldCharType="separate"/>
      </w:r>
      <w:r w:rsidR="00DC4E6A" w:rsidRPr="00644CB1">
        <w:rPr>
          <w:rFonts w:ascii="Times New Roman" w:hAnsi="Times New Roman"/>
          <w:noProof/>
          <w:color w:val="0D0D0D" w:themeColor="text1" w:themeTint="F2"/>
          <w:lang w:val="en-US"/>
        </w:rPr>
        <w:t>[12]</w:t>
      </w:r>
      <w:r w:rsidR="00DC4E6A"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meta-analysis findings that educational elements integrated into gameplay are subconsciously acquired during the gaming process. More significantly, the high scores in deliverables assessment (M = 8.54) suggest that the hybrid model was particularly effective in developing practical competencies, supporting Hellström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's </w:t>
      </w:r>
      <w:r w:rsidR="003368BD" w:rsidRPr="00644CB1">
        <w:rPr>
          <w:rFonts w:ascii="Times New Roman" w:hAnsi="Times New Roman"/>
          <w:color w:val="0D0D0D" w:themeColor="text1" w:themeTint="F2"/>
          <w:lang w:val="en-US"/>
        </w:rPr>
        <w:fldChar w:fldCharType="begin" w:fldLock="1"/>
      </w:r>
      <w:r w:rsidR="00DC3B37" w:rsidRPr="00644CB1">
        <w:rPr>
          <w:rFonts w:ascii="Times New Roman" w:hAnsi="Times New Roman"/>
          <w:color w:val="0D0D0D" w:themeColor="text1" w:themeTint="F2"/>
          <w:lang w:val="en-US"/>
        </w:rPr>
        <w:instrText>ADDIN CSL_CITATION {"citationItems":[{"id":"ITEM-1","itemData":{"DOI":"10.17083/ijsg.v10i2.630","ISSN":"23848766","abstract":"Project management education is well suited for active learning through serious games, and a lot of research has been published on the use of serious games for project management education. Earlier reviews have focused on the content and features of project management serious games. But the objectives for using those serious games have been less reviewed. The aim of this study was to conduct a systematic review to better understand the objectives of using serious games in project management education, with the following research question: Why are project management serious games used in higher education? A systematic review was performed using the Preferred Reporting Items for Systematic Reviews and Meta-Analyses (PRISMA). A systematic search enabled us to identify 175 articles, of which forty-three met the eligibility criteria. An inductive content analysis of those articles showed that project management serious games are used for pedagogical and practical reasons. From a pedagogical perspective, serious games are mainly used to develop specific skills that are difficult to acquire in classic ex-cathedra lectures, such as practical competencies and soft skills. From a practical perspective, serious games are mainly used for proposing a risk-free trial environment. Based on our analysis, we propose a taxonomy of reasons for using PM games in higher education. Our research also reveals that few studies assess whether serious games meet all their objectives, and that more research is needed on how to implement them into a coherent pedagogical scenario.","author":[{"dropping-particle":"","family":"Hellström","given":"Magnus Mikael","non-dropping-particle":"","parse-names":false,"suffix":""},{"dropping-particle":"","family":"Jaccard","given":"Dominique","non-dropping-particle":"","parse-names":false,"suffix":""},{"dropping-particle":"","family":"Bonnier","given":"Knut Erik","non-dropping-particle":"","parse-names":false,"suffix":""}],"container-title":"International Journal of Serious Games","id":"ITEM-1","issue":"2","issued":{"date-parts":[["2023"]]},"page":"3-24","title":"A systematic review on the use of serious games in project management education","type":"article-journal","volume":"10"},"uris":["http://www.mendeley.com/documents/?uuid=f780fb5b-0808-43e1-a2f8-59c6075ad49b"]}],"mendeley":{"formattedCitation":"[29]","plainTextFormattedCitation":"[29]","previouslyFormattedCitation":"[29]"},"properties":{"noteIndex":0},"schema":"https://github.com/citation-style-language/schema/raw/master/csl-citation.json"}</w:instrText>
      </w:r>
      <w:r w:rsidR="003368BD" w:rsidRPr="00644CB1">
        <w:rPr>
          <w:rFonts w:ascii="Times New Roman" w:hAnsi="Times New Roman"/>
          <w:color w:val="0D0D0D" w:themeColor="text1" w:themeTint="F2"/>
          <w:lang w:val="en-US"/>
        </w:rPr>
        <w:fldChar w:fldCharType="separate"/>
      </w:r>
      <w:r w:rsidR="003368BD" w:rsidRPr="00644CB1">
        <w:rPr>
          <w:rFonts w:ascii="Times New Roman" w:hAnsi="Times New Roman"/>
          <w:noProof/>
          <w:color w:val="0D0D0D" w:themeColor="text1" w:themeTint="F2"/>
          <w:lang w:val="en-US"/>
        </w:rPr>
        <w:t>[29]</w:t>
      </w:r>
      <w:r w:rsidR="003368BD"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argument that serious games facilitate the transition from passive to active learning while fostering both practical competencies and soft skills.</w:t>
      </w:r>
      <w:r w:rsidR="00421E2C" w:rsidRPr="00644CB1">
        <w:rPr>
          <w:color w:val="0D0D0D" w:themeColor="text1" w:themeTint="F2"/>
        </w:rPr>
        <w:t xml:space="preserve"> </w:t>
      </w:r>
    </w:p>
    <w:p w14:paraId="6B15CBB7" w14:textId="77777777" w:rsidR="00C00A44" w:rsidRPr="00644CB1" w:rsidRDefault="00421E2C" w:rsidP="00591429">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rPr>
        <w:t xml:space="preserve">The above findings also reveal an asymmetry, </w:t>
      </w:r>
      <w:r w:rsidRPr="00644CB1">
        <w:rPr>
          <w:rFonts w:ascii="Times New Roman" w:hAnsi="Times New Roman"/>
          <w:color w:val="0D0D0D" w:themeColor="text1" w:themeTint="F2"/>
          <w:lang w:val="en-US"/>
        </w:rPr>
        <w:t xml:space="preserve">between theoretical knowledge acquisition (M = 6.61) and practical skill development (M = 8.54), with practical competencies exceeding theoretical performance by nearly 30%. </w:t>
      </w:r>
      <w:proofErr w:type="gramStart"/>
      <w:r w:rsidRPr="00644CB1">
        <w:rPr>
          <w:rFonts w:ascii="Times New Roman" w:hAnsi="Times New Roman"/>
          <w:color w:val="0D0D0D" w:themeColor="text1" w:themeTint="F2"/>
          <w:lang w:val="en-US"/>
        </w:rPr>
        <w:t>This differential warrants</w:t>
      </w:r>
      <w:proofErr w:type="gramEnd"/>
      <w:r w:rsidRPr="00644CB1">
        <w:rPr>
          <w:rFonts w:ascii="Times New Roman" w:hAnsi="Times New Roman"/>
          <w:color w:val="0D0D0D" w:themeColor="text1" w:themeTint="F2"/>
          <w:lang w:val="en-US"/>
        </w:rPr>
        <w:t xml:space="preserve"> critical examination, as it challenges conventional assumptions about learning hierarchies in professional education.</w:t>
      </w:r>
      <w:r w:rsidR="00C00A44"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 xml:space="preserve">Why did practical skills significantly outperform theoretical knowledge? Several explanations emerge from educational theory and empirical evidence. </w:t>
      </w:r>
    </w:p>
    <w:p w14:paraId="43DFD1B4" w14:textId="4652ACDF" w:rsidR="00C00A44" w:rsidRPr="00644CB1" w:rsidRDefault="005512BC" w:rsidP="00591429">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rPr>
        <w:t>Initially</w:t>
      </w:r>
      <w:r w:rsidR="00421E2C" w:rsidRPr="00644CB1">
        <w:rPr>
          <w:rFonts w:ascii="Times New Roman" w:hAnsi="Times New Roman"/>
          <w:color w:val="0D0D0D" w:themeColor="text1" w:themeTint="F2"/>
          <w:lang w:val="en-US"/>
        </w:rPr>
        <w:t xml:space="preserve">, the game-based environment provided immediate, contextualized application of theoretical concepts, creating what Kolb </w:t>
      </w:r>
      <w:r w:rsidR="00421E2C" w:rsidRPr="00644CB1">
        <w:rPr>
          <w:rFonts w:ascii="Times New Roman" w:hAnsi="Times New Roman"/>
          <w:i/>
          <w:iCs/>
          <w:color w:val="0D0D0D" w:themeColor="text1" w:themeTint="F2"/>
          <w:lang w:val="en-US"/>
        </w:rPr>
        <w:t>et al.</w:t>
      </w:r>
      <w:r w:rsidR="00421E2C" w:rsidRPr="00644CB1">
        <w:rPr>
          <w:rFonts w:ascii="Times New Roman" w:hAnsi="Times New Roman"/>
          <w:color w:val="0D0D0D" w:themeColor="text1" w:themeTint="F2"/>
          <w:lang w:val="en-US"/>
        </w:rPr>
        <w:t xml:space="preserve"> </w:t>
      </w:r>
      <w:r w:rsidR="00DC3B37" w:rsidRPr="00644CB1">
        <w:rPr>
          <w:rFonts w:ascii="Times New Roman" w:hAnsi="Times New Roman"/>
          <w:color w:val="0D0D0D" w:themeColor="text1" w:themeTint="F2"/>
          <w:lang w:val="en-US"/>
        </w:rPr>
        <w:fldChar w:fldCharType="begin" w:fldLock="1"/>
      </w:r>
      <w:r w:rsidR="00181385" w:rsidRPr="00644CB1">
        <w:rPr>
          <w:rFonts w:ascii="Times New Roman" w:hAnsi="Times New Roman"/>
          <w:color w:val="0D0D0D" w:themeColor="text1" w:themeTint="F2"/>
          <w:lang w:val="en-US"/>
        </w:rPr>
        <w:instrText>ADDIN CSL_CITATION {"citationItems":[{"id":"ITEM-1","itemData":{"DOI":"10.4324/9781410605986","ISBN":"9781410605986","author":[{"dropping-particle":"","family":"Kolb","given":"David A","non-dropping-particle":"","parse-names":false,"suffix":""},{"dropping-particle":"","family":"Boyatzis","given":"Richard E","non-dropping-particle":"","parse-names":false,"suffix":""},{"dropping-particle":"","family":"Mainemelis","given":"Charalampos","non-dropping-particle":"","parse-names":false,"suffix":""}],"container-title":"Perspectives on thinking, learning, and cognitive styles","editor":[{"dropping-particle":"","family":"Sternberg","given":"Robert J.","non-dropping-particle":"","parse-names":false,"suffix":""},{"dropping-particle":"","family":"Zhang","given":"Li-fang","non-dropping-particle":"","parse-names":false,"suffix":""}],"id":"ITEM-1","issued":{"date-parts":[["2014","4","8"]]},"number-of-pages":"227-247","publisher":"Routledge","publisher-place":"Mahwah","title":"Perspectives on Thinking, Learning, and Cognitive Styles","type":"book"},"uris":["http://www.mendeley.com/documents/?uuid=53f93a60-8301-4ea2-80dd-05ceb5a12ba9"]}],"mendeley":{"formattedCitation":"[35]","plainTextFormattedCitation":"[35]","previouslyFormattedCitation":"[35]"},"properties":{"noteIndex":0},"schema":"https://github.com/citation-style-language/schema/raw/master/csl-citation.json"}</w:instrText>
      </w:r>
      <w:r w:rsidR="00DC3B37" w:rsidRPr="00644CB1">
        <w:rPr>
          <w:rFonts w:ascii="Times New Roman" w:hAnsi="Times New Roman"/>
          <w:color w:val="0D0D0D" w:themeColor="text1" w:themeTint="F2"/>
          <w:lang w:val="en-US"/>
        </w:rPr>
        <w:fldChar w:fldCharType="separate"/>
      </w:r>
      <w:r w:rsidR="00DC3B37" w:rsidRPr="00644CB1">
        <w:rPr>
          <w:rFonts w:ascii="Times New Roman" w:hAnsi="Times New Roman"/>
          <w:noProof/>
          <w:color w:val="0D0D0D" w:themeColor="text1" w:themeTint="F2"/>
          <w:lang w:val="en-US"/>
        </w:rPr>
        <w:t>[35]</w:t>
      </w:r>
      <w:r w:rsidR="00DC3B37" w:rsidRPr="00644CB1">
        <w:rPr>
          <w:rFonts w:ascii="Times New Roman" w:hAnsi="Times New Roman"/>
          <w:color w:val="0D0D0D" w:themeColor="text1" w:themeTint="F2"/>
          <w:lang w:val="en-US"/>
        </w:rPr>
        <w:fldChar w:fldCharType="end"/>
      </w:r>
      <w:r w:rsidR="00421E2C" w:rsidRPr="00644CB1">
        <w:rPr>
          <w:rFonts w:ascii="Times New Roman" w:hAnsi="Times New Roman"/>
          <w:color w:val="0D0D0D" w:themeColor="text1" w:themeTint="F2"/>
          <w:lang w:val="en-US"/>
        </w:rPr>
        <w:t xml:space="preserve"> describe as "concrete experience" – the foundation of experiential learning. Unlike traditional didactic instruction where theory precedes practice, the hybrid model embedded theoretical concepts within authentic problem-solving scenarios, potentially enhancing retention and application.</w:t>
      </w:r>
      <w:r w:rsidR="00C00A44" w:rsidRPr="00644CB1">
        <w:rPr>
          <w:rFonts w:ascii="Times New Roman" w:hAnsi="Times New Roman"/>
          <w:color w:val="0D0D0D" w:themeColor="text1" w:themeTint="F2"/>
          <w:lang w:val="en-US"/>
        </w:rPr>
        <w:t xml:space="preserve"> </w:t>
      </w:r>
    </w:p>
    <w:p w14:paraId="215ADC21" w14:textId="4762C111" w:rsidR="003211C1" w:rsidRPr="00644CB1" w:rsidRDefault="005512BC" w:rsidP="00591429">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rPr>
        <w:t>Moreover</w:t>
      </w:r>
      <w:r w:rsidR="00421E2C" w:rsidRPr="00644CB1">
        <w:rPr>
          <w:rFonts w:ascii="Times New Roman" w:hAnsi="Times New Roman"/>
          <w:color w:val="0D0D0D" w:themeColor="text1" w:themeTint="F2"/>
          <w:lang w:val="en-US"/>
        </w:rPr>
        <w:t xml:space="preserve">, this finding critically interrogates traditional lecture-based pedagogies dominant in sport management education. Compared to conventional teaching methods that prioritize knowledge transmission through passive reception, the hybrid approach engaged students in active knowledge construction. While </w:t>
      </w:r>
      <w:proofErr w:type="spellStart"/>
      <w:r w:rsidR="00421E2C" w:rsidRPr="00644CB1">
        <w:rPr>
          <w:rFonts w:ascii="Times New Roman" w:hAnsi="Times New Roman"/>
          <w:color w:val="0D0D0D" w:themeColor="text1" w:themeTint="F2"/>
          <w:lang w:val="en-US"/>
        </w:rPr>
        <w:t>Zhonggen's</w:t>
      </w:r>
      <w:proofErr w:type="spellEnd"/>
      <w:r w:rsidR="00421E2C" w:rsidRPr="00644CB1">
        <w:rPr>
          <w:rFonts w:ascii="Times New Roman" w:hAnsi="Times New Roman"/>
          <w:color w:val="0D0D0D" w:themeColor="text1" w:themeTint="F2"/>
          <w:lang w:val="en-US"/>
        </w:rPr>
        <w:t xml:space="preserve"> </w:t>
      </w:r>
      <w:r w:rsidR="00B9093D" w:rsidRPr="00644CB1">
        <w:rPr>
          <w:rFonts w:ascii="Times New Roman" w:hAnsi="Times New Roman"/>
          <w:color w:val="0D0D0D" w:themeColor="text1" w:themeTint="F2"/>
          <w:lang w:val="en-US"/>
        </w:rPr>
        <w:fldChar w:fldCharType="begin" w:fldLock="1"/>
      </w:r>
      <w:r w:rsidR="00B9093D" w:rsidRPr="00644CB1">
        <w:rPr>
          <w:rFonts w:ascii="Times New Roman" w:hAnsi="Times New Roman"/>
          <w:color w:val="0D0D0D" w:themeColor="text1" w:themeTint="F2"/>
          <w:lang w:val="en-US"/>
        </w:rPr>
        <w:instrText>ADDIN CSL_CITATION {"citationItems":[{"id":"ITEM-1","itemData":{"DOI":"10.1155/2019/4797032","ISSN":"16877055","abstract":"It seems necessary to review the literature to explore the effectiveness of serious games in education, since the number of studies on serious games is surging up. This study systematically reviewed the literature within around a recent decade. The trend of the number of publications related to use of serious games in education was firstly clarified based on the data retrieved from major databases. Secondly, various factors were determined that influenced the effect of serious game assisted learning. The major section identified both advantages and disadvantages of use of serious games in education. Use of serious games in medical science has been rising in a recent decade, which is thus highlighted in this study. Attitudes toward use of serious games in education were explored, as well as the new development of use of serious games in education. Future theoretical and practical exploration might need interdisciplinary cooperation.","author":[{"dropping-particle":"","family":"Zhonggen","given":"Yu","non-dropping-particle":"","parse-names":false,"suffix":""}],"container-title":"International Journal of Computer Games Technology","id":"ITEM-1","issue":"3","issued":{"date-parts":[["2019"]]},"title":"A Meta-Analysis of Use of Serious Games in Education over a Decade","type":"article-journal","volume":"2019"},"uris":["http://www.mendeley.com/documents/?uuid=bf0c81fe-11f0-49eb-b901-81848b560071"]}],"mendeley":{"formattedCitation":"[12]","plainTextFormattedCitation":"[12]","previouslyFormattedCitation":"[12]"},"properties":{"noteIndex":0},"schema":"https://github.com/citation-style-language/schema/raw/master/csl-citation.json"}</w:instrText>
      </w:r>
      <w:r w:rsidR="00B9093D" w:rsidRPr="00644CB1">
        <w:rPr>
          <w:rFonts w:ascii="Times New Roman" w:hAnsi="Times New Roman"/>
          <w:color w:val="0D0D0D" w:themeColor="text1" w:themeTint="F2"/>
          <w:lang w:val="en-US"/>
        </w:rPr>
        <w:fldChar w:fldCharType="separate"/>
      </w:r>
      <w:r w:rsidR="00B9093D" w:rsidRPr="00644CB1">
        <w:rPr>
          <w:rFonts w:ascii="Times New Roman" w:hAnsi="Times New Roman"/>
          <w:noProof/>
          <w:color w:val="0D0D0D" w:themeColor="text1" w:themeTint="F2"/>
          <w:lang w:val="en-US"/>
        </w:rPr>
        <w:t>[12]</w:t>
      </w:r>
      <w:r w:rsidR="00B9093D" w:rsidRPr="00644CB1">
        <w:rPr>
          <w:rFonts w:ascii="Times New Roman" w:hAnsi="Times New Roman"/>
          <w:color w:val="0D0D0D" w:themeColor="text1" w:themeTint="F2"/>
          <w:lang w:val="en-US"/>
        </w:rPr>
        <w:fldChar w:fldCharType="end"/>
      </w:r>
      <w:r w:rsidR="00421E2C" w:rsidRPr="00644CB1">
        <w:rPr>
          <w:rFonts w:ascii="Times New Roman" w:hAnsi="Times New Roman"/>
          <w:color w:val="0D0D0D" w:themeColor="text1" w:themeTint="F2"/>
          <w:lang w:val="en-US"/>
        </w:rPr>
        <w:t xml:space="preserve"> meta-analysis found that educational elements are subconsciously acquired during gameplay, our results suggest that when combined with real-world execution components, this acquisition </w:t>
      </w:r>
      <w:r w:rsidR="008B719D">
        <w:rPr>
          <w:rFonts w:ascii="Times New Roman" w:hAnsi="Times New Roman"/>
          <w:color w:val="0D0D0D" w:themeColor="text1" w:themeTint="F2"/>
          <w:lang w:val="en-US"/>
        </w:rPr>
        <w:t xml:space="preserve">may </w:t>
      </w:r>
      <w:r w:rsidR="00421E2C" w:rsidRPr="00644CB1">
        <w:rPr>
          <w:rFonts w:ascii="Times New Roman" w:hAnsi="Times New Roman"/>
          <w:color w:val="0D0D0D" w:themeColor="text1" w:themeTint="F2"/>
          <w:lang w:val="en-US"/>
        </w:rPr>
        <w:t>become particularly robust for procedural and tacit knowledge.</w:t>
      </w:r>
      <w:r w:rsidR="00C00A44" w:rsidRPr="00644CB1">
        <w:rPr>
          <w:rFonts w:ascii="Times New Roman" w:hAnsi="Times New Roman"/>
          <w:color w:val="0D0D0D" w:themeColor="text1" w:themeTint="F2"/>
          <w:lang w:val="en-US"/>
        </w:rPr>
        <w:t xml:space="preserve"> </w:t>
      </w:r>
    </w:p>
    <w:p w14:paraId="3C46A7CB" w14:textId="3E394C41" w:rsidR="00421E2C" w:rsidRPr="00644CB1" w:rsidRDefault="005512BC" w:rsidP="00591429">
      <w:pPr>
        <w:spacing w:line="264" w:lineRule="auto"/>
        <w:ind w:firstLine="284"/>
        <w:jc w:val="both"/>
        <w:rPr>
          <w:rFonts w:ascii="Times New Roman" w:hAnsi="Times New Roman"/>
          <w:color w:val="0D0D0D" w:themeColor="text1" w:themeTint="F2"/>
        </w:rPr>
      </w:pPr>
      <w:r w:rsidRPr="00644CB1">
        <w:rPr>
          <w:rFonts w:ascii="Times New Roman" w:hAnsi="Times New Roman"/>
          <w:color w:val="0D0D0D" w:themeColor="text1" w:themeTint="F2"/>
        </w:rPr>
        <w:t>Furthermore,</w:t>
      </w:r>
      <w:r w:rsidR="00421E2C" w:rsidRPr="00644CB1">
        <w:rPr>
          <w:rFonts w:ascii="Times New Roman" w:hAnsi="Times New Roman"/>
          <w:color w:val="0D0D0D" w:themeColor="text1" w:themeTint="F2"/>
          <w:lang w:val="en-US"/>
        </w:rPr>
        <w:t xml:space="preserve"> the superior practical performance may reflect assessment authenticity. Deliverables required students to produce tangible outputs (organization charts, timetables, sponsorship proposals) evaluated against professional standards, whereas the written test assessed decontextualized theoretical recall. This raises important questions about what constitutes </w:t>
      </w:r>
      <w:r w:rsidR="00421E2C" w:rsidRPr="00644CB1">
        <w:rPr>
          <w:rFonts w:ascii="Times New Roman" w:hAnsi="Times New Roman"/>
          <w:color w:val="0D0D0D" w:themeColor="text1" w:themeTint="F2"/>
          <w:lang w:val="en-US"/>
        </w:rPr>
        <w:lastRenderedPageBreak/>
        <w:t xml:space="preserve">"knowing" in professional education – a debate central to competency-based education frameworks </w:t>
      </w:r>
      <w:r w:rsidR="00D820FD" w:rsidRPr="00644CB1">
        <w:rPr>
          <w:rFonts w:ascii="Times New Roman" w:hAnsi="Times New Roman"/>
          <w:color w:val="0D0D0D" w:themeColor="text1" w:themeTint="F2"/>
          <w:lang w:val="en-US"/>
        </w:rPr>
        <w:fldChar w:fldCharType="begin" w:fldLock="1"/>
      </w:r>
      <w:r w:rsidR="00D820FD" w:rsidRPr="00644CB1">
        <w:rPr>
          <w:rFonts w:ascii="Times New Roman" w:hAnsi="Times New Roman"/>
          <w:color w:val="0D0D0D" w:themeColor="text1" w:themeTint="F2"/>
          <w:lang w:val="en-US"/>
        </w:rPr>
        <w:instrText>ADDIN CSL_CITATION {"citationItems":[{"id":"ITEM-1","itemData":{"DOI":"https://doi.org/10.7275/ffb1-mm19","author":[{"dropping-particle":"","family":"Wiggins","given":"Grant","non-dropping-particle":"","parse-names":false,"suffix":""}],"id":"ITEM-1","issue":"2","issued":{"date-parts":[["1990"]]},"page":"2-4","title":"The Case for Authentic Assessment .","type":"article-journal","volume":"2"},"uris":["http://www.mendeley.com/documents/?uuid=37a1e08f-98f0-45e5-8d5b-d681bb799ddb"]}],"mendeley":{"formattedCitation":"[54]","plainTextFormattedCitation":"[54]"},"properties":{"noteIndex":0},"schema":"https://github.com/citation-style-language/schema/raw/master/csl-citation.json"}</w:instrText>
      </w:r>
      <w:r w:rsidR="00D820FD" w:rsidRPr="00644CB1">
        <w:rPr>
          <w:rFonts w:ascii="Times New Roman" w:hAnsi="Times New Roman"/>
          <w:color w:val="0D0D0D" w:themeColor="text1" w:themeTint="F2"/>
          <w:lang w:val="en-US"/>
        </w:rPr>
        <w:fldChar w:fldCharType="separate"/>
      </w:r>
      <w:r w:rsidR="00D820FD" w:rsidRPr="00644CB1">
        <w:rPr>
          <w:rFonts w:ascii="Times New Roman" w:hAnsi="Times New Roman"/>
          <w:noProof/>
          <w:color w:val="0D0D0D" w:themeColor="text1" w:themeTint="F2"/>
          <w:lang w:val="en-US"/>
        </w:rPr>
        <w:t>[54]</w:t>
      </w:r>
      <w:r w:rsidR="00D820FD" w:rsidRPr="00644CB1">
        <w:rPr>
          <w:rFonts w:ascii="Times New Roman" w:hAnsi="Times New Roman"/>
          <w:color w:val="0D0D0D" w:themeColor="text1" w:themeTint="F2"/>
          <w:lang w:val="en-US"/>
        </w:rPr>
        <w:fldChar w:fldCharType="end"/>
      </w:r>
      <w:r w:rsidR="00C962A3" w:rsidRPr="00644CB1">
        <w:rPr>
          <w:rFonts w:ascii="Times New Roman" w:hAnsi="Times New Roman"/>
          <w:color w:val="0D0D0D" w:themeColor="text1" w:themeTint="F2"/>
          <w:lang w:val="en-US"/>
        </w:rPr>
        <w:t>.</w:t>
      </w:r>
    </w:p>
    <w:p w14:paraId="7D9FED49" w14:textId="329586D6" w:rsidR="00421E2C" w:rsidRPr="00644CB1" w:rsidRDefault="00421E2C" w:rsidP="001947BC">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Comparison with existing research reveals both convergence and divergence. Like Hellström </w:t>
      </w:r>
      <w:r w:rsidRPr="00644CB1">
        <w:rPr>
          <w:rFonts w:ascii="Times New Roman" w:hAnsi="Times New Roman"/>
          <w:i/>
          <w:iCs/>
          <w:color w:val="0D0D0D" w:themeColor="text1" w:themeTint="F2"/>
          <w:lang w:val="en-US"/>
        </w:rPr>
        <w:t>et al.</w:t>
      </w:r>
      <w:r w:rsidRPr="00644CB1">
        <w:rPr>
          <w:rFonts w:ascii="Times New Roman" w:hAnsi="Times New Roman"/>
          <w:color w:val="0D0D0D" w:themeColor="text1" w:themeTint="F2"/>
          <w:lang w:val="en-US"/>
        </w:rPr>
        <w:t xml:space="preserve">'s </w:t>
      </w:r>
      <w:r w:rsidR="00181385" w:rsidRPr="00644CB1">
        <w:rPr>
          <w:rFonts w:ascii="Times New Roman" w:hAnsi="Times New Roman"/>
          <w:color w:val="0D0D0D" w:themeColor="text1" w:themeTint="F2"/>
          <w:lang w:val="en-US"/>
        </w:rPr>
        <w:fldChar w:fldCharType="begin" w:fldLock="1"/>
      </w:r>
      <w:r w:rsidR="007F0C46" w:rsidRPr="00644CB1">
        <w:rPr>
          <w:rFonts w:ascii="Times New Roman" w:hAnsi="Times New Roman"/>
          <w:color w:val="0D0D0D" w:themeColor="text1" w:themeTint="F2"/>
          <w:lang w:val="en-US"/>
        </w:rPr>
        <w:instrText>ADDIN CSL_CITATION {"citationItems":[{"id":"ITEM-1","itemData":{"DOI":"10.17083/ijsg.v10i2.630","ISSN":"23848766","abstract":"Project management education is well suited for active learning through serious games, and a lot of research has been published on the use of serious games for project management education. Earlier reviews have focused on the content and features of project management serious games. But the objectives for using those serious games have been less reviewed. The aim of this study was to conduct a systematic review to better understand the objectives of using serious games in project management education, with the following research question: Why are project management serious games used in higher education? A systematic review was performed using the Preferred Reporting Items for Systematic Reviews and Meta-Analyses (PRISMA). A systematic search enabled us to identify 175 articles, of which forty-three met the eligibility criteria. An inductive content analysis of those articles showed that project management serious games are used for pedagogical and practical reasons. From a pedagogical perspective, serious games are mainly used to develop specific skills that are difficult to acquire in classic ex-cathedra lectures, such as practical competencies and soft skills. From a practical perspective, serious games are mainly used for proposing a risk-free trial environment. Based on our analysis, we propose a taxonomy of reasons for using PM games in higher education. Our research also reveals that few studies assess whether serious games meet all their objectives, and that more research is needed on how to implement them into a coherent pedagogical scenario.","author":[{"dropping-particle":"","family":"Hellström","given":"Magnus Mikael","non-dropping-particle":"","parse-names":false,"suffix":""},{"dropping-particle":"","family":"Jaccard","given":"Dominique","non-dropping-particle":"","parse-names":false,"suffix":""},{"dropping-particle":"","family":"Bonnier","given":"Knut Erik","non-dropping-particle":"","parse-names":false,"suffix":""}],"container-title":"International Journal of Serious Games","id":"ITEM-1","issue":"2","issued":{"date-parts":[["2023"]]},"page":"3-24","title":"A systematic review on the use of serious games in project management education","type":"article-journal","volume":"10"},"uris":["http://www.mendeley.com/documents/?uuid=f780fb5b-0808-43e1-a2f8-59c6075ad49b"]}],"mendeley":{"formattedCitation":"[29]","plainTextFormattedCitation":"[29]","previouslyFormattedCitation":"[29]"},"properties":{"noteIndex":0},"schema":"https://github.com/citation-style-language/schema/raw/master/csl-citation.json"}</w:instrText>
      </w:r>
      <w:r w:rsidR="00181385" w:rsidRPr="00644CB1">
        <w:rPr>
          <w:rFonts w:ascii="Times New Roman" w:hAnsi="Times New Roman"/>
          <w:color w:val="0D0D0D" w:themeColor="text1" w:themeTint="F2"/>
          <w:lang w:val="en-US"/>
        </w:rPr>
        <w:fldChar w:fldCharType="separate"/>
      </w:r>
      <w:r w:rsidR="00181385" w:rsidRPr="00644CB1">
        <w:rPr>
          <w:rFonts w:ascii="Times New Roman" w:hAnsi="Times New Roman"/>
          <w:noProof/>
          <w:color w:val="0D0D0D" w:themeColor="text1" w:themeTint="F2"/>
          <w:lang w:val="en-US"/>
        </w:rPr>
        <w:t>[29]</w:t>
      </w:r>
      <w:r w:rsidR="00181385"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findings that serious games facilitate active learning and soft skill development, our results demonstrate practical competency gains. However, unlike studies showing equivalent gains in theoretical and practical domains </w:t>
      </w:r>
      <w:r w:rsidR="007F0C46" w:rsidRPr="00644CB1">
        <w:rPr>
          <w:rFonts w:ascii="Times New Roman" w:hAnsi="Times New Roman"/>
          <w:color w:val="0D0D0D" w:themeColor="text1" w:themeTint="F2"/>
          <w:lang w:val="en-US"/>
        </w:rPr>
        <w:fldChar w:fldCharType="begin" w:fldLock="1"/>
      </w:r>
      <w:r w:rsidR="00213E75" w:rsidRPr="00644CB1">
        <w:rPr>
          <w:rFonts w:ascii="Times New Roman" w:hAnsi="Times New Roman"/>
          <w:color w:val="0D0D0D" w:themeColor="text1" w:themeTint="F2"/>
          <w:lang w:val="en-US"/>
        </w:rPr>
        <w:instrText>ADDIN CSL_CITATION {"citationItems":[{"id":"ITEM-1","itemData":{"DOI":"10.1037/a0031311","ISSN":"00220663","abstract":"It is assumed that serious games influences learning in 2 ways, by changing cognitive processes and by affecting motivation. However, until now research has shown little evidence for these assumptions. We used meta-analytic techniques to investigate whether serious games are more effective in terms of learning and more motivating than conventional instruction methods (learning: k 77, N 5,547; motivation: k 31, N 2,216). Consistent with our hypotheses, seriousgames were found to be more effective in terms of learning (d 0.29, p &lt;.01) and retention (d 0.36, p &lt;.01), but they were not more motivating (d 0.26, p &gt;.05) than conventional instruction methods. Additional moderator analyses on the learning effects revealed that learners in serious games learned more, relative to those taught with conventional instruction methods, when the game was supplemented with other instruction methods, when multiple training sessions were involved, and when players worked in groups. ©2013 American Psychological Association.","author":[{"dropping-particle":"","family":"Wouters","given":"Pieter","non-dropping-particle":"","parse-names":false,"suffix":""},{"dropping-particle":"","family":"Nimwegen","given":"Christof","non-dropping-particle":"van","parse-names":false,"suffix":""},{"dropping-particle":"","family":"Oostendorp","given":"Herre","non-dropping-particle":"van","parse-names":false,"suffix":""},{"dropping-particle":"","family":"Spek","given":"Erik D.","non-dropping-particle":"van Der","parse-names":false,"suffix":""}],"container-title":"Journal of Educational Psychology","id":"ITEM-1","issue":"2","issued":{"date-parts":[["2013"]]},"page":"249-265","title":"A meta-analysis of the cognitive and motivational effects of serious games","type":"article-journal","volume":"105"},"uris":["http://www.mendeley.com/documents/?uuid=d966e4ec-db84-487c-94cf-e39302c3c449"]}],"mendeley":{"formattedCitation":"[32]","plainTextFormattedCitation":"[32]","previouslyFormattedCitation":"[32]"},"properties":{"noteIndex":0},"schema":"https://github.com/citation-style-language/schema/raw/master/csl-citation.json"}</w:instrText>
      </w:r>
      <w:r w:rsidR="007F0C46" w:rsidRPr="00644CB1">
        <w:rPr>
          <w:rFonts w:ascii="Times New Roman" w:hAnsi="Times New Roman"/>
          <w:color w:val="0D0D0D" w:themeColor="text1" w:themeTint="F2"/>
          <w:lang w:val="en-US"/>
        </w:rPr>
        <w:fldChar w:fldCharType="separate"/>
      </w:r>
      <w:r w:rsidR="007F0C46" w:rsidRPr="00644CB1">
        <w:rPr>
          <w:rFonts w:ascii="Times New Roman" w:hAnsi="Times New Roman"/>
          <w:noProof/>
          <w:color w:val="0D0D0D" w:themeColor="text1" w:themeTint="F2"/>
          <w:lang w:val="en-US"/>
        </w:rPr>
        <w:t>[32]</w:t>
      </w:r>
      <w:r w:rsidR="007F0C46"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our data </w:t>
      </w:r>
      <w:r w:rsidR="00921FFB" w:rsidRPr="00644CB1">
        <w:rPr>
          <w:rFonts w:ascii="Times New Roman" w:hAnsi="Times New Roman"/>
          <w:color w:val="0D0D0D" w:themeColor="text1" w:themeTint="F2"/>
          <w:lang w:val="en-US"/>
        </w:rPr>
        <w:t>suggests</w:t>
      </w:r>
      <w:r w:rsidRPr="00644CB1">
        <w:rPr>
          <w:rFonts w:ascii="Times New Roman" w:hAnsi="Times New Roman"/>
          <w:color w:val="0D0D0D" w:themeColor="text1" w:themeTint="F2"/>
          <w:lang w:val="en-US"/>
        </w:rPr>
        <w:t xml:space="preserve"> that hybrid models may create differential learning pathways favoring experiential over declarative knowledge. This finding </w:t>
      </w:r>
      <w:r w:rsidR="008B719D">
        <w:rPr>
          <w:rFonts w:ascii="Times New Roman" w:hAnsi="Times New Roman"/>
          <w:color w:val="0D0D0D" w:themeColor="text1" w:themeTint="F2"/>
          <w:lang w:val="en-US"/>
        </w:rPr>
        <w:t xml:space="preserve">differs from </w:t>
      </w:r>
      <w:r w:rsidRPr="00644CB1">
        <w:rPr>
          <w:rFonts w:ascii="Times New Roman" w:hAnsi="Times New Roman"/>
          <w:color w:val="0D0D0D" w:themeColor="text1" w:themeTint="F2"/>
          <w:lang w:val="en-US"/>
        </w:rPr>
        <w:t xml:space="preserve">assumptions in Girard </w:t>
      </w:r>
      <w:r w:rsidRPr="00644CB1">
        <w:rPr>
          <w:rFonts w:ascii="Times New Roman" w:hAnsi="Times New Roman"/>
          <w:i/>
          <w:iCs/>
          <w:color w:val="0D0D0D" w:themeColor="text1" w:themeTint="F2"/>
          <w:lang w:val="en-US"/>
        </w:rPr>
        <w:t>et al.</w:t>
      </w:r>
      <w:r w:rsidRPr="00644CB1">
        <w:rPr>
          <w:rFonts w:ascii="Times New Roman" w:hAnsi="Times New Roman"/>
          <w:color w:val="0D0D0D" w:themeColor="text1" w:themeTint="F2"/>
          <w:lang w:val="en-US"/>
        </w:rPr>
        <w:t xml:space="preserve">'s </w:t>
      </w:r>
      <w:r w:rsidR="00213E75" w:rsidRPr="00644CB1">
        <w:rPr>
          <w:rFonts w:ascii="Times New Roman" w:hAnsi="Times New Roman"/>
          <w:color w:val="0D0D0D" w:themeColor="text1" w:themeTint="F2"/>
          <w:lang w:val="en-US"/>
        </w:rPr>
        <w:fldChar w:fldCharType="begin" w:fldLock="1"/>
      </w:r>
      <w:r w:rsidR="005A3043" w:rsidRPr="00644CB1">
        <w:rPr>
          <w:rFonts w:ascii="Times New Roman" w:hAnsi="Times New Roman"/>
          <w:color w:val="0D0D0D" w:themeColor="text1" w:themeTint="F2"/>
          <w:lang w:val="en-US"/>
        </w:rPr>
        <w:instrText>ADDIN CSL_CITATION {"citationItems":[{"id":"ITEM-1","itemData":{"DOI":"10.1111/j.1365-2729.2012.00489.x","ISSN":"02664909","abstract":"Computer-assisted learning is known to be an effective tool for improving learning in both adults and children. Recent years have seen the emergence of the so-called 'serious games (SGs)' that are flooding the educational games market. In this paper, the term 'serious games' is used to refer to video games (VGs) intended to serve a useful purpose. The objective was to review the results of experimental studies designed to examine the effectiveness of VGs and SGs on players' learning and engagement. After pointing out the varied nature of the obtained results and the impossibility of reaching any reliable conclusion concerning the effectiveness of VGs and SGs in learning, we stress the limitations of the existing literature and make a number of suggestions for future studies. © 2012 Blackwell Publishing Ltd.","author":[{"dropping-particle":"","family":"Girard","given":"C.","non-dropping-particle":"","parse-names":false,"suffix":""},{"dropping-particle":"","family":"Ecalle","given":"J.","non-dropping-particle":"","parse-names":false,"suffix":""},{"dropping-particle":"","family":"Magnan","given":"A.","non-dropping-particle":"","parse-names":false,"suffix":""}],"container-title":"Journal of Computer Assisted Learning","id":"ITEM-1","issue":"3","issued":{"date-parts":[["2013"]]},"page":"207-219","title":"Serious games as new educational tools: How effective are they? A meta-analysis of recent studies","type":"article-journal","volume":"29"},"uris":["http://www.mendeley.com/documents/?uuid=f92bca89-b5b0-43a7-84e5-9bdd8a5a6ab2"]}],"mendeley":{"formattedCitation":"[31]","plainTextFormattedCitation":"[31]","previouslyFormattedCitation":"[31]"},"properties":{"noteIndex":0},"schema":"https://github.com/citation-style-language/schema/raw/master/csl-citation.json"}</w:instrText>
      </w:r>
      <w:r w:rsidR="00213E75" w:rsidRPr="00644CB1">
        <w:rPr>
          <w:rFonts w:ascii="Times New Roman" w:hAnsi="Times New Roman"/>
          <w:color w:val="0D0D0D" w:themeColor="text1" w:themeTint="F2"/>
          <w:lang w:val="en-US"/>
        </w:rPr>
        <w:fldChar w:fldCharType="separate"/>
      </w:r>
      <w:r w:rsidR="00213E75" w:rsidRPr="00644CB1">
        <w:rPr>
          <w:rFonts w:ascii="Times New Roman" w:hAnsi="Times New Roman"/>
          <w:noProof/>
          <w:color w:val="0D0D0D" w:themeColor="text1" w:themeTint="F2"/>
          <w:lang w:val="en-US"/>
        </w:rPr>
        <w:t>[31]</w:t>
      </w:r>
      <w:r w:rsidR="00213E75" w:rsidRPr="00644CB1">
        <w:rPr>
          <w:rFonts w:ascii="Times New Roman" w:hAnsi="Times New Roman"/>
          <w:color w:val="0D0D0D" w:themeColor="text1" w:themeTint="F2"/>
          <w:lang w:val="en-US"/>
        </w:rPr>
        <w:fldChar w:fldCharType="end"/>
      </w:r>
      <w:r w:rsidR="007613C8"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work that serious games equally promote theoretical understanding and practical application.</w:t>
      </w:r>
    </w:p>
    <w:p w14:paraId="7B5F01DA" w14:textId="28A5C8C9" w:rsidR="00421E2C" w:rsidRPr="00644CB1" w:rsidRDefault="00421E2C" w:rsidP="001947BC">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The positive correlation (r = .497, p &lt; .001) between VIFT evaluation scores and organizers' assessments </w:t>
      </w:r>
      <w:proofErr w:type="gramStart"/>
      <w:r w:rsidRPr="00644CB1">
        <w:rPr>
          <w:rFonts w:ascii="Times New Roman" w:hAnsi="Times New Roman"/>
          <w:color w:val="0D0D0D" w:themeColor="text1" w:themeTint="F2"/>
          <w:lang w:val="en-US"/>
        </w:rPr>
        <w:t xml:space="preserve">provides </w:t>
      </w:r>
      <w:r w:rsidRPr="008B719D">
        <w:rPr>
          <w:rFonts w:ascii="Times New Roman" w:hAnsi="Times New Roman"/>
          <w:color w:val="0D0D0D" w:themeColor="text1" w:themeTint="F2"/>
          <w:lang w:val="en-US"/>
        </w:rPr>
        <w:t xml:space="preserve"> </w:t>
      </w:r>
      <w:r w:rsidR="008B719D" w:rsidRPr="001814B0">
        <w:rPr>
          <w:rFonts w:ascii="Times New Roman" w:hAnsi="Times New Roman"/>
          <w:color w:val="0D0D0D" w:themeColor="text1" w:themeTint="F2"/>
          <w:lang w:val="en-US"/>
        </w:rPr>
        <w:t>preliminary</w:t>
      </w:r>
      <w:proofErr w:type="gramEnd"/>
      <w:r w:rsidR="008B719D" w:rsidRPr="001814B0">
        <w:rPr>
          <w:rFonts w:ascii="Times New Roman" w:hAnsi="Times New Roman"/>
          <w:color w:val="0D0D0D" w:themeColor="text1" w:themeTint="F2"/>
          <w:lang w:val="en-US"/>
        </w:rPr>
        <w:t xml:space="preserve"> evidence supporting</w:t>
      </w:r>
      <w:r w:rsidR="008B719D"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 xml:space="preserve">the validity of the evaluation framework, </w:t>
      </w:r>
      <w:r w:rsidR="008B719D">
        <w:rPr>
          <w:rFonts w:ascii="Times New Roman" w:hAnsi="Times New Roman"/>
          <w:color w:val="0D0D0D" w:themeColor="text1" w:themeTint="F2"/>
          <w:lang w:val="en-US"/>
        </w:rPr>
        <w:t>suggesting</w:t>
      </w:r>
      <w:r w:rsidR="008B719D"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 xml:space="preserve">that the serious game environment </w:t>
      </w:r>
      <w:r w:rsidR="008B719D">
        <w:rPr>
          <w:rFonts w:ascii="Times New Roman" w:hAnsi="Times New Roman"/>
          <w:color w:val="0D0D0D" w:themeColor="text1" w:themeTint="F2"/>
          <w:lang w:val="en-US"/>
        </w:rPr>
        <w:t>may have</w:t>
      </w:r>
      <w:r w:rsidR="008B719D"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captured required competencies. However, the moderate rather than strong correlation (explaining only 25% of variance) suggests that participant satisfaction and organizer competence, while related, represent distinct constructs – a nuance absent in previous serious game evaluation studies.</w:t>
      </w:r>
    </w:p>
    <w:p w14:paraId="1F48B425" w14:textId="4E21B1C7" w:rsidR="00876EC4" w:rsidRPr="00644CB1" w:rsidRDefault="001F287C" w:rsidP="001947BC">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Gender differences proved non-significant in both theoretical knowledge (t = -1.606, p = .792) and VIFT evaluation (t = -.498, p = .619). This null finding </w:t>
      </w:r>
      <w:r w:rsidR="008B719D">
        <w:rPr>
          <w:rFonts w:ascii="Times New Roman" w:hAnsi="Times New Roman"/>
          <w:color w:val="0D0D0D" w:themeColor="text1" w:themeTint="F2"/>
          <w:lang w:val="en-US"/>
        </w:rPr>
        <w:t>differs from</w:t>
      </w:r>
      <w:r w:rsidR="008B719D"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documented gender disparities in gaming contexts where males typically demonstrate superior engagement and performance</w:t>
      </w:r>
      <w:r w:rsidR="00BB7A7B" w:rsidRPr="00644CB1">
        <w:rPr>
          <w:rFonts w:ascii="Times New Roman" w:hAnsi="Times New Roman"/>
          <w:color w:val="0D0D0D" w:themeColor="text1" w:themeTint="F2"/>
          <w:lang w:val="en-US"/>
        </w:rPr>
        <w:t xml:space="preserve"> </w:t>
      </w:r>
      <w:r w:rsidR="00BB7A7B" w:rsidRPr="00644CB1">
        <w:rPr>
          <w:rFonts w:ascii="Times New Roman" w:hAnsi="Times New Roman"/>
          <w:color w:val="0D0D0D" w:themeColor="text1" w:themeTint="F2"/>
          <w:lang w:val="en-US"/>
        </w:rPr>
        <w:fldChar w:fldCharType="begin" w:fldLock="1"/>
      </w:r>
      <w:r w:rsidR="00D820FD" w:rsidRPr="00644CB1">
        <w:rPr>
          <w:rFonts w:ascii="Times New Roman" w:hAnsi="Times New Roman"/>
          <w:color w:val="0D0D0D" w:themeColor="text1" w:themeTint="F2"/>
          <w:lang w:val="en-US"/>
        </w:rPr>
        <w:instrText>ADDIN CSL_CITATION {"citationItems":[{"id":"ITEM-1","itemData":{"DOI":"10.1016/j.chb.2010.12.013","ISSN":"07475632","abstract":"Generally, high-school students have been characterized as bored and disengaged from the learning process. However, certain educational designs promote excitement and engagement. Game-based learning is assumed to be such a design. In this study, the concept of flow is used as a framework to investigate student engagement in the process of gaming and to explain effects on game performance and student learning outcome. Frequency 1550, a game about medieval Amsterdam merging digital and urban play spaces, has been examined as an exemplar of game-based learning. This 1-day game was played in teams by 216 students of three schools for secondary education in Amsterdam. Generally, these students show flow with their game activities, although they were distracted by solving problems in technology and navigation. Flow was shown to have an effect on their game performance, but not on their learning outcome. Distractive activities and being occupied with competition between teams did show an effect on the learning outcome of students: the fewer students were distracted from the game and the more they were engaged in group competition, the more students learned about the medieval history of Amsterdam. Consequences for the design of game-based learning in secondary education are discussed. © 2011 Elsevier Ltd. All rights reserved.","author":[{"dropping-particle":"","family":"Admiraal","given":"Wilfried","non-dropping-particle":"","parse-names":false,"suffix":""},{"dropping-particle":"","family":"Huizenga","given":"Jantina","non-dropping-particle":"","parse-names":false,"suffix":""},{"dropping-particle":"","family":"Akkerman","given":"Sanne","non-dropping-particle":"","parse-names":false,"suffix":""},{"dropping-particle":"Ten","family":"Dam","given":"Geert","non-dropping-particle":"","parse-names":false,"suffix":""}],"container-title":"Computers in Human Behavior","id":"ITEM-1","issue":"3","issued":{"date-parts":[["2011"]]},"page":"1185-1194","publisher":"Elsevier Ltd","title":"The concept of flow in collaborative game-based learning","type":"article-journal","volume":"27"},"uris":["http://www.mendeley.com/documents/?uuid=196cd3e0-a56d-4814-8142-631aa2e2db8f"]},{"id":"ITEM-2","itemData":{"DOI":"10.1111/j.1467-8535.2007.00732.x","ISSN":"0007-1013","abstract":"Digital games are evolving beyond the solitary context into a ubiquitous, social and collaborative experience. Addressing beliefs about technology and attitudes towards technology‐mediated processes is fundamental to the successful implementation of any innovation. In collaborative gaming, attitude towards gaming influences learners' interactions along the domain, technology and community dimensions. Building on various seminal works, an instrument was developed for measuring four components of attitude towards gaming—affective components, perceived control, perceived usefulness and behavioural components. The survey, including 21 statements each scored on a 5‐point Likert scale, was used with a sample of college students to investigate the influence of gender and gaming competence on attitude towards gaming. The pedagogical implications of the different attitude components are discussed in relation to game design and to the different interactions triggered by the gaming context.","author":[{"dropping-particle":"","family":"Bonanno","given":"Philip","non-dropping-particle":"","parse-names":false,"suffix":""},{"dropping-particle":"","family":"Kommers","given":"P. A. M.","non-dropping-particle":"","parse-names":false,"suffix":""}],"container-title":"British Journal of Educational Technology","id":"ITEM-2","issue":"1","issued":{"date-parts":[["2008","1","2"]]},"page":"97-109","title":"Exploring the influence of gender and gaming competence on attitudes towards using instructional games","type":"article-journal","volume":"39"},"uris":["http://www.mendeley.com/documents/?uuid=6fdc5397-9c26-4816-9068-439dd2d42d74"]}],"mendeley":{"formattedCitation":"[55], [56]","plainTextFormattedCitation":"[55], [56]","previouslyFormattedCitation":"[54], [55]"},"properties":{"noteIndex":0},"schema":"https://github.com/citation-style-language/schema/raw/master/csl-citation.json"}</w:instrText>
      </w:r>
      <w:r w:rsidR="00BB7A7B" w:rsidRPr="00644CB1">
        <w:rPr>
          <w:rFonts w:ascii="Times New Roman" w:hAnsi="Times New Roman"/>
          <w:color w:val="0D0D0D" w:themeColor="text1" w:themeTint="F2"/>
          <w:lang w:val="en-US"/>
        </w:rPr>
        <w:fldChar w:fldCharType="separate"/>
      </w:r>
      <w:r w:rsidR="00D820FD" w:rsidRPr="00644CB1">
        <w:rPr>
          <w:rFonts w:ascii="Times New Roman" w:hAnsi="Times New Roman"/>
          <w:noProof/>
          <w:color w:val="0D0D0D" w:themeColor="text1" w:themeTint="F2"/>
          <w:lang w:val="en-US"/>
        </w:rPr>
        <w:t>[55], [56]</w:t>
      </w:r>
      <w:r w:rsidR="00BB7A7B"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The absence of gender effects when serious games are embedded within structured educational frameworks suggests traditional gaps may be mitigated through pedagogical design </w:t>
      </w:r>
      <w:r w:rsidR="007C440B" w:rsidRPr="00644CB1">
        <w:rPr>
          <w:rFonts w:ascii="Times New Roman" w:hAnsi="Times New Roman"/>
          <w:color w:val="0D0D0D" w:themeColor="text1" w:themeTint="F2"/>
          <w:lang w:val="en-US"/>
        </w:rPr>
        <w:fldChar w:fldCharType="begin" w:fldLock="1"/>
      </w:r>
      <w:r w:rsidR="00D820FD" w:rsidRPr="00644CB1">
        <w:rPr>
          <w:rFonts w:ascii="Times New Roman" w:hAnsi="Times New Roman"/>
          <w:color w:val="0D0D0D" w:themeColor="text1" w:themeTint="F2"/>
          <w:lang w:val="en-US"/>
        </w:rPr>
        <w:instrText>ADDIN CSL_CITATION {"citationItems":[{"id":"ITEM-1","itemData":{"DOI":"10.24059/olj.v18i2.435","ISSN":"2472-5730","abstract":"As mobile devices become more prominent in the lives of students, the use of mobile devices has the potential to transform learning. Mobile learning, or mLearning, is defined as learning that is personalized, situated, and connected through the use of a mobile device. As mLearning activities are developed, there is a need for a framework within which mLearning activities can be evaluated. The SAMR Model (Puentadura, 2012) provides such a framework. This paper reviews recent literature on mLearning and provides examples of activities that fall within each of the four classifications of the SAMR Model: substitution, augmentation, modification, and redefinition.","author":[{"dropping-particle":"","family":"Romrell","given":"Danae","non-dropping-particle":"","parse-names":false,"suffix":""},{"dropping-particle":"","family":"Kidder","given":"Lisa C.","non-dropping-particle":"","parse-names":false,"suffix":""},{"dropping-particle":"","family":"Wood","given":"Emma","non-dropping-particle":"","parse-names":false,"suffix":""}],"container-title":"Online Learning","id":"ITEM-1","issue":"2","issued":{"date-parts":[["2014","6","20"]]},"page":"1-15","title":"The SAMR Model as a Framework for Evaluating mLearning","type":"article-journal","volume":"18"},"uris":["http://www.mendeley.com/documents/?uuid=28534c02-5ea8-447b-9ed1-f7c2b06379b7"]}],"mendeley":{"formattedCitation":"[57]","plainTextFormattedCitation":"[57]","previouslyFormattedCitation":"[56]"},"properties":{"noteIndex":0},"schema":"https://github.com/citation-style-language/schema/raw/master/csl-citation.json"}</w:instrText>
      </w:r>
      <w:r w:rsidR="007C440B" w:rsidRPr="00644CB1">
        <w:rPr>
          <w:rFonts w:ascii="Times New Roman" w:hAnsi="Times New Roman"/>
          <w:color w:val="0D0D0D" w:themeColor="text1" w:themeTint="F2"/>
          <w:lang w:val="en-US"/>
        </w:rPr>
        <w:fldChar w:fldCharType="separate"/>
      </w:r>
      <w:r w:rsidR="00D820FD" w:rsidRPr="00644CB1">
        <w:rPr>
          <w:rFonts w:ascii="Times New Roman" w:hAnsi="Times New Roman"/>
          <w:noProof/>
          <w:color w:val="0D0D0D" w:themeColor="text1" w:themeTint="F2"/>
          <w:lang w:val="en-US"/>
        </w:rPr>
        <w:t>[57]</w:t>
      </w:r>
      <w:r w:rsidR="007C440B"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w:t>
      </w:r>
      <w:r w:rsidR="00876EC4"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The gender parity likely reflects the hybrid model's dual emphasis on virtual gameplay and authentic professional tasks. Women's comparable theoretical performance combined with equal practical evaluation</w:t>
      </w:r>
      <w:r w:rsidR="008B719D">
        <w:rPr>
          <w:rFonts w:ascii="Times New Roman" w:hAnsi="Times New Roman"/>
          <w:color w:val="0D0D0D" w:themeColor="text1" w:themeTint="F2"/>
          <w:lang w:val="en-US"/>
        </w:rPr>
        <w:t xml:space="preserve"> provide</w:t>
      </w:r>
      <w:r w:rsidRPr="00644CB1">
        <w:rPr>
          <w:rFonts w:ascii="Times New Roman" w:hAnsi="Times New Roman"/>
          <w:color w:val="0D0D0D" w:themeColor="text1" w:themeTint="F2"/>
          <w:lang w:val="en-US"/>
        </w:rPr>
        <w:t xml:space="preserve"> support</w:t>
      </w:r>
      <w:r w:rsidR="008B719D">
        <w:rPr>
          <w:rFonts w:ascii="Times New Roman" w:hAnsi="Times New Roman"/>
          <w:color w:val="0D0D0D" w:themeColor="text1" w:themeTint="F2"/>
          <w:lang w:val="en-US"/>
        </w:rPr>
        <w:t xml:space="preserve"> for</w:t>
      </w:r>
      <w:r w:rsidRPr="00644CB1">
        <w:rPr>
          <w:rFonts w:ascii="Times New Roman" w:hAnsi="Times New Roman"/>
          <w:color w:val="0D0D0D" w:themeColor="text1" w:themeTint="F2"/>
          <w:lang w:val="en-US"/>
        </w:rPr>
        <w:t xml:space="preserve"> social constructivist views attributing performance differences to socialization rather than inherent capabilities </w:t>
      </w:r>
      <w:r w:rsidR="00E75CD5" w:rsidRPr="00644CB1">
        <w:rPr>
          <w:rFonts w:ascii="Times New Roman" w:hAnsi="Times New Roman"/>
          <w:color w:val="0D0D0D" w:themeColor="text1" w:themeTint="F2"/>
          <w:lang w:val="en-US"/>
        </w:rPr>
        <w:fldChar w:fldCharType="begin" w:fldLock="1"/>
      </w:r>
      <w:r w:rsidR="00D820FD" w:rsidRPr="00644CB1">
        <w:rPr>
          <w:rFonts w:ascii="Times New Roman" w:hAnsi="Times New Roman"/>
          <w:color w:val="0D0D0D" w:themeColor="text1" w:themeTint="F2"/>
          <w:lang w:val="en-US"/>
        </w:rPr>
        <w:instrText>ADDIN CSL_CITATION {"citationItems":[{"id":"ITEM-1","itemData":{"DOI":"10.1093/cje/ben057","ISSN":"0309-166X","author":[{"dropping-particle":"","family":"Wajcman","given":"J.","non-dropping-particle":"","parse-names":false,"suffix":""}],"container-title":"Cambridge Journal of Economics","id":"ITEM-1","issue":"1","issued":{"date-parts":[["2010","1","1"]]},"page":"143-152","title":"Feminist theories of technology","type":"article-journal","volume":"34"},"uris":["http://www.mendeley.com/documents/?uuid=947194bf-6f2f-460a-a296-e968f7e950d3"]}],"mendeley":{"formattedCitation":"[58]","plainTextFormattedCitation":"[58]","previouslyFormattedCitation":"[57]"},"properties":{"noteIndex":0},"schema":"https://github.com/citation-style-language/schema/raw/master/csl-citation.json"}</w:instrText>
      </w:r>
      <w:r w:rsidR="00E75CD5" w:rsidRPr="00644CB1">
        <w:rPr>
          <w:rFonts w:ascii="Times New Roman" w:hAnsi="Times New Roman"/>
          <w:color w:val="0D0D0D" w:themeColor="text1" w:themeTint="F2"/>
          <w:lang w:val="en-US"/>
        </w:rPr>
        <w:fldChar w:fldCharType="separate"/>
      </w:r>
      <w:r w:rsidR="00D820FD" w:rsidRPr="00644CB1">
        <w:rPr>
          <w:rFonts w:ascii="Times New Roman" w:hAnsi="Times New Roman"/>
          <w:noProof/>
          <w:color w:val="0D0D0D" w:themeColor="text1" w:themeTint="F2"/>
          <w:lang w:val="en-US"/>
        </w:rPr>
        <w:t>[58]</w:t>
      </w:r>
      <w:r w:rsidR="00E75CD5"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w:t>
      </w:r>
      <w:r w:rsidR="00876EC4" w:rsidRPr="00644CB1">
        <w:rPr>
          <w:rFonts w:ascii="Times New Roman" w:hAnsi="Times New Roman"/>
          <w:color w:val="0D0D0D" w:themeColor="text1" w:themeTint="F2"/>
          <w:lang w:val="en-US"/>
        </w:rPr>
        <w:t xml:space="preserve"> </w:t>
      </w:r>
    </w:p>
    <w:p w14:paraId="52A6C8B8" w14:textId="7DADEC64" w:rsidR="001F287C" w:rsidRPr="00644CB1" w:rsidRDefault="001F287C" w:rsidP="001947BC">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Prior experience effects revealed a more nuanced pattern. Students with </w:t>
      </w:r>
      <w:r w:rsidR="00A96257" w:rsidRPr="00644CB1">
        <w:rPr>
          <w:rFonts w:ascii="Times New Roman" w:hAnsi="Times New Roman"/>
          <w:color w:val="0D0D0D" w:themeColor="text1" w:themeTint="F2"/>
          <w:lang w:val="en-US"/>
        </w:rPr>
        <w:t>prior</w:t>
      </w:r>
      <w:r w:rsidRPr="00644CB1">
        <w:rPr>
          <w:rFonts w:ascii="Times New Roman" w:hAnsi="Times New Roman"/>
          <w:color w:val="0D0D0D" w:themeColor="text1" w:themeTint="F2"/>
          <w:lang w:val="en-US"/>
        </w:rPr>
        <w:t xml:space="preserve"> experience significantly outperformed novices in theoretical knowledge</w:t>
      </w:r>
      <w:r w:rsidR="00534108">
        <w:rPr>
          <w:rFonts w:ascii="Times New Roman" w:hAnsi="Times New Roman"/>
          <w:color w:val="0D0D0D" w:themeColor="text1" w:themeTint="F2"/>
          <w:lang w:val="en-US"/>
        </w:rPr>
        <w:t xml:space="preserve"> </w:t>
      </w:r>
      <w:r w:rsidR="008B719D" w:rsidRPr="00534108">
        <w:rPr>
          <w:rFonts w:ascii="Times New Roman" w:hAnsi="Times New Roman"/>
          <w:color w:val="0D0D0D" w:themeColor="text1" w:themeTint="F2"/>
          <w:lang w:val="en-US"/>
        </w:rPr>
        <w:t>(M = 8.04 vs. M = 5.96</w:t>
      </w:r>
      <w:r w:rsidR="00A10523" w:rsidRPr="00534108">
        <w:rPr>
          <w:rFonts w:ascii="Times New Roman" w:hAnsi="Times New Roman"/>
          <w:color w:val="0D0D0D" w:themeColor="text1" w:themeTint="F2"/>
          <w:lang w:val="en-US"/>
        </w:rPr>
        <w:t>)</w:t>
      </w:r>
      <w:r w:rsidR="00355FBE" w:rsidRPr="00644CB1">
        <w:rPr>
          <w:rFonts w:ascii="Times New Roman" w:hAnsi="Times New Roman"/>
          <w:color w:val="0D0D0D" w:themeColor="text1" w:themeTint="F2"/>
          <w:lang w:val="en-US"/>
        </w:rPr>
        <w:t xml:space="preserve">. This </w:t>
      </w:r>
      <w:r w:rsidR="00C11F44" w:rsidRPr="00644CB1">
        <w:rPr>
          <w:rFonts w:ascii="Times New Roman" w:hAnsi="Times New Roman"/>
          <w:color w:val="0D0D0D" w:themeColor="text1" w:themeTint="F2"/>
          <w:lang w:val="en-US"/>
        </w:rPr>
        <w:t>is</w:t>
      </w:r>
      <w:r w:rsidRPr="00644CB1">
        <w:rPr>
          <w:rFonts w:ascii="Times New Roman" w:hAnsi="Times New Roman"/>
          <w:color w:val="0D0D0D" w:themeColor="text1" w:themeTint="F2"/>
          <w:lang w:val="en-US"/>
        </w:rPr>
        <w:t xml:space="preserve"> consistent with schema theory's prediction that prior knowledge structures facilitate learning </w:t>
      </w:r>
      <w:r w:rsidR="007C440B" w:rsidRPr="00644CB1">
        <w:rPr>
          <w:rFonts w:ascii="Times New Roman" w:hAnsi="Times New Roman"/>
          <w:color w:val="0D0D0D" w:themeColor="text1" w:themeTint="F2"/>
          <w:lang w:val="en-US"/>
        </w:rPr>
        <w:fldChar w:fldCharType="begin" w:fldLock="1"/>
      </w:r>
      <w:r w:rsidR="00D820FD" w:rsidRPr="00644CB1">
        <w:rPr>
          <w:rFonts w:ascii="Times New Roman" w:hAnsi="Times New Roman"/>
          <w:color w:val="0D0D0D" w:themeColor="text1" w:themeTint="F2"/>
          <w:lang w:val="en-US"/>
        </w:rPr>
        <w:instrText>ADDIN CSL_CITATION {"citationItems":[{"id":"ITEM-1","itemData":{"DOI":"10.1017/CBO9780511844744.004","author":[{"dropping-particle":"","family":"Sweller","given":"John","non-dropping-particle":"","parse-names":false,"suffix":""}],"container-title":"Cognitive Load Theory","editor":[{"dropping-particle":"","family":"Plass","given":"J. L.","non-dropping-particle":"","parse-names":false,"suffix":""},{"dropping-particle":"","family":"Moreno","given":"R.","non-dropping-particle":"","parse-names":false,"suffix":""},{"dropping-particle":"","family":"Brünken","given":"R.","non-dropping-particle":"","parse-names":false,"suffix":""}],"id":"ITEM-1","issued":{"date-parts":[["2010","4","26"]]},"page":"29-47","publisher":"Cambridge University Press","publisher-place":"New York, NY","title":"Cognitive Load Theory: Recent Theoretical Advances","type":"chapter"},"uris":["http://www.mendeley.com/documents/?uuid=d50e07b9-95c5-413a-9af6-c908d3aef4a9"]}],"mendeley":{"formattedCitation":"[59]","plainTextFormattedCitation":"[59]","previouslyFormattedCitation":"[58]"},"properties":{"noteIndex":0},"schema":"https://github.com/citation-style-language/schema/raw/master/csl-citation.json"}</w:instrText>
      </w:r>
      <w:r w:rsidR="007C440B" w:rsidRPr="00644CB1">
        <w:rPr>
          <w:rFonts w:ascii="Times New Roman" w:hAnsi="Times New Roman"/>
          <w:color w:val="0D0D0D" w:themeColor="text1" w:themeTint="F2"/>
          <w:lang w:val="en-US"/>
        </w:rPr>
        <w:fldChar w:fldCharType="separate"/>
      </w:r>
      <w:r w:rsidR="00D820FD" w:rsidRPr="00644CB1">
        <w:rPr>
          <w:rFonts w:ascii="Times New Roman" w:hAnsi="Times New Roman"/>
          <w:noProof/>
          <w:color w:val="0D0D0D" w:themeColor="text1" w:themeTint="F2"/>
          <w:lang w:val="en-US"/>
        </w:rPr>
        <w:t>[59]</w:t>
      </w:r>
      <w:r w:rsidR="007C440B"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Critically, however, this advantage did not extend to practical execution—all students demonstrated high deliverable quality (M = 8.54). This suggests the hybrid model </w:t>
      </w:r>
      <w:r w:rsidR="008B719D">
        <w:rPr>
          <w:rFonts w:ascii="Times New Roman" w:hAnsi="Times New Roman"/>
          <w:color w:val="0D0D0D" w:themeColor="text1" w:themeTint="F2"/>
          <w:lang w:val="en-US"/>
        </w:rPr>
        <w:t xml:space="preserve">may </w:t>
      </w:r>
      <w:r w:rsidRPr="00644CB1">
        <w:rPr>
          <w:rFonts w:ascii="Times New Roman" w:hAnsi="Times New Roman"/>
          <w:color w:val="0D0D0D" w:themeColor="text1" w:themeTint="F2"/>
          <w:lang w:val="en-US"/>
        </w:rPr>
        <w:t>democratize practical skill acquisition while rewarding prior knowledge theoretically, providing scaffolding that enables novices to achieve practical competency independent of theoretical mastery.</w:t>
      </w:r>
    </w:p>
    <w:p w14:paraId="2B729926" w14:textId="7FD940E9" w:rsidR="00B153E6" w:rsidRDefault="00B153E6" w:rsidP="001947BC">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Several factors merit consideration for international adaptation of this hybrid learning model. Regarding cultural adaptability, while football's global popularity enhances transferability, educational preferences and gaming acceptance vary culturally </w:t>
      </w:r>
      <w:r w:rsidR="009D2BF1" w:rsidRPr="00644CB1">
        <w:rPr>
          <w:rFonts w:ascii="Times New Roman" w:hAnsi="Times New Roman"/>
          <w:color w:val="0D0D0D" w:themeColor="text1" w:themeTint="F2"/>
          <w:lang w:val="en-US"/>
        </w:rPr>
        <w:fldChar w:fldCharType="begin" w:fldLock="1"/>
      </w:r>
      <w:r w:rsidR="00D820FD" w:rsidRPr="00644CB1">
        <w:rPr>
          <w:rFonts w:ascii="Times New Roman" w:hAnsi="Times New Roman"/>
          <w:color w:val="0D0D0D" w:themeColor="text1" w:themeTint="F2"/>
          <w:lang w:val="en-US"/>
        </w:rPr>
        <w:instrText>ADDIN CSL_CITATION {"citationItems":[{"id":"ITEM-1","itemData":{"author":[{"dropping-particle":"","family":"Hofstede","given":"G.","non-dropping-particle":"","parse-names":false,"suffix":""}],"edition":"2nd","id":"ITEM-1","issued":{"date-parts":[["2001"]]},"publisher":"Sage Publications","publisher-place":"London, UK","title":"No TitleCulture's consequences: Comparing values, behaviors, institutions and organizations across nations","type":"book"},"uris":["http://www.mendeley.com/documents/?uuid=f2fec2f2-3209-4fb8-b288-131799960697"]}],"mendeley":{"formattedCitation":"[60]","plainTextFormattedCitation":"[60]","previouslyFormattedCitation":"[59]"},"properties":{"noteIndex":0},"schema":"https://github.com/citation-style-language/schema/raw/master/csl-citation.json"}</w:instrText>
      </w:r>
      <w:r w:rsidR="009D2BF1" w:rsidRPr="00644CB1">
        <w:rPr>
          <w:rFonts w:ascii="Times New Roman" w:hAnsi="Times New Roman"/>
          <w:color w:val="0D0D0D" w:themeColor="text1" w:themeTint="F2"/>
          <w:lang w:val="en-US"/>
        </w:rPr>
        <w:fldChar w:fldCharType="separate"/>
      </w:r>
      <w:r w:rsidR="00D820FD" w:rsidRPr="00644CB1">
        <w:rPr>
          <w:rFonts w:ascii="Times New Roman" w:hAnsi="Times New Roman"/>
          <w:noProof/>
          <w:color w:val="0D0D0D" w:themeColor="text1" w:themeTint="F2"/>
          <w:lang w:val="en-US"/>
        </w:rPr>
        <w:t>[60]</w:t>
      </w:r>
      <w:r w:rsidR="009D2BF1"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and hierarchical educational systems may require additional scaffolding to support student autonomy in game-based learning. From a technological infrastructure perspective, implementation depends on digital access and connectivity. Top Eleven's multi-platform availability enhances accessibility, yet the digital divide remains a barrier in resource-constrained contexts </w:t>
      </w:r>
      <w:r w:rsidR="009D2BF1" w:rsidRPr="00644CB1">
        <w:rPr>
          <w:rFonts w:ascii="Times New Roman" w:hAnsi="Times New Roman"/>
          <w:color w:val="0D0D0D" w:themeColor="text1" w:themeTint="F2"/>
          <w:lang w:val="en-US"/>
        </w:rPr>
        <w:fldChar w:fldCharType="begin" w:fldLock="1"/>
      </w:r>
      <w:r w:rsidR="00D820FD" w:rsidRPr="00644CB1">
        <w:rPr>
          <w:rFonts w:ascii="Times New Roman" w:hAnsi="Times New Roman"/>
          <w:color w:val="0D0D0D" w:themeColor="text1" w:themeTint="F2"/>
          <w:lang w:val="en-US"/>
        </w:rPr>
        <w:instrText>ADDIN CSL_CITATION {"citationItems":[{"id":"ITEM-1","itemData":{"author":[{"dropping-particle":"","family":"Warschauer","given":"Mark","non-dropping-particle":"","parse-names":false,"suffix":""}],"id":"ITEM-1","issued":{"date-parts":[["2004"]]},"publisher":"MIT press","publisher-place":"London, UK","title":"Technology and social inclusion: Rethinking the digital divide","type":"book"},"uris":["http://www.mendeley.com/documents/?uuid=6e1b74f8-91f8-4635-be0a-0be170c52495"]}],"mendeley":{"formattedCitation":"[61]","plainTextFormattedCitation":"[61]","previouslyFormattedCitation":"[60]"},"properties":{"noteIndex":0},"schema":"https://github.com/citation-style-language/schema/raw/master/csl-citation.json"}</w:instrText>
      </w:r>
      <w:r w:rsidR="009D2BF1" w:rsidRPr="00644CB1">
        <w:rPr>
          <w:rFonts w:ascii="Times New Roman" w:hAnsi="Times New Roman"/>
          <w:color w:val="0D0D0D" w:themeColor="text1" w:themeTint="F2"/>
          <w:lang w:val="en-US"/>
        </w:rPr>
        <w:fldChar w:fldCharType="separate"/>
      </w:r>
      <w:r w:rsidR="00D820FD" w:rsidRPr="00644CB1">
        <w:rPr>
          <w:rFonts w:ascii="Times New Roman" w:hAnsi="Times New Roman"/>
          <w:noProof/>
          <w:color w:val="0D0D0D" w:themeColor="text1" w:themeTint="F2"/>
          <w:lang w:val="en-US"/>
        </w:rPr>
        <w:t>[61]</w:t>
      </w:r>
      <w:r w:rsidR="009D2BF1"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where low-bandwidth alternatives or greater emphasis on real-world components may be necessary. Institutional flexibility represents another critical consideration, as the model requires curricular flexibility for semester-long authentic projects. While rigid systems may constrain implementation, the framework's modular design</w:t>
      </w:r>
      <w:r w:rsidR="00B51EE9" w:rsidRPr="00B51EE9">
        <w:rPr>
          <w:rFonts w:ascii="Times New Roman" w:hAnsi="Times New Roman"/>
          <w:color w:val="0D0D0D" w:themeColor="text1" w:themeTint="F2"/>
          <w:lang w:val="en-US"/>
        </w:rPr>
        <w:t xml:space="preserve"> - </w:t>
      </w:r>
      <w:r w:rsidRPr="00644CB1">
        <w:rPr>
          <w:rFonts w:ascii="Times New Roman" w:hAnsi="Times New Roman"/>
          <w:color w:val="0D0D0D" w:themeColor="text1" w:themeTint="F2"/>
          <w:lang w:val="en-US"/>
        </w:rPr>
        <w:t>discrete scenarios aligned with specific objectives</w:t>
      </w:r>
      <w:r w:rsidR="00B51EE9" w:rsidRPr="00B51EE9">
        <w:rPr>
          <w:rFonts w:ascii="Times New Roman" w:hAnsi="Times New Roman"/>
          <w:color w:val="0D0D0D" w:themeColor="text1" w:themeTint="F2"/>
          <w:lang w:val="en-US"/>
        </w:rPr>
        <w:t xml:space="preserve"> - </w:t>
      </w:r>
      <w:r w:rsidRPr="00644CB1">
        <w:rPr>
          <w:rFonts w:ascii="Times New Roman" w:hAnsi="Times New Roman"/>
          <w:color w:val="0D0D0D" w:themeColor="text1" w:themeTint="F2"/>
          <w:lang w:val="en-US"/>
        </w:rPr>
        <w:t xml:space="preserve">allows institutional adaptation across diverse educational contexts. Localization considerations are equally important: Top Eleven's 31-language availability facilitates implementation, but developing culturally appropriate scenarios requires localized expertise in sport management practices, sponsorship norms, and regulatory frameworks </w:t>
      </w:r>
      <w:r w:rsidR="00481BFC" w:rsidRPr="00644CB1">
        <w:rPr>
          <w:rFonts w:ascii="Times New Roman" w:hAnsi="Times New Roman"/>
          <w:color w:val="0D0D0D" w:themeColor="text1" w:themeTint="F2"/>
          <w:lang w:val="en-US"/>
        </w:rPr>
        <w:fldChar w:fldCharType="begin" w:fldLock="1"/>
      </w:r>
      <w:r w:rsidR="00D820FD" w:rsidRPr="00644CB1">
        <w:rPr>
          <w:rFonts w:ascii="Times New Roman" w:hAnsi="Times New Roman"/>
          <w:color w:val="0D0D0D" w:themeColor="text1" w:themeTint="F2"/>
          <w:lang w:val="en-US"/>
        </w:rPr>
        <w:instrText>ADDIN CSL_CITATION {"citationItems":[{"id":"ITEM-1","itemData":{"ISBN":"9781492596271","author":[{"dropping-particle":"","family":"Chelladurai","given":"Packianathan","non-dropping-particle":"","parse-names":false,"suffix":""},{"dropping-particle":"","family":"Kerwin","given":"Shannon","non-dropping-particle":"","parse-names":false,"suffix":""}],"edition":"3rd","id":"ITEM-1","issued":{"date-parts":[["2018"]]},"publisher":"Human Kinetics","publisher-place":"Champaign, IL","title":"Human Resource Management in Sport and Recreation","type":"book"},"uris":["http://www.mendeley.com/documents/?uuid=a2b04f15-9898-4269-ae70-b744b334f9b8"]}],"mendeley":{"formattedCitation":"[62]","plainTextFormattedCitation":"[62]","previouslyFormattedCitation":"[61]"},"properties":{"noteIndex":0},"schema":"https://github.com/citation-style-language/schema/raw/master/csl-citation.json"}</w:instrText>
      </w:r>
      <w:r w:rsidR="00481BFC" w:rsidRPr="00644CB1">
        <w:rPr>
          <w:rFonts w:ascii="Times New Roman" w:hAnsi="Times New Roman"/>
          <w:color w:val="0D0D0D" w:themeColor="text1" w:themeTint="F2"/>
          <w:lang w:val="en-US"/>
        </w:rPr>
        <w:fldChar w:fldCharType="separate"/>
      </w:r>
      <w:r w:rsidR="00D820FD" w:rsidRPr="00644CB1">
        <w:rPr>
          <w:rFonts w:ascii="Times New Roman" w:hAnsi="Times New Roman"/>
          <w:noProof/>
          <w:color w:val="0D0D0D" w:themeColor="text1" w:themeTint="F2"/>
          <w:lang w:val="en-US"/>
        </w:rPr>
        <w:t>[62]</w:t>
      </w:r>
      <w:r w:rsidR="00481BFC"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Finally, regulatory considerations must be addressed, as student engagement with commercial entities requires navigation of institutional policies, liability, and ethical boundaries that vary significantly across educational systems.</w:t>
      </w:r>
    </w:p>
    <w:p w14:paraId="1428AE3D" w14:textId="77777777" w:rsidR="00B529BF" w:rsidRDefault="00B529BF" w:rsidP="001947BC">
      <w:pPr>
        <w:spacing w:line="264" w:lineRule="auto"/>
        <w:ind w:firstLine="284"/>
        <w:jc w:val="both"/>
        <w:rPr>
          <w:rFonts w:ascii="Times New Roman" w:hAnsi="Times New Roman"/>
          <w:color w:val="0D0D0D" w:themeColor="text1" w:themeTint="F2"/>
          <w:lang w:val="en-US"/>
        </w:rPr>
      </w:pPr>
    </w:p>
    <w:p w14:paraId="5DFA9CAC" w14:textId="77777777" w:rsidR="00B529BF" w:rsidRPr="00644CB1" w:rsidRDefault="00B529BF" w:rsidP="001947BC">
      <w:pPr>
        <w:spacing w:line="264" w:lineRule="auto"/>
        <w:ind w:firstLine="284"/>
        <w:jc w:val="both"/>
        <w:rPr>
          <w:rFonts w:ascii="Times New Roman" w:hAnsi="Times New Roman"/>
          <w:color w:val="0D0D0D" w:themeColor="text1" w:themeTint="F2"/>
          <w:lang w:val="en-US"/>
        </w:rPr>
      </w:pPr>
    </w:p>
    <w:p w14:paraId="0D216708" w14:textId="41F259CE" w:rsidR="00C85726" w:rsidRPr="00644CB1" w:rsidRDefault="00C85726" w:rsidP="00C85726">
      <w:pPr>
        <w:pStyle w:val="2"/>
        <w:numPr>
          <w:ilvl w:val="1"/>
          <w:numId w:val="7"/>
        </w:numPr>
        <w:ind w:left="567" w:hanging="567"/>
        <w:rPr>
          <w:color w:val="0D0D0D" w:themeColor="text1" w:themeTint="F2"/>
        </w:rPr>
      </w:pPr>
      <w:r w:rsidRPr="00644CB1">
        <w:rPr>
          <w:color w:val="0D0D0D" w:themeColor="text1" w:themeTint="F2"/>
        </w:rPr>
        <w:lastRenderedPageBreak/>
        <w:t xml:space="preserve">Hybrid </w:t>
      </w:r>
      <w:r w:rsidR="004005E6" w:rsidRPr="00644CB1">
        <w:rPr>
          <w:color w:val="0D0D0D" w:themeColor="text1" w:themeTint="F2"/>
        </w:rPr>
        <w:t>l</w:t>
      </w:r>
      <w:r w:rsidRPr="00644CB1">
        <w:rPr>
          <w:color w:val="0D0D0D" w:themeColor="text1" w:themeTint="F2"/>
        </w:rPr>
        <w:t xml:space="preserve">earning </w:t>
      </w:r>
      <w:r w:rsidR="004005E6" w:rsidRPr="00644CB1">
        <w:rPr>
          <w:color w:val="0D0D0D" w:themeColor="text1" w:themeTint="F2"/>
        </w:rPr>
        <w:t>m</w:t>
      </w:r>
      <w:r w:rsidRPr="00644CB1">
        <w:rPr>
          <w:color w:val="0D0D0D" w:themeColor="text1" w:themeTint="F2"/>
        </w:rPr>
        <w:t xml:space="preserve">odel </w:t>
      </w:r>
      <w:r w:rsidR="004005E6" w:rsidRPr="00644CB1">
        <w:rPr>
          <w:color w:val="0D0D0D" w:themeColor="text1" w:themeTint="F2"/>
        </w:rPr>
        <w:t>e</w:t>
      </w:r>
      <w:r w:rsidRPr="00644CB1">
        <w:rPr>
          <w:color w:val="0D0D0D" w:themeColor="text1" w:themeTint="F2"/>
        </w:rPr>
        <w:t>ffectiveness</w:t>
      </w:r>
    </w:p>
    <w:p w14:paraId="4BC44636" w14:textId="566B1C86" w:rsidR="00DD7FCB" w:rsidRPr="00644CB1" w:rsidRDefault="00DD7FCB" w:rsidP="00DD7FCB">
      <w:pPr>
        <w:spacing w:line="264" w:lineRule="auto"/>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The study's hybrid approach, combining digital game elements with real-world components, addresses a critical gap identified in sport event management education. The integration of Salem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's </w:t>
      </w:r>
      <w:r w:rsidR="005A3043" w:rsidRPr="00644CB1">
        <w:rPr>
          <w:rFonts w:ascii="Times New Roman" w:hAnsi="Times New Roman"/>
          <w:color w:val="0D0D0D" w:themeColor="text1" w:themeTint="F2"/>
          <w:lang w:val="en-US"/>
        </w:rPr>
        <w:fldChar w:fldCharType="begin" w:fldLock="1"/>
      </w:r>
      <w:r w:rsidR="005A3043" w:rsidRPr="00644CB1">
        <w:rPr>
          <w:rFonts w:ascii="Times New Roman" w:hAnsi="Times New Roman"/>
          <w:color w:val="0D0D0D" w:themeColor="text1" w:themeTint="F2"/>
          <w:lang w:val="en-US"/>
        </w:rPr>
        <w:instrText>ADDIN CSL_CITATION {"citationItems":[{"id":"ITEM-1","itemData":{"ISBN":"978-0-7506-5872-0","author":[{"dropping-particle":"","family":"Salem","given":"G.","non-dropping-particle":"","parse-names":false,"suffix":""},{"dropping-particle":"","family":"Jones","given":"E.","non-dropping-particle":"","parse-names":false,"suffix":""},{"dropping-particle":"","family":"Morgan","given":"N.","non-dropping-particle":"","parse-names":false,"suffix":""}],"container-title":"Festival and events management: an international arts and culture perspective","editor":[{"dropping-particle":"","family":"Yeoman","given":"I.","non-dropping-particle":"","parse-names":false,"suffix":""},{"dropping-particle":"","family":"Robertson","given":"M.","non-dropping-particle":"","parse-names":false,"suffix":""},{"dropping-particle":"","family":"Ali-Knight","given":"J.A.","non-dropping-particle":"","parse-names":false,"suffix":""},{"dropping-particle":"","family":"Drummond","given":"S.","non-dropping-particle":"","parse-names":false,"suffix":""},{"dropping-particle":"","family":"McMahon-Beattie","given":"U.","non-dropping-particle":"","parse-names":false,"suffix":""}],"id":"ITEM-1","issued":{"date-parts":[["2014"]]},"page":"14-31","publisher":"Elsevier Butterworth-Heinemann","publisher-place":"Boston, MA","title":"An overview of events management","type":"chapter"},"uris":["http://www.mendeley.com/documents/?uuid=74ce0dc2-1ee2-4d79-8055-f405e3731374"]}],"mendeley":{"formattedCitation":"[38]","plainTextFormattedCitation":"[38]","previouslyFormattedCitation":"[38]"},"properties":{"noteIndex":0},"schema":"https://github.com/citation-style-language/schema/raw/master/csl-citation.json"}</w:instrText>
      </w:r>
      <w:r w:rsidR="005A3043" w:rsidRPr="00644CB1">
        <w:rPr>
          <w:rFonts w:ascii="Times New Roman" w:hAnsi="Times New Roman"/>
          <w:color w:val="0D0D0D" w:themeColor="text1" w:themeTint="F2"/>
          <w:lang w:val="en-US"/>
        </w:rPr>
        <w:fldChar w:fldCharType="separate"/>
      </w:r>
      <w:r w:rsidR="005A3043" w:rsidRPr="00644CB1">
        <w:rPr>
          <w:rFonts w:ascii="Times New Roman" w:hAnsi="Times New Roman"/>
          <w:noProof/>
          <w:color w:val="0D0D0D" w:themeColor="text1" w:themeTint="F2"/>
          <w:lang w:val="en-US"/>
        </w:rPr>
        <w:t>[38]</w:t>
      </w:r>
      <w:r w:rsidR="005A3043"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Unified Model of Events Management with Misfeldt's </w:t>
      </w:r>
      <w:r w:rsidR="005A3043" w:rsidRPr="00644CB1">
        <w:rPr>
          <w:rFonts w:ascii="Times New Roman" w:hAnsi="Times New Roman"/>
          <w:color w:val="0D0D0D" w:themeColor="text1" w:themeTint="F2"/>
          <w:lang w:val="en-US"/>
        </w:rPr>
        <w:fldChar w:fldCharType="begin" w:fldLock="1"/>
      </w:r>
      <w:r w:rsidR="00012FA5" w:rsidRPr="00644CB1">
        <w:rPr>
          <w:rFonts w:ascii="Times New Roman" w:hAnsi="Times New Roman"/>
          <w:color w:val="0D0D0D" w:themeColor="text1" w:themeTint="F2"/>
          <w:lang w:val="en-US"/>
        </w:rPr>
        <w:instrText>ADDIN CSL_CITATION {"citationItems":[{"id":"ITEM-1","itemData":{"ISSN":"14794403","abstract":"In this paper I describe s how students use a project management simulation game based on an attack-defense mechanism where two teams of players compete by challenging each other’s projects. The project management simulation game is intended to be played by pre-service construction workers and engineers. The gameplay has two parts: a planning part, where the player make managerial decisions about his construction site, and a challenge part where the player chooses between typical problems to occur on the opponent’s construction site. Playing the game involves analyzing both your own and you opponent’s building project for weak spots. The intention of the project management simulation game, is to provide students with an increased sensitivity towards the relation between planning and reality in complex construction projects. The project management simulation game can be interpreted both as a competitive game and as a simulation. Both of these views are meaningful and can be seen as supporting learning. Emphasizing the simulation aspect let us explain how students learn by being immersed into a simulated world, where the players identify with specific roles, live out specific situations, and experiment with relevant parameters. Emphasizing the competition game aspect we can see how play and competition allow players to experience intrinsic motivation and engagement, as well as thinking strategically about their choices, and hence put attention towards all the things that can go wrong in construction work. The goal of the paper is to investigate empirically how these two understandings influence game experience and learning outcome. This question is approached by qualitative post-game interviews about the experienced fun, competition and realism. Specific attention is given to how the understandings of the experience (for instance as a game and as a simulation) is entangled when the students describe their experience. Using the concepts frame and domain it is analyzed how the students conceptualize and make meaning of the particular educational scenario manifested by the project management simulation game. We take as an outset that students interpret the situations in the project management simulation game as relating to one or several domains, especially the domains competition and simulation. Results suggest that the views of the scenario as a competition and as a simulation do coexist, and that these views merge in a subtle way. The players consider the…","author":[{"dropping-particle":"","family":"Misfeldt","given":"Morten","non-dropping-particle":"","parse-names":false,"suffix":""}],"container-title":"Electronic Journal of e-Learning","id":"ITEM-1","issue":"3","issued":{"date-parts":[["2015"]]},"page":"181-191","title":"Scenario based education as a framework for understanding students engagement and learning in a project management simulation game","type":"article-journal","volume":"13"},"uris":["http://www.mendeley.com/documents/?uuid=092313e4-c29d-4f9b-b151-b70746c3b863"]}],"mendeley":{"formattedCitation":"[45]","plainTextFormattedCitation":"[45]","previouslyFormattedCitation":"[45]"},"properties":{"noteIndex":0},"schema":"https://github.com/citation-style-language/schema/raw/master/csl-citation.json"}</w:instrText>
      </w:r>
      <w:r w:rsidR="005A3043" w:rsidRPr="00644CB1">
        <w:rPr>
          <w:rFonts w:ascii="Times New Roman" w:hAnsi="Times New Roman"/>
          <w:color w:val="0D0D0D" w:themeColor="text1" w:themeTint="F2"/>
          <w:lang w:val="en-US"/>
        </w:rPr>
        <w:fldChar w:fldCharType="separate"/>
      </w:r>
      <w:r w:rsidR="005A3043" w:rsidRPr="00644CB1">
        <w:rPr>
          <w:rFonts w:ascii="Times New Roman" w:hAnsi="Times New Roman"/>
          <w:noProof/>
          <w:color w:val="0D0D0D" w:themeColor="text1" w:themeTint="F2"/>
          <w:lang w:val="en-US"/>
        </w:rPr>
        <w:t>[45]</w:t>
      </w:r>
      <w:r w:rsidR="005A3043"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Scenario-Based Education Framework created a comprehensive learning environment that transcended traditional classroom limitations. This approach directly addresses Lower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's </w:t>
      </w:r>
      <w:r w:rsidR="00012FA5" w:rsidRPr="00644CB1">
        <w:rPr>
          <w:rFonts w:ascii="Times New Roman" w:hAnsi="Times New Roman"/>
          <w:color w:val="0D0D0D" w:themeColor="text1" w:themeTint="F2"/>
          <w:lang w:val="en-US"/>
        </w:rPr>
        <w:fldChar w:fldCharType="begin" w:fldLock="1"/>
      </w:r>
      <w:r w:rsidR="00F616EB" w:rsidRPr="00644CB1">
        <w:rPr>
          <w:rFonts w:ascii="Times New Roman" w:hAnsi="Times New Roman"/>
          <w:color w:val="0D0D0D" w:themeColor="text1" w:themeTint="F2"/>
          <w:lang w:val="en-US"/>
        </w:rPr>
        <w:instrText>ADDIN CSL_CITATION {"citationItems":[{"id":"ITEM-1","itemData":{"DOI":"https://doi.org/10.1123/smej.2018-0024","author":[{"dropping-particle":"","family":"Lower-Hoppe","given":"Leeann M","non-dropping-particle":"","parse-names":false,"suffix":""},{"dropping-particle":"","family":"Wanless","given":"Liz A","non-dropping-particle":"","parse-names":false,"suffix":""},{"dropping-particle":"","family":"Aldridge","given":"Sarah M","non-dropping-particle":"","parse-names":false,"suffix":""},{"dropping-particle":"","family":"Jones","given":"Daniel W","non-dropping-particle":"","parse-names":false,"suffix":""}],"container-title":"Sport Management Education Journal","id":"ITEM-1","issue":"2","issued":{"date-parts":[["2019"]]},"page":"105-116","publisher":"Human Kinetics","title":"Integrating blended learning within sport event management curriculum","type":"article-journal","volume":"13"},"uris":["http://www.mendeley.com/documents/?uuid=5010f17d-06fa-4c40-b9ae-a03da032775c"]}],"mendeley":{"formattedCitation":"[13]","plainTextFormattedCitation":"[13]","previouslyFormattedCitation":"[13]"},"properties":{"noteIndex":0},"schema":"https://github.com/citation-style-language/schema/raw/master/csl-citation.json"}</w:instrText>
      </w:r>
      <w:r w:rsidR="00012FA5" w:rsidRPr="00644CB1">
        <w:rPr>
          <w:rFonts w:ascii="Times New Roman" w:hAnsi="Times New Roman"/>
          <w:color w:val="0D0D0D" w:themeColor="text1" w:themeTint="F2"/>
          <w:lang w:val="en-US"/>
        </w:rPr>
        <w:fldChar w:fldCharType="separate"/>
      </w:r>
      <w:r w:rsidR="00012FA5" w:rsidRPr="00644CB1">
        <w:rPr>
          <w:rFonts w:ascii="Times New Roman" w:hAnsi="Times New Roman"/>
          <w:noProof/>
          <w:color w:val="0D0D0D" w:themeColor="text1" w:themeTint="F2"/>
          <w:lang w:val="en-US"/>
        </w:rPr>
        <w:t>[13]</w:t>
      </w:r>
      <w:r w:rsidR="00012FA5"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xml:space="preserve"> assertion that experiential learning is critical in sport management education, particularly given that event organizers have only one opportunity to execute events successfully.</w:t>
      </w:r>
    </w:p>
    <w:p w14:paraId="43C667B3" w14:textId="43F6F128" w:rsidR="00DD7FCB" w:rsidRPr="00644CB1" w:rsidRDefault="00DD7FCB" w:rsidP="00DD7FCB">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The successful implementation of real-world marketing activities, including securing actual sponsorships from organizations like Adidas Hellas and Hellenic Football Federation, demonstrates that the hybrid model </w:t>
      </w:r>
      <w:r w:rsidR="00877174">
        <w:rPr>
          <w:rFonts w:ascii="Times New Roman" w:hAnsi="Times New Roman"/>
          <w:color w:val="0D0D0D" w:themeColor="text1" w:themeTint="F2"/>
          <w:lang w:val="en-US"/>
        </w:rPr>
        <w:t>may help</w:t>
      </w:r>
      <w:r w:rsidR="00877174" w:rsidRPr="00644CB1">
        <w:rPr>
          <w:rFonts w:ascii="Times New Roman" w:hAnsi="Times New Roman"/>
          <w:color w:val="0D0D0D" w:themeColor="text1" w:themeTint="F2"/>
          <w:lang w:val="en-US"/>
        </w:rPr>
        <w:t xml:space="preserve"> </w:t>
      </w:r>
      <w:r w:rsidRPr="00644CB1">
        <w:rPr>
          <w:rFonts w:ascii="Times New Roman" w:hAnsi="Times New Roman"/>
          <w:color w:val="0D0D0D" w:themeColor="text1" w:themeTint="F2"/>
          <w:lang w:val="en-US"/>
        </w:rPr>
        <w:t xml:space="preserve">bridge the theory-practice gap. This finding supports the theoretical foundation provided by Constructivist Learning Theory </w:t>
      </w:r>
      <w:r w:rsidR="00F616EB" w:rsidRPr="00644CB1">
        <w:rPr>
          <w:rFonts w:ascii="Times New Roman" w:hAnsi="Times New Roman"/>
          <w:color w:val="0D0D0D" w:themeColor="text1" w:themeTint="F2"/>
          <w:lang w:val="en-US"/>
        </w:rPr>
        <w:fldChar w:fldCharType="begin" w:fldLock="1"/>
      </w:r>
      <w:r w:rsidR="00E01B58" w:rsidRPr="00644CB1">
        <w:rPr>
          <w:rFonts w:ascii="Times New Roman" w:hAnsi="Times New Roman"/>
          <w:color w:val="0D0D0D" w:themeColor="text1" w:themeTint="F2"/>
          <w:lang w:val="en-US"/>
        </w:rPr>
        <w:instrText>ADDIN CSL_CITATION {"citationItems":[{"id":"ITEM-1","itemData":{"DOI":"10.9790/7388-05616670","abstract":"Constructivism represents one of the big ideas in education. Its implications for how teachers teach and learn to teach are enormous. If our efforts in reforming education for all students are to succeed, then we must focus on students. To date, a focus on student-centered learning may well be the most important contribution of constructivism. This article, therefore, discusses constructivism learning theory as a paradigm for teaching and learning. Constructivism is a learning theory found in psychology which explains how people might acquire knowledge and learn. It therefore has direct application to education. The theory suggests that humans construct knowledge and meaning from their experiences. Conceptual understanding of the theory was discussed as well as basic characteristics of constructivists learning environment. Seven pedagogical goals of constructivist learning environments and six benefits of constructivism were outlined in this article. Significant differences between traditional classroom and constructivist classroom were spelt out in a tabular form. Furthermore,principles of constructivism and several implications of constructivism for teaching and learningwere reviewed. The study, therefore, concluded that teachers need to reflect on their practice in order to apply these ideas to their work and that constructivist teachers encourage students to constantly assess how the activity is helping them gain understanding.","author":[{"dropping-particle":"","family":"Bada","given":"S.O.","non-dropping-particle":"","parse-names":false,"suffix":""},{"dropping-particle":"","family":"Olusegun","given":"Steve","non-dropping-particle":"","parse-names":false,"suffix":""}],"container-title":"IOSR Journal of Research &amp; Method in Education Ver. I","id":"ITEM-1","issue":"6","issued":{"date-parts":[["2015"]]},"page":"2320-7388","title":"Constructivism Learning Theory: A Paradigm for Teaching and Learning","type":"article-journal","volume":"5"},"uris":["http://www.mendeley.com/documents/?uuid=8b762976-94f4-4f83-9f1a-53c2f616ae78"]}],"mendeley":{"formattedCitation":"[36]","plainTextFormattedCitation":"[36]","previouslyFormattedCitation":"[36]"},"properties":{"noteIndex":0},"schema":"https://github.com/citation-style-language/schema/raw/master/csl-citation.json"}</w:instrText>
      </w:r>
      <w:r w:rsidR="00F616EB" w:rsidRPr="00644CB1">
        <w:rPr>
          <w:rFonts w:ascii="Times New Roman" w:hAnsi="Times New Roman"/>
          <w:color w:val="0D0D0D" w:themeColor="text1" w:themeTint="F2"/>
          <w:lang w:val="en-US"/>
        </w:rPr>
        <w:fldChar w:fldCharType="separate"/>
      </w:r>
      <w:r w:rsidR="00F616EB" w:rsidRPr="00644CB1">
        <w:rPr>
          <w:rFonts w:ascii="Times New Roman" w:hAnsi="Times New Roman"/>
          <w:noProof/>
          <w:color w:val="0D0D0D" w:themeColor="text1" w:themeTint="F2"/>
          <w:lang w:val="en-US"/>
        </w:rPr>
        <w:t>[36]</w:t>
      </w:r>
      <w:r w:rsidR="00F616EB"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which emphasizes that learners actively construct knowledge through prior understanding and experience. The integration of authentic marketing tasks with virtual tournament management created meaningful learning experiences that traditional instruction alone cannot provide.</w:t>
      </w:r>
    </w:p>
    <w:p w14:paraId="038168C4" w14:textId="17F35777" w:rsidR="00DD7FCB" w:rsidRPr="00644CB1" w:rsidRDefault="00DD7FCB" w:rsidP="00DD7FCB">
      <w:pPr>
        <w:spacing w:line="264" w:lineRule="auto"/>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 xml:space="preserve">The high satisfaction ratings from participants (Organizers Evaluation M = 4.82; VIFT Evaluation M = 4.45) suggest that the hybrid approach not only facilitated learning but also enhanced student engagement and motivation. This aligns with research by </w:t>
      </w:r>
      <w:proofErr w:type="spellStart"/>
      <w:r w:rsidRPr="00644CB1">
        <w:rPr>
          <w:rFonts w:ascii="Times New Roman" w:hAnsi="Times New Roman"/>
          <w:color w:val="0D0D0D" w:themeColor="text1" w:themeTint="F2"/>
          <w:lang w:val="en-US"/>
        </w:rPr>
        <w:t>Kotsopoulos</w:t>
      </w:r>
      <w:proofErr w:type="spellEnd"/>
      <w:r w:rsidRPr="00644CB1">
        <w:rPr>
          <w:rFonts w:ascii="Times New Roman" w:hAnsi="Times New Roman"/>
          <w:color w:val="0D0D0D" w:themeColor="text1" w:themeTint="F2"/>
          <w:lang w:val="en-US"/>
        </w:rPr>
        <w:t xml:space="preserve"> </w:t>
      </w:r>
      <w:r w:rsidR="00E12378" w:rsidRPr="00644CB1">
        <w:rPr>
          <w:rFonts w:ascii="Times New Roman" w:hAnsi="Times New Roman"/>
          <w:i/>
          <w:color w:val="0D0D0D" w:themeColor="text1" w:themeTint="F2"/>
          <w:lang w:val="en-US"/>
        </w:rPr>
        <w:t>et al.</w:t>
      </w:r>
      <w:r w:rsidRPr="00644CB1">
        <w:rPr>
          <w:rFonts w:ascii="Times New Roman" w:hAnsi="Times New Roman"/>
          <w:color w:val="0D0D0D" w:themeColor="text1" w:themeTint="F2"/>
          <w:lang w:val="en-US"/>
        </w:rPr>
        <w:t xml:space="preserve"> </w:t>
      </w:r>
      <w:r w:rsidR="00E01B58" w:rsidRPr="00644CB1">
        <w:rPr>
          <w:rFonts w:ascii="Times New Roman" w:hAnsi="Times New Roman"/>
          <w:color w:val="0D0D0D" w:themeColor="text1" w:themeTint="F2"/>
          <w:lang w:val="en-US"/>
        </w:rPr>
        <w:fldChar w:fldCharType="begin" w:fldLock="1"/>
      </w:r>
      <w:r w:rsidR="004877CB" w:rsidRPr="00644CB1">
        <w:rPr>
          <w:rFonts w:ascii="Times New Roman" w:hAnsi="Times New Roman"/>
          <w:color w:val="0D0D0D" w:themeColor="text1" w:themeTint="F2"/>
          <w:lang w:val="en-US"/>
        </w:rPr>
        <w:instrText>ADDIN CSL_CITATION {"citationItems":[{"id":"ITEM-1","itemData":{"DOI":"10.17083/ijsg.v5i2.225","abstract":"Gamification can be used to effect positive behavioral change in various fields, including energy conservation. This paper reports on a survey we conducted to formulate a holistic view of users’ profiles and preferences in an Internet of Things (IoT)-enabled gamified mobile application that provides personalized energy-saving recommendation tips to employees, towards conserving energy and adopting a more green behavior at the workplace. The collected insight dictates that a gamified app promoting energy saving at the workplace may become a daily habit for its users if it at least includes three game design elements: progression, levels and points. Additionally, we complement existing design guidelines about the requirements of each HEXAD gamification user type (Philanthropist, Socializer, Free Spirit, Achiever, Disruptor, Player) in game elements, specifically for energy efficiency applications. Thus, we apply and validate the HEXAD gamification user typology in a new context – multicultural workplaces – as well as domain – energy-saving. Moreover, the collected insight inspired us to devise a modular, rule-based mechanism for formulating personalized energy-saving recommendation tips tailored to the users’ profiles and game design choices. This research may assist researchers, as well as practitioners, in designing personalized gamified behavioral interventions, especially towards energy conservation in workplaces.","author":[{"dropping-particle":"","family":"Kotsopoulos","given":"Dimosthenis","non-dropping-particle":"","parse-names":false,"suffix":""},{"dropping-particle":"","family":"Bardaki","given":"Cleopatra","non-dropping-particle":"","parse-names":false,"suffix":""},{"dropping-particle":"","family":"Lounis","given":"Stavros","non-dropping-particle":"","parse-names":false,"suffix":""},{"dropping-particle":"","family":"Pramatari","given":"Katerina","non-dropping-particle":"","parse-names":false,"suffix":""}],"container-title":"International Journal of Serious Games","id":"ITEM-1","issue":"2","issued":{"date-parts":[["2018"]]},"page":"65-85","title":"Employee Profiles and Preferences towards IoT-enabled Gamification for Energy Conservation","type":"article-journal","volume":"5"},"uris":["http://www.mendeley.com/documents/?uuid=cc833e6f-a9dc-46ee-a2aa-aefc0a52e84f"]}],"mendeley":{"formattedCitation":"[26]","plainTextFormattedCitation":"[26]","previouslyFormattedCitation":"[26]"},"properties":{"noteIndex":0},"schema":"https://github.com/citation-style-language/schema/raw/master/csl-citation.json"}</w:instrText>
      </w:r>
      <w:r w:rsidR="00E01B58" w:rsidRPr="00644CB1">
        <w:rPr>
          <w:rFonts w:ascii="Times New Roman" w:hAnsi="Times New Roman"/>
          <w:color w:val="0D0D0D" w:themeColor="text1" w:themeTint="F2"/>
          <w:lang w:val="en-US"/>
        </w:rPr>
        <w:fldChar w:fldCharType="separate"/>
      </w:r>
      <w:r w:rsidR="00E01B58" w:rsidRPr="00644CB1">
        <w:rPr>
          <w:rFonts w:ascii="Times New Roman" w:hAnsi="Times New Roman"/>
          <w:noProof/>
          <w:color w:val="0D0D0D" w:themeColor="text1" w:themeTint="F2"/>
          <w:lang w:val="en-US"/>
        </w:rPr>
        <w:t>[26]</w:t>
      </w:r>
      <w:r w:rsidR="00E01B58" w:rsidRPr="00644CB1">
        <w:rPr>
          <w:rFonts w:ascii="Times New Roman" w:hAnsi="Times New Roman"/>
          <w:color w:val="0D0D0D" w:themeColor="text1" w:themeTint="F2"/>
          <w:lang w:val="en-US"/>
        </w:rPr>
        <w:fldChar w:fldCharType="end"/>
      </w:r>
      <w:r w:rsidRPr="00644CB1">
        <w:rPr>
          <w:rFonts w:ascii="Times New Roman" w:hAnsi="Times New Roman"/>
          <w:color w:val="0D0D0D" w:themeColor="text1" w:themeTint="F2"/>
          <w:lang w:val="en-US"/>
        </w:rPr>
        <w:t>, who found that serious games and gamification promote behavioral change, enhance student participation, and improve academic performance.</w:t>
      </w:r>
    </w:p>
    <w:p w14:paraId="2B045FD1" w14:textId="78C7F3F4" w:rsidR="00F8116E" w:rsidRPr="00644CB1" w:rsidRDefault="00DD7FCB" w:rsidP="000A5218">
      <w:pPr>
        <w:pStyle w:val="2"/>
        <w:numPr>
          <w:ilvl w:val="1"/>
          <w:numId w:val="7"/>
        </w:numPr>
        <w:ind w:left="567" w:hanging="567"/>
        <w:rPr>
          <w:color w:val="0D0D0D" w:themeColor="text1" w:themeTint="F2"/>
        </w:rPr>
      </w:pPr>
      <w:r w:rsidRPr="00644CB1">
        <w:rPr>
          <w:color w:val="0D0D0D" w:themeColor="text1" w:themeTint="F2"/>
        </w:rPr>
        <w:t xml:space="preserve">Implications for </w:t>
      </w:r>
      <w:r w:rsidR="00DC7A8D" w:rsidRPr="00644CB1">
        <w:rPr>
          <w:color w:val="0D0D0D" w:themeColor="text1" w:themeTint="F2"/>
        </w:rPr>
        <w:t>sport event management education</w:t>
      </w:r>
    </w:p>
    <w:p w14:paraId="484B3035" w14:textId="390A5CBA" w:rsidR="007737CD" w:rsidRPr="00644CB1" w:rsidRDefault="007737CD" w:rsidP="007737CD">
      <w:pPr>
        <w:spacing w:line="264" w:lineRule="auto"/>
        <w:jc w:val="both"/>
        <w:rPr>
          <w:rFonts w:ascii="Times New Roman" w:hAnsi="Times New Roman"/>
          <w:color w:val="0D0D0D" w:themeColor="text1" w:themeTint="F2"/>
          <w:lang w:val="en-US"/>
        </w:rPr>
      </w:pPr>
      <w:r w:rsidRPr="00644CB1">
        <w:rPr>
          <w:rFonts w:ascii="Times New Roman" w:hAnsi="Times New Roman"/>
          <w:color w:val="0D0D0D" w:themeColor="text1" w:themeTint="F2"/>
        </w:rPr>
        <w:t xml:space="preserve">The findings have significant theoretical and practical implications for sport event management education. Theoretically, the study provides first empirical evidence demonstrating how commercial serious games </w:t>
      </w:r>
      <w:r w:rsidR="00877174">
        <w:rPr>
          <w:rFonts w:ascii="Times New Roman" w:hAnsi="Times New Roman"/>
          <w:color w:val="0D0D0D" w:themeColor="text1" w:themeTint="F2"/>
        </w:rPr>
        <w:t>may</w:t>
      </w:r>
      <w:r w:rsidR="00877174" w:rsidRPr="00644CB1">
        <w:rPr>
          <w:rFonts w:ascii="Times New Roman" w:hAnsi="Times New Roman"/>
          <w:color w:val="0D0D0D" w:themeColor="text1" w:themeTint="F2"/>
        </w:rPr>
        <w:t xml:space="preserve"> </w:t>
      </w:r>
      <w:r w:rsidRPr="00644CB1">
        <w:rPr>
          <w:rFonts w:ascii="Times New Roman" w:hAnsi="Times New Roman"/>
          <w:color w:val="0D0D0D" w:themeColor="text1" w:themeTint="F2"/>
        </w:rPr>
        <w:t>be systematically integrated into sport management curriculum through structured educational frameworks. This addresses the research gap identified in the literature, where fewer than ten pertinent articles were found examining serious games applications in sports management education between 2010 and 2024.</w:t>
      </w:r>
    </w:p>
    <w:p w14:paraId="078543B7" w14:textId="335FB16F" w:rsidR="007737CD" w:rsidRPr="00644CB1" w:rsidRDefault="007737CD" w:rsidP="007737CD">
      <w:pPr>
        <w:spacing w:line="264" w:lineRule="auto"/>
        <w:ind w:firstLine="284"/>
        <w:jc w:val="both"/>
        <w:rPr>
          <w:rFonts w:ascii="Times New Roman" w:hAnsi="Times New Roman"/>
          <w:color w:val="0D0D0D" w:themeColor="text1" w:themeTint="F2"/>
        </w:rPr>
      </w:pPr>
      <w:r w:rsidRPr="00644CB1">
        <w:rPr>
          <w:rFonts w:ascii="Times New Roman" w:hAnsi="Times New Roman"/>
          <w:color w:val="0D0D0D" w:themeColor="text1" w:themeTint="F2"/>
        </w:rPr>
        <w:t xml:space="preserve">From a practical perspective, the study offers a replicable educational model that enables sport event management educators to provide students with hands-on experience in a controlled, risk-free environment. The successful application of both the Unified Model of Events Management </w:t>
      </w:r>
      <w:r w:rsidR="004877CB" w:rsidRPr="00644CB1">
        <w:rPr>
          <w:rFonts w:ascii="Times New Roman" w:hAnsi="Times New Roman"/>
          <w:color w:val="0D0D0D" w:themeColor="text1" w:themeTint="F2"/>
        </w:rPr>
        <w:fldChar w:fldCharType="begin" w:fldLock="1"/>
      </w:r>
      <w:r w:rsidR="004877CB" w:rsidRPr="00644CB1">
        <w:rPr>
          <w:rFonts w:ascii="Times New Roman" w:hAnsi="Times New Roman"/>
          <w:color w:val="0D0D0D" w:themeColor="text1" w:themeTint="F2"/>
        </w:rPr>
        <w:instrText>ADDIN CSL_CITATION {"citationItems":[{"id":"ITEM-1","itemData":{"ISBN":"978-0-7506-5872-0","author":[{"dropping-particle":"","family":"Salem","given":"G.","non-dropping-particle":"","parse-names":false,"suffix":""},{"dropping-particle":"","family":"Jones","given":"E.","non-dropping-particle":"","parse-names":false,"suffix":""},{"dropping-particle":"","family":"Morgan","given":"N.","non-dropping-particle":"","parse-names":false,"suffix":""}],"container-title":"Festival and events management: an international arts and culture perspective","editor":[{"dropping-particle":"","family":"Yeoman","given":"I.","non-dropping-particle":"","parse-names":false,"suffix":""},{"dropping-particle":"","family":"Robertson","given":"M.","non-dropping-particle":"","parse-names":false,"suffix":""},{"dropping-particle":"","family":"Ali-Knight","given":"J.A.","non-dropping-particle":"","parse-names":false,"suffix":""},{"dropping-particle":"","family":"Drummond","given":"S.","non-dropping-particle":"","parse-names":false,"suffix":""},{"dropping-particle":"","family":"McMahon-Beattie","given":"U.","non-dropping-particle":"","parse-names":false,"suffix":""}],"id":"ITEM-1","issued":{"date-parts":[["2014"]]},"page":"14-31","publisher":"Elsevier Butterworth-Heinemann","publisher-place":"Boston, MA","title":"An overview of events management","type":"chapter"},"uris":["http://www.mendeley.com/documents/?uuid=74ce0dc2-1ee2-4d79-8055-f405e3731374"]}],"mendeley":{"formattedCitation":"[38]","plainTextFormattedCitation":"[38]","previouslyFormattedCitation":"[38]"},"properties":{"noteIndex":0},"schema":"https://github.com/citation-style-language/schema/raw/master/csl-citation.json"}</w:instrText>
      </w:r>
      <w:r w:rsidR="004877CB" w:rsidRPr="00644CB1">
        <w:rPr>
          <w:rFonts w:ascii="Times New Roman" w:hAnsi="Times New Roman"/>
          <w:color w:val="0D0D0D" w:themeColor="text1" w:themeTint="F2"/>
        </w:rPr>
        <w:fldChar w:fldCharType="separate"/>
      </w:r>
      <w:r w:rsidR="004877CB" w:rsidRPr="00644CB1">
        <w:rPr>
          <w:rFonts w:ascii="Times New Roman" w:hAnsi="Times New Roman"/>
          <w:noProof/>
          <w:color w:val="0D0D0D" w:themeColor="text1" w:themeTint="F2"/>
        </w:rPr>
        <w:t>[38]</w:t>
      </w:r>
      <w:r w:rsidR="004877CB" w:rsidRPr="00644CB1">
        <w:rPr>
          <w:rFonts w:ascii="Times New Roman" w:hAnsi="Times New Roman"/>
          <w:color w:val="0D0D0D" w:themeColor="text1" w:themeTint="F2"/>
        </w:rPr>
        <w:fldChar w:fldCharType="end"/>
      </w:r>
      <w:r w:rsidRPr="00644CB1">
        <w:rPr>
          <w:rFonts w:ascii="Times New Roman" w:hAnsi="Times New Roman"/>
          <w:color w:val="0D0D0D" w:themeColor="text1" w:themeTint="F2"/>
        </w:rPr>
        <w:t xml:space="preserve"> and Scenario-Based Education Framework </w:t>
      </w:r>
      <w:r w:rsidR="004877CB" w:rsidRPr="00644CB1">
        <w:rPr>
          <w:rFonts w:ascii="Times New Roman" w:hAnsi="Times New Roman"/>
          <w:color w:val="0D0D0D" w:themeColor="text1" w:themeTint="F2"/>
        </w:rPr>
        <w:fldChar w:fldCharType="begin" w:fldLock="1"/>
      </w:r>
      <w:r w:rsidR="00847F95" w:rsidRPr="00644CB1">
        <w:rPr>
          <w:rFonts w:ascii="Times New Roman" w:hAnsi="Times New Roman"/>
          <w:color w:val="0D0D0D" w:themeColor="text1" w:themeTint="F2"/>
        </w:rPr>
        <w:instrText>ADDIN CSL_CITATION {"citationItems":[{"id":"ITEM-1","itemData":{"ISSN":"14794403","abstract":"In this paper I describe s how students use a project management simulation game based on an attack-defense mechanism where two teams of players compete by challenging each other’s projects. The project management simulation game is intended to be played by pre-service construction workers and engineers. The gameplay has two parts: a planning part, where the player make managerial decisions about his construction site, and a challenge part where the player chooses between typical problems to occur on the opponent’s construction site. Playing the game involves analyzing both your own and you opponent’s building project for weak spots. The intention of the project management simulation game, is to provide students with an increased sensitivity towards the relation between planning and reality in complex construction projects. The project management simulation game can be interpreted both as a competitive game and as a simulation. Both of these views are meaningful and can be seen as supporting learning. Emphasizing the simulation aspect let us explain how students learn by being immersed into a simulated world, where the players identify with specific roles, live out specific situations, and experiment with relevant parameters. Emphasizing the competition game aspect we can see how play and competition allow players to experience intrinsic motivation and engagement, as well as thinking strategically about their choices, and hence put attention towards all the things that can go wrong in construction work. The goal of the paper is to investigate empirically how these two understandings influence game experience and learning outcome. This question is approached by qualitative post-game interviews about the experienced fun, competition and realism. Specific attention is given to how the understandings of the experience (for instance as a game and as a simulation) is entangled when the students describe their experience. Using the concepts frame and domain it is analyzed how the students conceptualize and make meaning of the particular educational scenario manifested by the project management simulation game. We take as an outset that students interpret the situations in the project management simulation game as relating to one or several domains, especially the domains competition and simulation. Results suggest that the views of the scenario as a competition and as a simulation do coexist, and that these views merge in a subtle way. The players consider the…","author":[{"dropping-particle":"","family":"Misfeldt","given":"Morten","non-dropping-particle":"","parse-names":false,"suffix":""}],"container-title":"Electronic Journal of e-Learning","id":"ITEM-1","issue":"3","issued":{"date-parts":[["2015"]]},"page":"181-191","title":"Scenario based education as a framework for understanding students engagement and learning in a project management simulation game","type":"article-journal","volume":"13"},"uris":["http://www.mendeley.com/documents/?uuid=092313e4-c29d-4f9b-b151-b70746c3b863"]}],"mendeley":{"formattedCitation":"[45]","plainTextFormattedCitation":"[45]","previouslyFormattedCitation":"[45]"},"properties":{"noteIndex":0},"schema":"https://github.com/citation-style-language/schema/raw/master/csl-citation.json"}</w:instrText>
      </w:r>
      <w:r w:rsidR="004877CB" w:rsidRPr="00644CB1">
        <w:rPr>
          <w:rFonts w:ascii="Times New Roman" w:hAnsi="Times New Roman"/>
          <w:color w:val="0D0D0D" w:themeColor="text1" w:themeTint="F2"/>
        </w:rPr>
        <w:fldChar w:fldCharType="separate"/>
      </w:r>
      <w:r w:rsidR="004877CB" w:rsidRPr="00644CB1">
        <w:rPr>
          <w:rFonts w:ascii="Times New Roman" w:hAnsi="Times New Roman"/>
          <w:noProof/>
          <w:color w:val="0D0D0D" w:themeColor="text1" w:themeTint="F2"/>
        </w:rPr>
        <w:t>[45]</w:t>
      </w:r>
      <w:r w:rsidR="004877CB" w:rsidRPr="00644CB1">
        <w:rPr>
          <w:rFonts w:ascii="Times New Roman" w:hAnsi="Times New Roman"/>
          <w:color w:val="0D0D0D" w:themeColor="text1" w:themeTint="F2"/>
        </w:rPr>
        <w:fldChar w:fldCharType="end"/>
      </w:r>
      <w:r w:rsidRPr="00644CB1">
        <w:rPr>
          <w:rFonts w:ascii="Times New Roman" w:hAnsi="Times New Roman"/>
          <w:color w:val="0D0D0D" w:themeColor="text1" w:themeTint="F2"/>
        </w:rPr>
        <w:t xml:space="preserve"> creates a structured approach that can be adapted to different educational contexts and serious game platforms.</w:t>
      </w:r>
    </w:p>
    <w:p w14:paraId="59198DD9" w14:textId="726F1143" w:rsidR="007737CD" w:rsidRPr="00644CB1" w:rsidRDefault="007737CD" w:rsidP="007737CD">
      <w:pPr>
        <w:spacing w:line="264" w:lineRule="auto"/>
        <w:ind w:firstLine="284"/>
        <w:jc w:val="both"/>
        <w:rPr>
          <w:rFonts w:ascii="Times New Roman" w:hAnsi="Times New Roman"/>
          <w:color w:val="0D0D0D" w:themeColor="text1" w:themeTint="F2"/>
        </w:rPr>
      </w:pPr>
      <w:r w:rsidRPr="00644CB1">
        <w:rPr>
          <w:rFonts w:ascii="Times New Roman" w:hAnsi="Times New Roman"/>
          <w:color w:val="0D0D0D" w:themeColor="text1" w:themeTint="F2"/>
        </w:rPr>
        <w:t xml:space="preserve">The impact of prior experience on performance (M = 8.04 for experienced vs. M = 5.96 for non-experienced students) suggests that the hybrid model can accommodate students with varying backgrounds while still providing meaningful learning outcomes. This finding supports the pedagogical flexibility advocated by Vlachopoulos and Makri </w:t>
      </w:r>
      <w:r w:rsidR="00847F95" w:rsidRPr="00644CB1">
        <w:rPr>
          <w:rFonts w:ascii="Times New Roman" w:hAnsi="Times New Roman"/>
          <w:color w:val="0D0D0D" w:themeColor="text1" w:themeTint="F2"/>
        </w:rPr>
        <w:fldChar w:fldCharType="begin" w:fldLock="1"/>
      </w:r>
      <w:r w:rsidR="00DA3770" w:rsidRPr="00644CB1">
        <w:rPr>
          <w:rFonts w:ascii="Times New Roman" w:hAnsi="Times New Roman"/>
          <w:color w:val="0D0D0D" w:themeColor="text1" w:themeTint="F2"/>
        </w:rPr>
        <w:instrText>ADDIN CSL_CITATION {"citationItems":[{"id":"ITEM-1","itemData":{"DOI":"10.1186/s41239-017-0062-1","ISBN":"4123901700","ISSN":"23659440","abstract":"The focus of higher education institutions is the preparation of future professionals. To achieve this aim, innovative teaching methods are often deployed, including games and simulations, which form the subject of this paper. As the field of digital games and simulations is ever maturing, this paper attempts to systematically review the literature relevant to games and simulation pedagogy in higher education. Two researchers collaborate to apply a qualitative method, coding and synthesizing the results using multiple criteria. The main objective is to study the impact of games and simulations with regard to achieving specific learning objectives. On balance, results indicate that games and/or simulations have a positive impact on learning goals. The researchers identify three learning outcomes when integrating games into the learning process: cognitive, behavioural, and affective. As a final step, the authors consolidate evidence for the benefit of academics and practitioners in higher education interested in the efficient use of games and simulations for pedagogical purposes. Such evidence also provides potential options and pathways for future research.","author":[{"dropping-particle":"","family":"Vlachopoulos","given":"Dimitrios","non-dropping-particle":"","parse-names":false,"suffix":""},{"dropping-particle":"","family":"Makri","given":"Agoritsa","non-dropping-particle":"","parse-names":false,"suffix":""}],"container-title":"International Journal of Educational Technology in Higher Education","id":"ITEM-1","issue":"1","issued":{"date-parts":[["2017"]]},"number-of-pages":"1-33","publisher":"International Journal of Educational Technology in Higher Education","title":"The effect of games and simulations on higher education: a systematic literature review","type":"book","volume":"14"},"uris":["http://www.mendeley.com/documents/?uuid=d6e654e7-80de-46ef-b60e-76d06588330b"]}],"mendeley":{"formattedCitation":"[1]","plainTextFormattedCitation":"[1]","previouslyFormattedCitation":"[1]"},"properties":{"noteIndex":0},"schema":"https://github.com/citation-style-language/schema/raw/master/csl-citation.json"}</w:instrText>
      </w:r>
      <w:r w:rsidR="00847F95" w:rsidRPr="00644CB1">
        <w:rPr>
          <w:rFonts w:ascii="Times New Roman" w:hAnsi="Times New Roman"/>
          <w:color w:val="0D0D0D" w:themeColor="text1" w:themeTint="F2"/>
        </w:rPr>
        <w:fldChar w:fldCharType="separate"/>
      </w:r>
      <w:r w:rsidR="00847F95" w:rsidRPr="00644CB1">
        <w:rPr>
          <w:rFonts w:ascii="Times New Roman" w:hAnsi="Times New Roman"/>
          <w:noProof/>
          <w:color w:val="0D0D0D" w:themeColor="text1" w:themeTint="F2"/>
        </w:rPr>
        <w:t>[1]</w:t>
      </w:r>
      <w:r w:rsidR="00847F95" w:rsidRPr="00644CB1">
        <w:rPr>
          <w:rFonts w:ascii="Times New Roman" w:hAnsi="Times New Roman"/>
          <w:color w:val="0D0D0D" w:themeColor="text1" w:themeTint="F2"/>
        </w:rPr>
        <w:fldChar w:fldCharType="end"/>
      </w:r>
      <w:r w:rsidRPr="00644CB1">
        <w:rPr>
          <w:rFonts w:ascii="Times New Roman" w:hAnsi="Times New Roman"/>
          <w:color w:val="0D0D0D" w:themeColor="text1" w:themeTint="F2"/>
        </w:rPr>
        <w:t>, who emphasized that games and simulations can be effectively integrated into traditional educational processes when properly structured.</w:t>
      </w:r>
    </w:p>
    <w:p w14:paraId="42059B4A" w14:textId="7DBD8675" w:rsidR="00EA239C" w:rsidRPr="00644CB1" w:rsidRDefault="00E8170B" w:rsidP="00EA239C">
      <w:pPr>
        <w:pStyle w:val="2"/>
        <w:numPr>
          <w:ilvl w:val="1"/>
          <w:numId w:val="7"/>
        </w:numPr>
        <w:ind w:left="567" w:hanging="567"/>
        <w:rPr>
          <w:color w:val="0D0D0D" w:themeColor="text1" w:themeTint="F2"/>
        </w:rPr>
      </w:pPr>
      <w:r w:rsidRPr="00644CB1">
        <w:rPr>
          <w:color w:val="0D0D0D" w:themeColor="text1" w:themeTint="F2"/>
        </w:rPr>
        <w:t xml:space="preserve">Contribution of the </w:t>
      </w:r>
      <w:r w:rsidR="00EA239C" w:rsidRPr="00644CB1">
        <w:rPr>
          <w:color w:val="0D0D0D" w:themeColor="text1" w:themeTint="F2"/>
        </w:rPr>
        <w:t>study</w:t>
      </w:r>
    </w:p>
    <w:p w14:paraId="64912F14" w14:textId="209AFE21" w:rsidR="0087034F" w:rsidRPr="00644CB1" w:rsidRDefault="0087034F" w:rsidP="002359A9">
      <w:pPr>
        <w:pStyle w:val="whitespace-normal"/>
        <w:spacing w:before="0" w:beforeAutospacing="0" w:after="0" w:afterAutospacing="0" w:line="264" w:lineRule="auto"/>
        <w:jc w:val="both"/>
        <w:rPr>
          <w:color w:val="0D0D0D" w:themeColor="text1" w:themeTint="F2"/>
          <w:sz w:val="22"/>
          <w:szCs w:val="22"/>
          <w:lang w:val="en-US"/>
        </w:rPr>
      </w:pPr>
      <w:r w:rsidRPr="00644CB1">
        <w:rPr>
          <w:color w:val="0D0D0D" w:themeColor="text1" w:themeTint="F2"/>
          <w:sz w:val="22"/>
          <w:szCs w:val="22"/>
          <w:lang w:val="en-US"/>
        </w:rPr>
        <w:t xml:space="preserve">While previous research has applied these frameworks independently, their synthesis creates comprehensive </w:t>
      </w:r>
      <w:r w:rsidR="0079093C" w:rsidRPr="00644CB1">
        <w:rPr>
          <w:color w:val="0D0D0D" w:themeColor="text1" w:themeTint="F2"/>
          <w:sz w:val="22"/>
          <w:szCs w:val="22"/>
          <w:lang w:val="en-US"/>
        </w:rPr>
        <w:t>education</w:t>
      </w:r>
      <w:r w:rsidRPr="00644CB1">
        <w:rPr>
          <w:color w:val="0D0D0D" w:themeColor="text1" w:themeTint="F2"/>
          <w:sz w:val="22"/>
          <w:szCs w:val="22"/>
          <w:lang w:val="en-US"/>
        </w:rPr>
        <w:t>al architecture specifically designed for experiential professional education through serious games. The Unified Model</w:t>
      </w:r>
      <w:r w:rsidR="006647F3" w:rsidRPr="00644CB1">
        <w:rPr>
          <w:color w:val="0D0D0D" w:themeColor="text1" w:themeTint="F2"/>
          <w:sz w:val="22"/>
          <w:szCs w:val="22"/>
          <w:lang w:val="en-US"/>
        </w:rPr>
        <w:t xml:space="preserve"> of Events Management</w:t>
      </w:r>
      <w:r w:rsidR="00B75519" w:rsidRPr="00644CB1">
        <w:rPr>
          <w:color w:val="0D0D0D" w:themeColor="text1" w:themeTint="F2"/>
          <w:sz w:val="22"/>
          <w:szCs w:val="22"/>
          <w:lang w:val="en-US"/>
        </w:rPr>
        <w:t xml:space="preserve"> </w:t>
      </w:r>
      <w:r w:rsidR="00B75519" w:rsidRPr="00644CB1">
        <w:rPr>
          <w:color w:val="0D0D0D" w:themeColor="text1" w:themeTint="F2"/>
        </w:rPr>
        <w:fldChar w:fldCharType="begin" w:fldLock="1"/>
      </w:r>
      <w:r w:rsidR="00B75519" w:rsidRPr="00644CB1">
        <w:rPr>
          <w:color w:val="0D0D0D" w:themeColor="text1" w:themeTint="F2"/>
          <w:lang w:val="en-US"/>
        </w:rPr>
        <w:instrText>ADDIN CSL_CITATION {"citationItems":[{"id":"ITEM-1","itemData":{"ISBN":"978-0-7506-5872-0","author":[{"dropping-particle":"","family":"Salem","given":"G.","non-dropping-particle":"","parse-names":false,"suffix":""},{"dropping-particle":"","family":"Jones","given":"E.","non-dropping-particle":"","parse-names":false,"suffix":""},{"dropping-particle":"","family":"Morgan","given":"N.","non-dropping-particle":"","parse-names":false,"suffix":""}],"container-title":"Festival and events management: an international arts and culture perspective","editor":[{"dropping-particle":"","family":"Yeoman","given":"I.","non-dropping-particle":"","parse-names":false,"suffix":""},{"dropping-particle":"","family":"Robertson","given":"M.","non-dropping-particle":"","parse-names":false,"suffix":""},{"dropping-particle":"","family":"Ali-Knight","given":"J.A.","non-dropping-particle":"","parse-names":false,"suffix":""},{"dropping-particle":"","family":"Drummond","given":"S.","non-dropping-particle":"","parse-names":false,"suffix":""},{"dropping-particle":"","family":"McMahon-Beattie","given":"U.","non-dropping-particle":"","parse-names":false,"suffix":""}],"id":"ITEM-1","issued":{"date-parts":[["2014"]]},"page":"14-31","publisher":"Elsevier Butterworth-Heinemann","publisher-place":"Boston, MA","title":"An overview of events management","type":"chapter"},"uris":["http://www.mendeley.com/documents/?uuid=74ce0dc2-1ee2-4d79-8055-f405e3731374"]}],"mendeley":{"formattedCitation":"[38]","plainTextFormattedCitation":"[38]","previouslyFormattedCitation":"[38]"},"properties":{"noteIndex":0},"schema":"https://github.com/citation-style-language/schema/raw/master/csl-citation.json"}</w:instrText>
      </w:r>
      <w:r w:rsidR="00B75519" w:rsidRPr="00644CB1">
        <w:rPr>
          <w:color w:val="0D0D0D" w:themeColor="text1" w:themeTint="F2"/>
        </w:rPr>
        <w:fldChar w:fldCharType="separate"/>
      </w:r>
      <w:r w:rsidR="00B75519" w:rsidRPr="00644CB1">
        <w:rPr>
          <w:noProof/>
          <w:color w:val="0D0D0D" w:themeColor="text1" w:themeTint="F2"/>
          <w:lang w:val="en-US"/>
        </w:rPr>
        <w:t>[38]</w:t>
      </w:r>
      <w:r w:rsidR="00B75519" w:rsidRPr="00644CB1">
        <w:rPr>
          <w:color w:val="0D0D0D" w:themeColor="text1" w:themeTint="F2"/>
        </w:rPr>
        <w:fldChar w:fldCharType="end"/>
      </w:r>
      <w:r w:rsidRPr="00644CB1">
        <w:rPr>
          <w:color w:val="0D0D0D" w:themeColor="text1" w:themeTint="F2"/>
          <w:sz w:val="22"/>
          <w:szCs w:val="22"/>
          <w:lang w:val="en-US"/>
        </w:rPr>
        <w:t xml:space="preserve"> provides content structure</w:t>
      </w:r>
      <w:r w:rsidR="00060452" w:rsidRPr="00060452">
        <w:rPr>
          <w:color w:val="0D0D0D" w:themeColor="text1" w:themeTint="F2"/>
          <w:sz w:val="22"/>
          <w:szCs w:val="22"/>
          <w:lang w:val="en-US"/>
        </w:rPr>
        <w:t xml:space="preserve"> - </w:t>
      </w:r>
      <w:r w:rsidRPr="00644CB1">
        <w:rPr>
          <w:color w:val="0D0D0D" w:themeColor="text1" w:themeTint="F2"/>
          <w:sz w:val="22"/>
          <w:szCs w:val="22"/>
          <w:lang w:val="en-US"/>
        </w:rPr>
        <w:t>the "what" of event management (decision-making, planning, implementation, evaluation)</w:t>
      </w:r>
      <w:r w:rsidR="00060452" w:rsidRPr="00060452">
        <w:rPr>
          <w:color w:val="0D0D0D" w:themeColor="text1" w:themeTint="F2"/>
          <w:sz w:val="22"/>
          <w:szCs w:val="22"/>
          <w:lang w:val="en-US"/>
        </w:rPr>
        <w:t xml:space="preserve"> - </w:t>
      </w:r>
      <w:r w:rsidRPr="00644CB1">
        <w:rPr>
          <w:color w:val="0D0D0D" w:themeColor="text1" w:themeTint="F2"/>
          <w:sz w:val="22"/>
          <w:szCs w:val="22"/>
          <w:lang w:val="en-US"/>
        </w:rPr>
        <w:t xml:space="preserve">while the Scenario-Based Education Framework </w:t>
      </w:r>
      <w:r w:rsidR="006647F3" w:rsidRPr="00644CB1">
        <w:rPr>
          <w:color w:val="0D0D0D" w:themeColor="text1" w:themeTint="F2"/>
        </w:rPr>
        <w:fldChar w:fldCharType="begin" w:fldLock="1"/>
      </w:r>
      <w:r w:rsidR="006647F3" w:rsidRPr="00644CB1">
        <w:rPr>
          <w:color w:val="0D0D0D" w:themeColor="text1" w:themeTint="F2"/>
          <w:lang w:val="en-US"/>
        </w:rPr>
        <w:instrText>ADDIN CSL_CITATION {"citationItems":[{"id":"ITEM-1","itemData":{"ISSN":"14794403","abstract":"In this paper I describe s how students use a project management simulation game based on an attack-defense mechanism where two teams of players compete by challenging each other’s projects. The project management simulation game is intended to be played by pre-service construction workers and engineers. The gameplay has two parts: a planning part, where the player make managerial decisions about his construction site, and a challenge part where the player chooses between typical problems to occur on the opponent’s construction site. Playing the game involves analyzing both your own and you opponent’s building project for weak spots. The intention of the project management simulation game, is to provide students with an increased sensitivity towards the relation between planning and reality in comple</w:instrText>
      </w:r>
      <w:r w:rsidR="006647F3" w:rsidRPr="00644CB1">
        <w:rPr>
          <w:color w:val="0D0D0D" w:themeColor="text1" w:themeTint="F2"/>
        </w:rPr>
        <w:instrText>x construction projects. The project management simulation game can be interpreted both as a competitive game and as a simulation. Both of these views are meaningful and can be seen as supporting learning. Emphasizing the simulation aspect let us explain how students learn by being immersed into a simulated world, where the players identify with specific roles, live out specific situations, and experiment with relevant parameters. Emphasizing the competition game aspect we can see how play and competition allow players to experience intrinsic motivation and engagement, as well as thinking strategically about their choices, and hence put attention towards all the things that can go wrong in construction work. The goal of the paper is to investigate empirically how these two understandings influence game experience and learning outcome. This question is approached by qualitative post-game interviews about the experienced fun, competition and re</w:instrText>
      </w:r>
      <w:r w:rsidR="006647F3" w:rsidRPr="00644CB1">
        <w:rPr>
          <w:color w:val="0D0D0D" w:themeColor="text1" w:themeTint="F2"/>
          <w:lang w:val="en-US"/>
        </w:rPr>
        <w:instrText>alism. Specific attention is given to how the understandings of the experience (for instance as a game and as a simulation) is entangled when the students describe their experience. Using the concepts frame and domain it is analyzed how the students conceptualize and make meaning of the particular educational scenario manifested by the project management simulation game. We take as an outset that students interpret the situations in the project management simulation game as relating to one or several domains, especially the domains competition and simulation. Results suggest that the views of the scenario as a competition and as a simulation do coexist, and that these views merge in a subtle way. The players consider the…","author":[{"dropping-particle":"","family":"Misfeldt","given":"Morten","non-dropping-particle":"","parse-names":false,"suffix":""}],"container-title":"Electronic Journal of e-Learning","id":"ITEM-1","issue":"3","issued":{"date-parts":[["2015"]]},"page":"181-191","title":"Scenario based education as a framework for understanding students engagement and learning in a project management simulation game","type":"article-journal","volume":"13"},"uris":["http://www.mendeley.com/documents/?uuid=092313e4-c29d-4f9b-b151-b70746c3b863"]}],"mendeley":{"formattedCitation":"[45]","plainTextFormattedCitation":"[45]","previouslyFormattedCitation":"[45]"},"properties":{"noteIndex":0},"schema":"https://github.com/citation-style-language/schema/raw/master/csl-citation.json"}</w:instrText>
      </w:r>
      <w:r w:rsidR="006647F3" w:rsidRPr="00644CB1">
        <w:rPr>
          <w:color w:val="0D0D0D" w:themeColor="text1" w:themeTint="F2"/>
        </w:rPr>
        <w:fldChar w:fldCharType="separate"/>
      </w:r>
      <w:r w:rsidR="006647F3" w:rsidRPr="00644CB1">
        <w:rPr>
          <w:noProof/>
          <w:color w:val="0D0D0D" w:themeColor="text1" w:themeTint="F2"/>
          <w:lang w:val="en-US"/>
        </w:rPr>
        <w:t>[45]</w:t>
      </w:r>
      <w:r w:rsidR="006647F3" w:rsidRPr="00644CB1">
        <w:rPr>
          <w:color w:val="0D0D0D" w:themeColor="text1" w:themeTint="F2"/>
        </w:rPr>
        <w:fldChar w:fldCharType="end"/>
      </w:r>
      <w:r w:rsidR="006647F3" w:rsidRPr="00644CB1">
        <w:rPr>
          <w:color w:val="0D0D0D" w:themeColor="text1" w:themeTint="F2"/>
          <w:lang w:val="en-US"/>
        </w:rPr>
        <w:t xml:space="preserve"> </w:t>
      </w:r>
      <w:r w:rsidRPr="00644CB1">
        <w:rPr>
          <w:color w:val="0D0D0D" w:themeColor="text1" w:themeTint="F2"/>
          <w:sz w:val="22"/>
          <w:szCs w:val="22"/>
          <w:lang w:val="en-US"/>
        </w:rPr>
        <w:t>provides pedagogical process</w:t>
      </w:r>
      <w:r w:rsidR="00060452">
        <w:rPr>
          <w:color w:val="0D0D0D" w:themeColor="text1" w:themeTint="F2"/>
          <w:sz w:val="22"/>
          <w:szCs w:val="22"/>
        </w:rPr>
        <w:t xml:space="preserve"> -</w:t>
      </w:r>
      <w:r w:rsidRPr="00644CB1">
        <w:rPr>
          <w:color w:val="0D0D0D" w:themeColor="text1" w:themeTint="F2"/>
          <w:sz w:val="22"/>
          <w:szCs w:val="22"/>
          <w:lang w:val="en-US"/>
        </w:rPr>
        <w:t>the "how" of structuring learning experiences. This integration addresses a critical gap in serious games literature: the absence of theoretically grounded frameworks for transforming commercial games into structured educational tools.</w:t>
      </w:r>
    </w:p>
    <w:p w14:paraId="30C80715" w14:textId="5A36A373" w:rsidR="0087034F" w:rsidRPr="00644CB1" w:rsidRDefault="0087034F" w:rsidP="00565149">
      <w:pPr>
        <w:pStyle w:val="whitespace-normal"/>
        <w:spacing w:before="0" w:beforeAutospacing="0" w:after="0" w:afterAutospacing="0" w:line="264" w:lineRule="auto"/>
        <w:ind w:firstLine="284"/>
        <w:jc w:val="both"/>
        <w:rPr>
          <w:color w:val="0D0D0D" w:themeColor="text1" w:themeTint="F2"/>
          <w:sz w:val="22"/>
          <w:szCs w:val="22"/>
          <w:lang w:val="en-US"/>
        </w:rPr>
      </w:pPr>
      <w:r w:rsidRPr="00644CB1">
        <w:rPr>
          <w:color w:val="0D0D0D" w:themeColor="text1" w:themeTint="F2"/>
          <w:sz w:val="22"/>
          <w:szCs w:val="22"/>
          <w:lang w:val="en-US"/>
        </w:rPr>
        <w:lastRenderedPageBreak/>
        <w:t xml:space="preserve">This integrated framework advances serious games theory by connecting professional competency models with educational design principles. The scenario-based approach provides systematic scaffolding that guides students through increasingly complex tasks, addressing critiques that serious games often lack structured learning progression </w:t>
      </w:r>
      <w:r w:rsidR="00883BE1" w:rsidRPr="00644CB1">
        <w:rPr>
          <w:color w:val="0D0D0D" w:themeColor="text1" w:themeTint="F2"/>
          <w:sz w:val="22"/>
          <w:szCs w:val="22"/>
          <w:lang w:val="en-US"/>
        </w:rPr>
        <w:fldChar w:fldCharType="begin" w:fldLock="1"/>
      </w:r>
      <w:r w:rsidR="00521C77" w:rsidRPr="00644CB1">
        <w:rPr>
          <w:color w:val="0D0D0D" w:themeColor="text1" w:themeTint="F2"/>
          <w:sz w:val="22"/>
          <w:szCs w:val="22"/>
          <w:lang w:val="en-US"/>
        </w:rPr>
        <w:instrText>ADDIN CSL_CITATION {"citationItems":[{"id":"ITEM-1","itemData":{"DOI":"10.1016/j.compedu.2015.11.003","ISSN":"03601315","abstract":"Continuing interest in digital games indicated that it would be useful to update Connolly et al.'s (2012) systematic literature review of empirical evidence about the positive impacts and outcomes of games. Since a large number of papers was identified in the period from 2009 to 2014, the current review focused on 143 papers that provided higher quality evidence about the positive outcomes of games. Connolly et al.'s multidimensional analysis of games and their outcomes provided a useful framework for organising the varied research in this area. The most frequently occurring outcome reported for games for learning was knowledge acquisition, while entertainment games addressed a broader range of affective, behaviour change, perceptual and cognitive and physiological outcomes. Games for learning were found across varied topics with STEM subjects and health the most popular. Future research on digital games would benefit from a systematic programme of experimental work, examining in detail which game features are most effective in promoting engagement and supporting learning.","author":[{"dropping-particle":"","family":"Boyle","given":"Elizabeth A.","non-dropping-particle":"","parse-names":false,"suffix":""},{"dropping-particle":"","family":"Hainey","given":"Thomas","non-dropping-particle":"","parse-names":false,"suffix":""},{"dropping-particle":"","family":"Connolly","given":"Thomas M.","non-dropping-particle":"","parse-names":false,"suffix":""},{"dropping-particle":"","family":"Gray","given":"Grant","non-dropping-particle":"","parse-names":false,"suffix":""},{"dropping-particle":"","family":"Earp","given":"Jeffrey","non-dropping-particle":"","parse-names":false,"suffix":""},{"dropping-particle":"","family":"Ott","given":"Michela","non-dropping-particle":"","parse-names":false,"suffix":""},{"dropping-particle":"","family":"Lim","given":"Theodore","non-dropping-particle":"","parse-names":false,"suffix":""},{"dropping-particle":"","family":"Ninaus","given":"Manuel","non-dropping-particle":"","parse-names":false,"suffix":""},{"dropping-particle":"","family":"Ribeiro","given":"Claudia","non-dropping-particle":"","parse-names":false,"suffix":""},{"dropping-particle":"","family":"Pereira","given":"João","non-dropping-particle":"","parse-names":false,"suffix":""}],"container-title":"Computers and Education","id":"ITEM-1","issued":{"date-parts":[["2016"]]},"page":"178-192","title":"An update to the systematic literature review of empirical evidence of the impacts and outcomes of computer games and serious games","type":"article","volume":"94"},"uris":["http://www.mendeley.com/documents/?uuid=f247e709-672b-4f52-b50b-1db790a15263"]}],"mendeley":{"formattedCitation":"[33]","plainTextFormattedCitation":"[33]","previouslyFormattedCitation":"[33]"},"properties":{"noteIndex":0},"schema":"https://github.com/citation-style-language/schema/raw/master/csl-citation.json"}</w:instrText>
      </w:r>
      <w:r w:rsidR="00883BE1" w:rsidRPr="00644CB1">
        <w:rPr>
          <w:color w:val="0D0D0D" w:themeColor="text1" w:themeTint="F2"/>
          <w:sz w:val="22"/>
          <w:szCs w:val="22"/>
          <w:lang w:val="en-US"/>
        </w:rPr>
        <w:fldChar w:fldCharType="separate"/>
      </w:r>
      <w:r w:rsidR="00883BE1" w:rsidRPr="00644CB1">
        <w:rPr>
          <w:noProof/>
          <w:color w:val="0D0D0D" w:themeColor="text1" w:themeTint="F2"/>
          <w:sz w:val="22"/>
          <w:szCs w:val="22"/>
          <w:lang w:val="en-US"/>
        </w:rPr>
        <w:t>[33]</w:t>
      </w:r>
      <w:r w:rsidR="00883BE1" w:rsidRPr="00644CB1">
        <w:rPr>
          <w:color w:val="0D0D0D" w:themeColor="text1" w:themeTint="F2"/>
          <w:sz w:val="22"/>
          <w:szCs w:val="22"/>
          <w:lang w:val="en-US"/>
        </w:rPr>
        <w:fldChar w:fldCharType="end"/>
      </w:r>
      <w:r w:rsidRPr="00644CB1">
        <w:rPr>
          <w:color w:val="0D0D0D" w:themeColor="text1" w:themeTint="F2"/>
          <w:sz w:val="22"/>
          <w:szCs w:val="22"/>
          <w:lang w:val="en-US"/>
        </w:rPr>
        <w:t>. By mapping educational scenarios to specific learning objectives and assessment methods (Table 2), the framework ensures constructive alignment</w:t>
      </w:r>
      <w:r w:rsidR="00060452" w:rsidRPr="00060452">
        <w:rPr>
          <w:color w:val="0D0D0D" w:themeColor="text1" w:themeTint="F2"/>
          <w:sz w:val="22"/>
          <w:szCs w:val="22"/>
          <w:lang w:val="en-US"/>
        </w:rPr>
        <w:t xml:space="preserve"> - </w:t>
      </w:r>
      <w:r w:rsidRPr="00644CB1">
        <w:rPr>
          <w:color w:val="0D0D0D" w:themeColor="text1" w:themeTint="F2"/>
          <w:sz w:val="22"/>
          <w:szCs w:val="22"/>
          <w:lang w:val="en-US"/>
        </w:rPr>
        <w:t>a principle often violated in game-based learning where gameplay and assessment are disconnected. Furthermore, the framework explicitly theorizes the integration of virtual and real-world components, contributing to emerging literature on hybrid learning models that transcend simple online/offline dichotomies.</w:t>
      </w:r>
    </w:p>
    <w:p w14:paraId="04C46AED" w14:textId="4249372F" w:rsidR="0087034F" w:rsidRPr="00644CB1" w:rsidRDefault="0087034F" w:rsidP="00565149">
      <w:pPr>
        <w:pStyle w:val="whitespace-normal"/>
        <w:spacing w:before="0" w:beforeAutospacing="0" w:after="0" w:afterAutospacing="0" w:line="264" w:lineRule="auto"/>
        <w:ind w:firstLine="284"/>
        <w:jc w:val="both"/>
        <w:rPr>
          <w:color w:val="0D0D0D" w:themeColor="text1" w:themeTint="F2"/>
          <w:sz w:val="22"/>
          <w:szCs w:val="22"/>
          <w:lang w:val="en-US"/>
        </w:rPr>
      </w:pPr>
      <w:r w:rsidRPr="00644CB1">
        <w:rPr>
          <w:color w:val="0D0D0D" w:themeColor="text1" w:themeTint="F2"/>
          <w:sz w:val="22"/>
          <w:szCs w:val="22"/>
          <w:lang w:val="en-US"/>
        </w:rPr>
        <w:t xml:space="preserve">Compared to existing frameworks, this integrated approach offers greater specificity for sport management education than generic serious game frameworks </w:t>
      </w:r>
      <w:r w:rsidR="00521C77" w:rsidRPr="00644CB1">
        <w:rPr>
          <w:color w:val="0D0D0D" w:themeColor="text1" w:themeTint="F2"/>
          <w:sz w:val="22"/>
          <w:szCs w:val="22"/>
          <w:lang w:val="en-US"/>
        </w:rPr>
        <w:fldChar w:fldCharType="begin" w:fldLock="1"/>
      </w:r>
      <w:r w:rsidR="00521C77" w:rsidRPr="00644CB1">
        <w:rPr>
          <w:color w:val="0D0D0D" w:themeColor="text1" w:themeTint="F2"/>
          <w:sz w:val="22"/>
          <w:szCs w:val="22"/>
          <w:lang w:val="en-US"/>
        </w:rPr>
        <w:instrText>ADDIN CSL_CITATION {"citationItems":[{"id":"ITEM-1","itemData":{"DOI":"10.1037/a0031311","ISSN":"00220663","abstract":"It is assumed that serious games influences learning in 2 ways, by changing cognitive processes and by affecting motivation. However, until now research has shown little evidence for these assumptions. We used meta-analytic techniques to investigate whether serious games are more effective in terms of learning and more motivating than conventional instruction methods (learning: k 77, N 5,547; motivation: k 31, N 2,216). Consistent with our hypotheses, seriousgames were found to be more effective in terms of learning (d 0.29, p &lt;.01) and retention (d 0.36, p &lt;.01), but they were not more motivating (d 0.26, p &gt;.05) than conventional instruction methods. Additional moderator analyses on the learning effects revealed that learners in serious games learned more, relative to those taught with conventional instruction methods, when the game was supplemented with other instruction methods, when multiple training sessions were involved, and when players worked in groups. ©2013 American Psychological Association.","author":[{"dropping-particle":"","family":"Wouters","given":"Pieter","non-dropping-particle":"","parse-names":false,"suffix":""},{"dropping-particle":"","family":"Nimwegen","given":"Christof","non-dropping-particle":"van","parse-names":false,"suffix":""},{"dropping-particle":"","family":"Oostendorp","given":"Herre","non-dropping-particle":"van","parse-names":false,"suffix":""},{"dropping-particle":"","family":"Spek","given":"Erik D.","non-dropping-particle":"van Der","parse-names":false,"suffix":""}],"container-title":"Journal of Educational Psychology","id":"ITEM-1","issue":"2","issued":{"date-parts":[["2013"]]},"page":"249-265","title":"A meta-analysis of the cognitive and motivational effects of serious games","type":"article-journal","volume":"105"},"uris":["http://www.mendeley.com/documents/?uuid=d966e4ec-db84-487c-94cf-e39302c3c449"]}],"mendeley":{"formattedCitation":"[32]","plainTextFormattedCitation":"[32]","previouslyFormattedCitation":"[32]"},"properties":{"noteIndex":0},"schema":"https://github.com/citation-style-language/schema/raw/master/csl-citation.json"}</w:instrText>
      </w:r>
      <w:r w:rsidR="00521C77" w:rsidRPr="00644CB1">
        <w:rPr>
          <w:color w:val="0D0D0D" w:themeColor="text1" w:themeTint="F2"/>
          <w:sz w:val="22"/>
          <w:szCs w:val="22"/>
          <w:lang w:val="en-US"/>
        </w:rPr>
        <w:fldChar w:fldCharType="separate"/>
      </w:r>
      <w:r w:rsidR="00521C77" w:rsidRPr="00644CB1">
        <w:rPr>
          <w:noProof/>
          <w:color w:val="0D0D0D" w:themeColor="text1" w:themeTint="F2"/>
          <w:sz w:val="22"/>
          <w:szCs w:val="22"/>
          <w:lang w:val="en-US"/>
        </w:rPr>
        <w:t>[32]</w:t>
      </w:r>
      <w:r w:rsidR="00521C77" w:rsidRPr="00644CB1">
        <w:rPr>
          <w:color w:val="0D0D0D" w:themeColor="text1" w:themeTint="F2"/>
          <w:sz w:val="22"/>
          <w:szCs w:val="22"/>
          <w:lang w:val="en-US"/>
        </w:rPr>
        <w:fldChar w:fldCharType="end"/>
      </w:r>
      <w:r w:rsidRPr="00644CB1">
        <w:rPr>
          <w:color w:val="0D0D0D" w:themeColor="text1" w:themeTint="F2"/>
          <w:sz w:val="22"/>
          <w:szCs w:val="22"/>
          <w:lang w:val="en-US"/>
        </w:rPr>
        <w:t xml:space="preserve">, while providing more pedagogical structure than pure simulation models </w:t>
      </w:r>
      <w:r w:rsidR="00521C77" w:rsidRPr="00644CB1">
        <w:rPr>
          <w:color w:val="0D0D0D" w:themeColor="text1" w:themeTint="F2"/>
          <w:sz w:val="22"/>
          <w:szCs w:val="22"/>
          <w:lang w:val="en-US"/>
        </w:rPr>
        <w:fldChar w:fldCharType="begin" w:fldLock="1"/>
      </w:r>
      <w:r w:rsidR="00F562FF" w:rsidRPr="00644CB1">
        <w:rPr>
          <w:color w:val="0D0D0D" w:themeColor="text1" w:themeTint="F2"/>
          <w:sz w:val="22"/>
          <w:szCs w:val="22"/>
          <w:lang w:val="en-US"/>
        </w:rPr>
        <w:instrText>ADDIN CSL_CITATION {"citationItems":[{"id":"ITEM-1","itemData":{"DOI":"10.1111/j.1365-2729.2012.00489.x","ISSN":"02664909","abstract":"Computer-assisted learning is known to be an effective tool for improving learning in both adults and children. Recent years have seen the emergence of the so-called 'serious games (SGs)' that are flooding the educational games market. In this paper, the term 'serious games' is used to refer to video games (VGs) intended to serve a useful purpose. The objective was to review the results of experimental studies designed to examine the effectiveness of VGs and SGs on players' learning and engagement. After pointing out the varied nature of the obtained results and the impossibility of reaching any reliable conclusion concerning the effectiveness of VGs and SGs in learning, we stress the limitations of the existing literature and make a number of suggestions for future studies. © 2012 Blackwell Publishing Ltd.","author":[{"dropping-particle":"","family":"Girard","given":"C.","non-dropping-particle":"","parse-names":false,"suffix":""},{"dropping-particle":"","family":"Ecalle","given":"J.","non-dropping-particle":"","parse-names":false,"suffix":""},{"dropping-particle":"","family":"Magnan","given":"A.","non-dropping-particle":"","parse-names":false,"suffix":""}],"container-title":"Journal of Computer Assisted Learning","id":"ITEM-1","issue":"3","issued":{"date-parts":[["2013"]]},"page":"207-219","title":"Serious games as new educational tools: How effective are they? A meta-analysis of recent studies","type":"article-journal","volume":"29"},"uris":["http://www.mendeley.com/documents/?uuid=f92bca89-b5b0-43a7-84e5-9bdd8a5a6ab2"]}],"mendeley":{"formattedCitation":"[31]","plainTextFormattedCitation":"[31]","previouslyFormattedCitation":"[31]"},"properties":{"noteIndex":0},"schema":"https://github.com/citation-style-language/schema/raw/master/csl-citation.json"}</w:instrText>
      </w:r>
      <w:r w:rsidR="00521C77" w:rsidRPr="00644CB1">
        <w:rPr>
          <w:color w:val="0D0D0D" w:themeColor="text1" w:themeTint="F2"/>
          <w:sz w:val="22"/>
          <w:szCs w:val="22"/>
          <w:lang w:val="en-US"/>
        </w:rPr>
        <w:fldChar w:fldCharType="separate"/>
      </w:r>
      <w:r w:rsidR="00521C77" w:rsidRPr="00644CB1">
        <w:rPr>
          <w:noProof/>
          <w:color w:val="0D0D0D" w:themeColor="text1" w:themeTint="F2"/>
          <w:sz w:val="22"/>
          <w:szCs w:val="22"/>
          <w:lang w:val="en-US"/>
        </w:rPr>
        <w:t>[31]</w:t>
      </w:r>
      <w:r w:rsidR="00521C77" w:rsidRPr="00644CB1">
        <w:rPr>
          <w:color w:val="0D0D0D" w:themeColor="text1" w:themeTint="F2"/>
          <w:sz w:val="22"/>
          <w:szCs w:val="22"/>
          <w:lang w:val="en-US"/>
        </w:rPr>
        <w:fldChar w:fldCharType="end"/>
      </w:r>
      <w:r w:rsidRPr="00644CB1">
        <w:rPr>
          <w:color w:val="0D0D0D" w:themeColor="text1" w:themeTint="F2"/>
          <w:sz w:val="22"/>
          <w:szCs w:val="22"/>
          <w:lang w:val="en-US"/>
        </w:rPr>
        <w:t>. It represents middle-range theory</w:t>
      </w:r>
      <w:r w:rsidR="00060452" w:rsidRPr="00060452">
        <w:rPr>
          <w:color w:val="0D0D0D" w:themeColor="text1" w:themeTint="F2"/>
          <w:sz w:val="22"/>
          <w:szCs w:val="22"/>
          <w:lang w:val="en-US"/>
        </w:rPr>
        <w:t xml:space="preserve"> - </w:t>
      </w:r>
      <w:r w:rsidRPr="00644CB1">
        <w:rPr>
          <w:color w:val="0D0D0D" w:themeColor="text1" w:themeTint="F2"/>
          <w:sz w:val="22"/>
          <w:szCs w:val="22"/>
          <w:lang w:val="en-US"/>
        </w:rPr>
        <w:t>neither overly general nor narrowly context-specific</w:t>
      </w:r>
      <w:r w:rsidR="00060452" w:rsidRPr="00060452">
        <w:rPr>
          <w:color w:val="0D0D0D" w:themeColor="text1" w:themeTint="F2"/>
          <w:sz w:val="22"/>
          <w:szCs w:val="22"/>
          <w:lang w:val="en-US"/>
        </w:rPr>
        <w:t xml:space="preserve"> - </w:t>
      </w:r>
      <w:r w:rsidRPr="00644CB1">
        <w:rPr>
          <w:color w:val="0D0D0D" w:themeColor="text1" w:themeTint="F2"/>
          <w:sz w:val="22"/>
          <w:szCs w:val="22"/>
          <w:lang w:val="en-US"/>
        </w:rPr>
        <w:t xml:space="preserve">enabling adaptation across sport management domains beyond event management (e.g., facility management, sport marketing). The findings also support the growing body of evidence regarding serious games' effectiveness in higher education, aligning with Boyle </w:t>
      </w:r>
      <w:r w:rsidRPr="00644CB1">
        <w:rPr>
          <w:i/>
          <w:iCs/>
          <w:color w:val="0D0D0D" w:themeColor="text1" w:themeTint="F2"/>
          <w:sz w:val="22"/>
          <w:szCs w:val="22"/>
          <w:lang w:val="en-US"/>
        </w:rPr>
        <w:t>et al</w:t>
      </w:r>
      <w:r w:rsidRPr="00644CB1">
        <w:rPr>
          <w:color w:val="0D0D0D" w:themeColor="text1" w:themeTint="F2"/>
          <w:sz w:val="22"/>
          <w:szCs w:val="22"/>
          <w:lang w:val="en-US"/>
        </w:rPr>
        <w:t>.'s</w:t>
      </w:r>
      <w:r w:rsidR="00F562FF" w:rsidRPr="00644CB1">
        <w:rPr>
          <w:color w:val="0D0D0D" w:themeColor="text1" w:themeTint="F2"/>
          <w:sz w:val="22"/>
          <w:szCs w:val="22"/>
          <w:lang w:val="en-US"/>
        </w:rPr>
        <w:t xml:space="preserve"> </w:t>
      </w:r>
      <w:r w:rsidR="00F562FF" w:rsidRPr="00644CB1">
        <w:rPr>
          <w:color w:val="0D0D0D" w:themeColor="text1" w:themeTint="F2"/>
          <w:sz w:val="22"/>
          <w:szCs w:val="22"/>
          <w:lang w:val="en-US"/>
        </w:rPr>
        <w:fldChar w:fldCharType="begin" w:fldLock="1"/>
      </w:r>
      <w:r w:rsidR="0084494A" w:rsidRPr="00644CB1">
        <w:rPr>
          <w:color w:val="0D0D0D" w:themeColor="text1" w:themeTint="F2"/>
          <w:sz w:val="22"/>
          <w:szCs w:val="22"/>
          <w:lang w:val="en-US"/>
        </w:rPr>
        <w:instrText>ADDIN CSL_CITATION {"citationItems":[{"id":"ITEM-1","itemData":{"DOI":"10.1016/j.compedu.2015.11.003","ISSN":"03601315","abstract":"Continuing interest in digital games indicated that it would be useful to update Connolly et al.'s (2012) systematic literature review of empirical evidence about the positive impacts and outcomes of games. Since a large number of papers was identified in the period from 2009 to 2014, the current review focused on 143 papers that provided higher quality evidence about the positive outcomes of games. Connolly et al.'s multidimensional analysis of games and their outcomes provided a useful framework for organising the varied research in this area. The most frequently occurring outcome reported for games for learning was knowledge acquisition, while entertainment games addressed a broader range of affective, behaviour change, perceptual and cognitive and physiological outcomes. Games for learning were found across varied topics with STEM subjects and health the most popular. Future research on digital games would benefit from a systematic programme of experimental work, examining in detail which game features are most effective in promoting engagement and supporting learning.","author":[{"dropping-particle":"","family":"Boyle","given":"Elizabeth A.","non-dropping-particle":"","parse-names":false,"suffix":""},{"dropping-particle":"","family":"Hainey","given":"Thomas","non-dropping-particle":"","parse-names":false,"suffix":""},{"dropping-particle":"","family":"Connolly","given":"Thomas M.","non-dropping-particle":"","parse-names":false,"suffix":""},{"dropping-particle":"","family":"Gray","given":"Grant","non-dropping-particle":"","parse-names":false,"suffix":""},{"dropping-particle":"","family":"Earp","given":"Jeffrey","non-dropping-particle":"","parse-names":false,"suffix":""},{"dropping-particle":"","family":"Ott","given":"Michela","non-dropping-particle":"","parse-names":false,"suffix":""},{"dropping-particle":"","family":"Lim","given":"Theodore","non-dropping-particle":"","parse-names":false,"suffix":""},{"dropping-particle":"","family":"Ninaus","given":"Manuel","non-dropping-particle":"","parse-names":false,"suffix":""},{"dropping-particle":"","family":"Ribeiro","given":"Claudia","non-dropping-particle":"","parse-names":false,"suffix":""},{"dropping-particle":"","family":"Pereira","given":"João","non-dropping-particle":"","parse-names":false,"suffix":""}],"container-title":"Computers and Education","id":"ITEM-1","issued":{"date-parts":[["2016"]]},"page":"178-192","title":"An update to the systematic literature review of empirical evidence of the impacts and outcomes of computer games and serious games","type":"article","volume":"94"},"uris":["http://www.mendeley.com/documents/?uuid=f247e709-672b-4f52-b50b-1db790a15263"]}],"mendeley":{"formattedCitation":"[33]","plainTextFormattedCitation":"[33]","previouslyFormattedCitation":"[33]"},"properties":{"noteIndex":0},"schema":"https://github.com/citation-style-language/schema/raw/master/csl-citation.json"}</w:instrText>
      </w:r>
      <w:r w:rsidR="00F562FF" w:rsidRPr="00644CB1">
        <w:rPr>
          <w:color w:val="0D0D0D" w:themeColor="text1" w:themeTint="F2"/>
          <w:sz w:val="22"/>
          <w:szCs w:val="22"/>
          <w:lang w:val="en-US"/>
        </w:rPr>
        <w:fldChar w:fldCharType="separate"/>
      </w:r>
      <w:r w:rsidR="00F562FF" w:rsidRPr="00644CB1">
        <w:rPr>
          <w:noProof/>
          <w:color w:val="0D0D0D" w:themeColor="text1" w:themeTint="F2"/>
          <w:sz w:val="22"/>
          <w:szCs w:val="22"/>
          <w:lang w:val="en-US"/>
        </w:rPr>
        <w:t>[33]</w:t>
      </w:r>
      <w:r w:rsidR="00F562FF" w:rsidRPr="00644CB1">
        <w:rPr>
          <w:color w:val="0D0D0D" w:themeColor="text1" w:themeTint="F2"/>
          <w:sz w:val="22"/>
          <w:szCs w:val="22"/>
          <w:lang w:val="en-US"/>
        </w:rPr>
        <w:fldChar w:fldCharType="end"/>
      </w:r>
      <w:r w:rsidRPr="00644CB1">
        <w:rPr>
          <w:color w:val="0D0D0D" w:themeColor="text1" w:themeTint="F2"/>
          <w:sz w:val="22"/>
          <w:szCs w:val="22"/>
          <w:lang w:val="en-US"/>
        </w:rPr>
        <w:t xml:space="preserve"> findings on knowledge acquisition while extending this understanding to include practical skill development and experiential learning in specialized professional domains.</w:t>
      </w:r>
    </w:p>
    <w:p w14:paraId="5969642E" w14:textId="78B4926A" w:rsidR="006A4325" w:rsidRPr="00644CB1" w:rsidRDefault="006A4325" w:rsidP="000A5218">
      <w:pPr>
        <w:pStyle w:val="2"/>
        <w:numPr>
          <w:ilvl w:val="1"/>
          <w:numId w:val="7"/>
        </w:numPr>
        <w:ind w:left="567" w:hanging="567"/>
        <w:rPr>
          <w:color w:val="0D0D0D" w:themeColor="text1" w:themeTint="F2"/>
        </w:rPr>
      </w:pPr>
      <w:r w:rsidRPr="00644CB1">
        <w:rPr>
          <w:color w:val="0D0D0D" w:themeColor="text1" w:themeTint="F2"/>
        </w:rPr>
        <w:t xml:space="preserve">Limitations </w:t>
      </w:r>
      <w:r w:rsidR="00FC0986" w:rsidRPr="00644CB1">
        <w:rPr>
          <w:color w:val="0D0D0D" w:themeColor="text1" w:themeTint="F2"/>
        </w:rPr>
        <w:t xml:space="preserve">and </w:t>
      </w:r>
      <w:r w:rsidR="00C70BB3" w:rsidRPr="00644CB1">
        <w:rPr>
          <w:color w:val="0D0D0D" w:themeColor="text1" w:themeTint="F2"/>
        </w:rPr>
        <w:t>future research directions</w:t>
      </w:r>
    </w:p>
    <w:p w14:paraId="40911DD6" w14:textId="57D85B15" w:rsidR="001C3732" w:rsidRPr="00644CB1" w:rsidRDefault="00565149" w:rsidP="001C3732">
      <w:pPr>
        <w:pStyle w:val="Articlenormaltextfirstparagraph"/>
        <w:rPr>
          <w:color w:val="0D0D0D" w:themeColor="text1" w:themeTint="F2"/>
          <w:szCs w:val="22"/>
        </w:rPr>
      </w:pPr>
      <w:r w:rsidRPr="00644CB1">
        <w:rPr>
          <w:color w:val="0D0D0D" w:themeColor="text1" w:themeTint="F2"/>
          <w:szCs w:val="22"/>
        </w:rPr>
        <w:t>As</w:t>
      </w:r>
      <w:r w:rsidR="005974D2" w:rsidRPr="00644CB1">
        <w:rPr>
          <w:color w:val="0D0D0D" w:themeColor="text1" w:themeTint="F2"/>
          <w:szCs w:val="22"/>
        </w:rPr>
        <w:t xml:space="preserve"> mentioned earlier, several limitations must be acknowledged when interpreting these findings. The study employed a convenience sample from a single university department, limiting the generalizability of results to broader populations and educational contexts. The absence of a control group prevents direct comparison with traditional teaching methods and limits the establishment of causal relationships between the serious game intervention and learning outcomes.</w:t>
      </w:r>
      <w:r w:rsidR="001C3732" w:rsidRPr="00644CB1">
        <w:rPr>
          <w:color w:val="0D0D0D" w:themeColor="text1" w:themeTint="F2"/>
          <w:szCs w:val="22"/>
        </w:rPr>
        <w:t xml:space="preserve"> </w:t>
      </w:r>
      <w:r w:rsidR="005974D2" w:rsidRPr="00644CB1">
        <w:rPr>
          <w:color w:val="0D0D0D" w:themeColor="text1" w:themeTint="F2"/>
          <w:szCs w:val="22"/>
        </w:rPr>
        <w:t>The data collection relied primarily on educational assessment methods rather than standardized instruments, which may affect the comparability of findings across different educational settings. Additionally, the study was conducted within a single cultural and educational context, which may limit its applicability to international educational environments.</w:t>
      </w:r>
      <w:r w:rsidR="00871CF6" w:rsidRPr="00644CB1">
        <w:rPr>
          <w:color w:val="0D0D0D" w:themeColor="text1" w:themeTint="F2"/>
          <w:szCs w:val="22"/>
        </w:rPr>
        <w:t xml:space="preserve"> </w:t>
      </w:r>
      <w:r w:rsidR="005974D2" w:rsidRPr="00644CB1">
        <w:rPr>
          <w:color w:val="0D0D0D" w:themeColor="text1" w:themeTint="F2"/>
          <w:szCs w:val="22"/>
        </w:rPr>
        <w:t xml:space="preserve">Future research should address these limitations through several approaches. </w:t>
      </w:r>
    </w:p>
    <w:p w14:paraId="794F3760" w14:textId="1964ADE5" w:rsidR="005974D2" w:rsidRPr="00644CB1" w:rsidRDefault="00526DDB" w:rsidP="00871CF6">
      <w:pPr>
        <w:pStyle w:val="Articlenormaltextfirstparagraph"/>
        <w:ind w:firstLine="284"/>
        <w:rPr>
          <w:color w:val="0D0D0D" w:themeColor="text1" w:themeTint="F2"/>
          <w:szCs w:val="22"/>
        </w:rPr>
      </w:pPr>
      <w:r w:rsidRPr="00644CB1">
        <w:rPr>
          <w:color w:val="0D0D0D" w:themeColor="text1" w:themeTint="F2"/>
          <w:szCs w:val="22"/>
        </w:rPr>
        <w:t>R</w:t>
      </w:r>
      <w:r w:rsidR="005974D2" w:rsidRPr="00644CB1">
        <w:rPr>
          <w:color w:val="0D0D0D" w:themeColor="text1" w:themeTint="F2"/>
          <w:szCs w:val="22"/>
        </w:rPr>
        <w:t>andomized controlled trials comparing the hybrid serious game approach with traditional teaching methods would provide stronger evidence of educational effectiveness. Such studies should include appropriate control groups and utilize standardized assessment instruments to enable broader comparisons and meta-analyses.</w:t>
      </w:r>
    </w:p>
    <w:p w14:paraId="6F0C61AC" w14:textId="7AE3B1B5" w:rsidR="005974D2" w:rsidRPr="00644CB1" w:rsidRDefault="00526DDB" w:rsidP="005974D2">
      <w:pPr>
        <w:pStyle w:val="Articlenormaltextfirstparagraph"/>
        <w:ind w:firstLine="284"/>
        <w:rPr>
          <w:color w:val="0D0D0D" w:themeColor="text1" w:themeTint="F2"/>
          <w:szCs w:val="22"/>
        </w:rPr>
      </w:pPr>
      <w:r w:rsidRPr="00644CB1">
        <w:rPr>
          <w:color w:val="0D0D0D" w:themeColor="text1" w:themeTint="F2"/>
          <w:szCs w:val="22"/>
        </w:rPr>
        <w:t>R</w:t>
      </w:r>
      <w:r w:rsidR="005974D2" w:rsidRPr="00644CB1">
        <w:rPr>
          <w:color w:val="0D0D0D" w:themeColor="text1" w:themeTint="F2"/>
          <w:szCs w:val="22"/>
        </w:rPr>
        <w:t>eplication studies across multiple universities, countries, and cultural contexts would enhance the external validity of findings and provide insights into the cultural adaptability of the hybrid learning model. These studies should also examine the approach's effectiveness across different types of serious games and educational contexts.</w:t>
      </w:r>
    </w:p>
    <w:p w14:paraId="490BF0CE" w14:textId="33E8B17C" w:rsidR="005974D2" w:rsidRPr="00644CB1" w:rsidRDefault="00526DDB" w:rsidP="00E9335C">
      <w:pPr>
        <w:pStyle w:val="Articlenormaltextfirstparagraph"/>
        <w:ind w:firstLine="284"/>
        <w:rPr>
          <w:color w:val="0D0D0D" w:themeColor="text1" w:themeTint="F2"/>
          <w:szCs w:val="22"/>
        </w:rPr>
      </w:pPr>
      <w:r w:rsidRPr="00644CB1">
        <w:rPr>
          <w:color w:val="0D0D0D" w:themeColor="text1" w:themeTint="F2"/>
          <w:szCs w:val="22"/>
        </w:rPr>
        <w:t>L</w:t>
      </w:r>
      <w:r w:rsidR="005974D2" w:rsidRPr="00644CB1">
        <w:rPr>
          <w:color w:val="0D0D0D" w:themeColor="text1" w:themeTint="F2"/>
          <w:szCs w:val="22"/>
        </w:rPr>
        <w:t>ongitudinal studies examining the long-term retention of knowledge and skills acquired through the hybrid approach would provide valuable insights into the durability of learning outcomes. Such research should also investigate whether skills developed through serious game environments transfer effectively to real-world professional contexts.</w:t>
      </w:r>
      <w:r w:rsidR="00320390" w:rsidRPr="00644CB1">
        <w:rPr>
          <w:color w:val="0D0D0D" w:themeColor="text1" w:themeTint="F2"/>
          <w:szCs w:val="22"/>
        </w:rPr>
        <w:t xml:space="preserve"> </w:t>
      </w:r>
      <w:r w:rsidR="00E9335C" w:rsidRPr="00644CB1">
        <w:rPr>
          <w:color w:val="0D0D0D" w:themeColor="text1" w:themeTint="F2"/>
          <w:szCs w:val="22"/>
        </w:rPr>
        <w:t xml:space="preserve">Pre </w:t>
      </w:r>
      <w:r w:rsidR="00320390" w:rsidRPr="00644CB1">
        <w:rPr>
          <w:color w:val="0D0D0D" w:themeColor="text1" w:themeTint="F2"/>
          <w:szCs w:val="22"/>
        </w:rPr>
        <w:t>and post-test evaluations of students' attitudes toward gamified education would provide insights into the motivational and engagement aspects of the hybrid approach. This research could also examine individual differences in learning preferences and their interaction with serious game-based educational methods.</w:t>
      </w:r>
    </w:p>
    <w:p w14:paraId="59148C48" w14:textId="7584990A" w:rsidR="00EC0ED1" w:rsidRPr="00644CB1" w:rsidRDefault="00526DDB" w:rsidP="001D75FC">
      <w:pPr>
        <w:ind w:firstLine="284"/>
        <w:jc w:val="both"/>
        <w:rPr>
          <w:rFonts w:ascii="Times New Roman" w:hAnsi="Times New Roman"/>
          <w:color w:val="0D0D0D" w:themeColor="text1" w:themeTint="F2"/>
          <w:lang w:val="en-US"/>
        </w:rPr>
      </w:pPr>
      <w:r w:rsidRPr="00644CB1">
        <w:rPr>
          <w:rFonts w:ascii="Times New Roman" w:hAnsi="Times New Roman"/>
          <w:color w:val="0D0D0D" w:themeColor="text1" w:themeTint="F2"/>
          <w:lang w:val="en-US"/>
        </w:rPr>
        <w:t>F</w:t>
      </w:r>
      <w:r w:rsidR="00EC0ED1" w:rsidRPr="00644CB1">
        <w:rPr>
          <w:rFonts w:ascii="Times New Roman" w:hAnsi="Times New Roman"/>
          <w:color w:val="0D0D0D" w:themeColor="text1" w:themeTint="F2"/>
          <w:lang w:val="en-US"/>
        </w:rPr>
        <w:t xml:space="preserve">uture research should investigate the optimal balance between virtual gameplay and real-world execution components in hybrid models. Our study combined both elements, but their relative contributions to learning outcomes remain unclear. Dismantling studies that systematically vary the proportion of game-based vs. real-world activities would provide insights into cost-effectiveness </w:t>
      </w:r>
      <w:r w:rsidR="00EC0ED1" w:rsidRPr="00644CB1">
        <w:rPr>
          <w:rFonts w:ascii="Times New Roman" w:hAnsi="Times New Roman"/>
          <w:color w:val="0D0D0D" w:themeColor="text1" w:themeTint="F2"/>
          <w:lang w:val="en-US"/>
        </w:rPr>
        <w:lastRenderedPageBreak/>
        <w:t>and efficiency. Such research would also address the question of whether serious games are necessary for the learning outcomes observed, or whether the structured scenarios and authentic tasks would be equally effective without the gaming component – a critical question for evidence-based educational investment decisions.</w:t>
      </w:r>
    </w:p>
    <w:p w14:paraId="4AFB3B77" w14:textId="64C8FBDA" w:rsidR="002465B5" w:rsidRPr="00F65099" w:rsidRDefault="005974D2" w:rsidP="00F65099">
      <w:pPr>
        <w:pStyle w:val="1"/>
        <w:numPr>
          <w:ilvl w:val="0"/>
          <w:numId w:val="7"/>
        </w:numPr>
        <w:ind w:left="357" w:hanging="357"/>
        <w:rPr>
          <w:color w:val="5B9BD5" w:themeColor="accent1"/>
        </w:rPr>
      </w:pPr>
      <w:r w:rsidRPr="00F65099">
        <w:rPr>
          <w:color w:val="5B9BD5" w:themeColor="accent1"/>
        </w:rPr>
        <w:t>Conclusion</w:t>
      </w:r>
      <w:r w:rsidR="00726B91">
        <w:rPr>
          <w:color w:val="5B9BD5" w:themeColor="accent1"/>
        </w:rPr>
        <w:t>s</w:t>
      </w:r>
    </w:p>
    <w:p w14:paraId="5D09BDCA" w14:textId="7E8AA17F" w:rsidR="0079093C" w:rsidRPr="00644CB1" w:rsidRDefault="0079093C" w:rsidP="002359A9">
      <w:pPr>
        <w:pStyle w:val="whitespace-normal"/>
        <w:spacing w:before="0" w:beforeAutospacing="0" w:after="0" w:afterAutospacing="0" w:line="264" w:lineRule="auto"/>
        <w:jc w:val="both"/>
        <w:rPr>
          <w:color w:val="0D0D0D" w:themeColor="text1" w:themeTint="F2"/>
          <w:sz w:val="22"/>
          <w:szCs w:val="22"/>
          <w:lang w:val="en-US"/>
        </w:rPr>
      </w:pPr>
      <w:r w:rsidRPr="00644CB1">
        <w:rPr>
          <w:color w:val="0D0D0D" w:themeColor="text1" w:themeTint="F2"/>
          <w:sz w:val="22"/>
          <w:szCs w:val="22"/>
          <w:lang w:val="it-IT"/>
        </w:rPr>
        <w:t>This study advances serious games literature by demonstrating that pedagogical design</w:t>
      </w:r>
      <w:r w:rsidR="0044271D" w:rsidRPr="0044271D">
        <w:rPr>
          <w:color w:val="0D0D0D" w:themeColor="text1" w:themeTint="F2"/>
          <w:sz w:val="22"/>
          <w:szCs w:val="22"/>
          <w:lang w:val="en-US"/>
        </w:rPr>
        <w:t xml:space="preserve"> - </w:t>
      </w:r>
      <w:r w:rsidRPr="00644CB1">
        <w:rPr>
          <w:color w:val="0D0D0D" w:themeColor="text1" w:themeTint="F2"/>
          <w:sz w:val="22"/>
          <w:szCs w:val="22"/>
          <w:lang w:val="it-IT"/>
        </w:rPr>
        <w:t>not game mechanics alone</w:t>
      </w:r>
      <w:r w:rsidR="00926F64">
        <w:rPr>
          <w:color w:val="0D0D0D" w:themeColor="text1" w:themeTint="F2"/>
          <w:sz w:val="22"/>
          <w:szCs w:val="22"/>
          <w:lang w:val="it-IT"/>
        </w:rPr>
        <w:t xml:space="preserve"> </w:t>
      </w:r>
      <w:r w:rsidR="002D490F">
        <w:rPr>
          <w:color w:val="0D0D0D" w:themeColor="text1" w:themeTint="F2"/>
          <w:sz w:val="22"/>
          <w:szCs w:val="22"/>
          <w:lang w:val="it-IT"/>
        </w:rPr>
        <w:t xml:space="preserve">- </w:t>
      </w:r>
      <w:r w:rsidR="00877174" w:rsidRPr="002D490F">
        <w:rPr>
          <w:sz w:val="22"/>
          <w:szCs w:val="22"/>
          <w:lang w:val="en-US"/>
        </w:rPr>
        <w:t>may be a critical factor in determining</w:t>
      </w:r>
      <w:r w:rsidR="00877174" w:rsidRPr="004011F0">
        <w:rPr>
          <w:lang w:val="en-US"/>
        </w:rPr>
        <w:t xml:space="preserve"> </w:t>
      </w:r>
      <w:r w:rsidRPr="00644CB1">
        <w:rPr>
          <w:color w:val="0D0D0D" w:themeColor="text1" w:themeTint="F2"/>
          <w:sz w:val="22"/>
          <w:szCs w:val="22"/>
          <w:lang w:val="it-IT"/>
        </w:rPr>
        <w:t xml:space="preserve">educational effectiveness. The innovative synthesis of Salem </w:t>
      </w:r>
      <w:r w:rsidRPr="00644CB1">
        <w:rPr>
          <w:i/>
          <w:iCs/>
          <w:color w:val="0D0D0D" w:themeColor="text1" w:themeTint="F2"/>
          <w:sz w:val="22"/>
          <w:szCs w:val="22"/>
          <w:lang w:val="it-IT"/>
        </w:rPr>
        <w:t>et al.</w:t>
      </w:r>
      <w:r w:rsidRPr="00644CB1">
        <w:rPr>
          <w:color w:val="0D0D0D" w:themeColor="text1" w:themeTint="F2"/>
          <w:sz w:val="22"/>
          <w:szCs w:val="22"/>
          <w:lang w:val="it-IT"/>
        </w:rPr>
        <w:t xml:space="preserve">'s </w:t>
      </w:r>
      <w:r w:rsidR="002359A9" w:rsidRPr="00644CB1">
        <w:rPr>
          <w:color w:val="0D0D0D" w:themeColor="text1" w:themeTint="F2"/>
          <w:sz w:val="22"/>
          <w:szCs w:val="22"/>
          <w:lang w:val="en-US"/>
        </w:rPr>
        <w:fldChar w:fldCharType="begin" w:fldLock="1"/>
      </w:r>
      <w:r w:rsidR="002359A9" w:rsidRPr="00644CB1">
        <w:rPr>
          <w:color w:val="0D0D0D" w:themeColor="text1" w:themeTint="F2"/>
          <w:sz w:val="22"/>
          <w:szCs w:val="22"/>
          <w:lang w:val="en-US"/>
        </w:rPr>
        <w:instrText>ADDIN CSL_CITATION {"citationItems":[{"id":"ITEM-1","itemData":{"ISBN":"978-0-7506-5872-0","author":[{"dropping-particle":"","family":"Salem","given":"G.","non-dropping-particle":"","parse-names":false,"suffix":""},{"dropping-particle":"","family":"Jones","given":"E.","non-dropping-particle":"","parse-names":false,"suffix":""},{"dropping-particle":"","family":"Morgan","given":"N.","non-dropping-particle":"","parse-names":false,"suffix":""}],"container-title":"Festival and events management: an international arts and culture perspective","editor":[{"dropping-particle":"","family":"Yeoman","given":"I.","non-dropping-particle":"","parse-names":false,"suffix":""},{"dropping-particle":"","family":"Robertson","given":"M.","non-dropping-particle":"","parse-names":false,"suffix":""},{"dropping-particle":"","family":"Ali-Knight","given":"J.A.","non-dropping-particle":"","parse-names":false,"suffix":""},{"dropping-particle":"","family":"Drummond","given":"S.","non-dropping-particle":"","parse-names":false,"suffix":""},{"dropping-particle":"","family":"McMahon-Beattie","given":"U.","non-dropping-particle":"","parse-names":false,"suffix":""}],"id":"ITEM-1","issued":{"date-parts":[["2014"]]},"page":"14-31","publisher":"Elsevier Butterworth-Heinemann","publisher-place":"Boston, MA","title":"An overview of events management","type":"chapter"},"uris":["http://www.mendeley.com/documents/?uuid=74ce0dc2-1ee2-4d79-8055-f405e3731374"]}],"mendeley":{"formattedCitation":"[38]","plainTextFormattedCitation":"[38]","previouslyFormattedCitation":"[38]"},"properties":{"noteIndex":0},"schema":"https://github.com/citation-style-language/schema/raw/master/csl-citation.json"}</w:instrText>
      </w:r>
      <w:r w:rsidR="002359A9" w:rsidRPr="00644CB1">
        <w:rPr>
          <w:color w:val="0D0D0D" w:themeColor="text1" w:themeTint="F2"/>
          <w:sz w:val="22"/>
          <w:szCs w:val="22"/>
          <w:lang w:val="en-US"/>
        </w:rPr>
        <w:fldChar w:fldCharType="separate"/>
      </w:r>
      <w:r w:rsidR="002359A9" w:rsidRPr="00644CB1">
        <w:rPr>
          <w:noProof/>
          <w:color w:val="0D0D0D" w:themeColor="text1" w:themeTint="F2"/>
          <w:sz w:val="22"/>
          <w:szCs w:val="22"/>
          <w:lang w:val="en-US"/>
        </w:rPr>
        <w:t>[38]</w:t>
      </w:r>
      <w:r w:rsidR="002359A9" w:rsidRPr="00644CB1">
        <w:rPr>
          <w:color w:val="0D0D0D" w:themeColor="text1" w:themeTint="F2"/>
          <w:sz w:val="22"/>
          <w:szCs w:val="22"/>
          <w:lang w:val="en-US"/>
        </w:rPr>
        <w:fldChar w:fldCharType="end"/>
      </w:r>
      <w:r w:rsidR="002359A9" w:rsidRPr="00644CB1">
        <w:rPr>
          <w:color w:val="0D0D0D" w:themeColor="text1" w:themeTint="F2"/>
          <w:sz w:val="22"/>
          <w:szCs w:val="22"/>
          <w:lang w:val="it-IT"/>
        </w:rPr>
        <w:t xml:space="preserve"> </w:t>
      </w:r>
      <w:r w:rsidRPr="00644CB1">
        <w:rPr>
          <w:color w:val="0D0D0D" w:themeColor="text1" w:themeTint="F2"/>
          <w:sz w:val="22"/>
          <w:szCs w:val="22"/>
          <w:lang w:val="it-IT"/>
        </w:rPr>
        <w:t xml:space="preserve">Unified Model of Events Management with Misfeldt's </w:t>
      </w:r>
      <w:r w:rsidR="002359A9" w:rsidRPr="00644CB1">
        <w:rPr>
          <w:color w:val="0D0D0D" w:themeColor="text1" w:themeTint="F2"/>
          <w:sz w:val="22"/>
          <w:szCs w:val="22"/>
          <w:lang w:val="en-US"/>
        </w:rPr>
        <w:fldChar w:fldCharType="begin" w:fldLock="1"/>
      </w:r>
      <w:r w:rsidR="002359A9" w:rsidRPr="00644CB1">
        <w:rPr>
          <w:color w:val="0D0D0D" w:themeColor="text1" w:themeTint="F2"/>
          <w:sz w:val="22"/>
          <w:szCs w:val="22"/>
          <w:lang w:val="en-US"/>
        </w:rPr>
        <w:instrText>ADDIN CSL_CITATION {"citationItems":[{"id":"ITEM-1","itemData":{"ISSN":"14794403","abstract":"In this paper I describe s how students use a project management simulation game based on an attack-defense mechanism where two teams of players compete by challenging each other’s projects. The project management simulation game is intended to be played by pre-service construction workers and engineers. The gameplay has two parts: a planning part, where the player make managerial decisions about his construction site, and a challenge part where the player chooses between typical problems to occur on the opponent’s construction site. Playing the game involves analyzing both your own and you opponent’s building project for weak spots. The intention of the project management simulation game, is to provide students with an increased sensitivity towards the relation between planning and reality in complex construction projects. The project management simulation game can be interpreted both as a competitive game and as a simulation. Both of these views are meaningful and can be seen as supporting learning. Emphasizing the simulation aspect let us explain how students learn by being immersed into a simulated world, where the players identify with specific roles, live out specific situations, and experiment with relevant parameters. Emphasizing the competition game aspect we can see how play and competition allow players to experience intrinsic motivation and engagement, as well as thinking strategically about their choices, and hence put attention towards all the things that can go wrong in construction work. The goal of the paper is to investigate empirically how these two understandings influence game experience and learning outcome. This question is approached by qualitative post-game interviews about the experienced fun, competition and realism. Specific attention is given to how the understandings of the experience (for instance as a game and as a simulation) is entangled when the students describe their experience. Using the concepts frame and domain it is analyzed how the students conceptualize and make meaning of the particular educational scenario manifested by the project management simulation game. We take as an outset that students interpret the situations in the project management simulation game as relating to one or several domains, especially the domains competition and simulation. Results suggest that the views of the scenario as a competition and as a simulation do coexist, and that these views merge in a subtle way. The players consider the…","author":[{"dropping-particle":"","family":"Misfeldt","given":"Morten","non-dropping-particle":"","parse-names":false,"suffix":""}],"container-title":"Electronic Journal of e-Learning","id":"ITEM-1","issue":"3","issued":{"date-parts":[["2015"]]},"page":"181-191","title":"Scenario based education as a framework for understanding students engagement and learning in a project management simulation game","type":"article-journal","volume":"13"},"uris":["http://www.mendeley.com/documents/?uuid=092313e4-c29d-4f9b-b151-b70746c3b863"]}],"mendeley":{"formattedCitation":"[45]","plainTextFormattedCitation":"[45]","previouslyFormattedCitation":"[45]"},"properties":{"noteIndex":0},"schema":"https://github.com/citation-style-language/schema/raw/master/csl-citation.json"}</w:instrText>
      </w:r>
      <w:r w:rsidR="002359A9" w:rsidRPr="00644CB1">
        <w:rPr>
          <w:color w:val="0D0D0D" w:themeColor="text1" w:themeTint="F2"/>
          <w:sz w:val="22"/>
          <w:szCs w:val="22"/>
          <w:lang w:val="en-US"/>
        </w:rPr>
        <w:fldChar w:fldCharType="separate"/>
      </w:r>
      <w:r w:rsidR="002359A9" w:rsidRPr="00644CB1">
        <w:rPr>
          <w:noProof/>
          <w:color w:val="0D0D0D" w:themeColor="text1" w:themeTint="F2"/>
          <w:sz w:val="22"/>
          <w:szCs w:val="22"/>
          <w:lang w:val="en-US"/>
        </w:rPr>
        <w:t>[45]</w:t>
      </w:r>
      <w:r w:rsidR="002359A9" w:rsidRPr="00644CB1">
        <w:rPr>
          <w:color w:val="0D0D0D" w:themeColor="text1" w:themeTint="F2"/>
          <w:sz w:val="22"/>
          <w:szCs w:val="22"/>
          <w:lang w:val="en-US"/>
        </w:rPr>
        <w:fldChar w:fldCharType="end"/>
      </w:r>
      <w:r w:rsidR="002359A9" w:rsidRPr="00644CB1">
        <w:rPr>
          <w:color w:val="0D0D0D" w:themeColor="text1" w:themeTint="F2"/>
          <w:sz w:val="22"/>
          <w:szCs w:val="22"/>
          <w:lang w:val="en-US"/>
        </w:rPr>
        <w:t xml:space="preserve"> </w:t>
      </w:r>
      <w:r w:rsidRPr="00644CB1">
        <w:rPr>
          <w:color w:val="0D0D0D" w:themeColor="text1" w:themeTint="F2"/>
          <w:sz w:val="22"/>
          <w:szCs w:val="22"/>
          <w:lang w:val="it-IT"/>
        </w:rPr>
        <w:t xml:space="preserve">Scenario-Based Education Framework creates a theoretically grounded approach for transforming commercial games into structured educational tools. The Unified Model provides content architecture (decision-making, planning, implementation, evaluation), while the Scenario-Based Framework structures the learning process itself. This integration addresses a critical theoretical void in game-based learning environments and generates a middle-range theory adaptable across sport management domains. Empirically, the study validates that commercial games combined with structured curricula </w:t>
      </w:r>
      <w:r w:rsidR="00877174">
        <w:rPr>
          <w:color w:val="0D0D0D" w:themeColor="text1" w:themeTint="F2"/>
          <w:sz w:val="22"/>
          <w:szCs w:val="22"/>
          <w:lang w:val="it-IT"/>
        </w:rPr>
        <w:t xml:space="preserve">may </w:t>
      </w:r>
      <w:r w:rsidRPr="00644CB1">
        <w:rPr>
          <w:color w:val="0D0D0D" w:themeColor="text1" w:themeTint="F2"/>
          <w:sz w:val="22"/>
          <w:szCs w:val="22"/>
          <w:lang w:val="it-IT"/>
        </w:rPr>
        <w:t>produce measurable outcomes in both theoretical understanding and practical competence, offering an evidence-based alternative to traditional lecture-based instruction.</w:t>
      </w:r>
    </w:p>
    <w:p w14:paraId="0ACBF964" w14:textId="1957052D" w:rsidR="00B153E6" w:rsidRPr="00644CB1" w:rsidRDefault="00B153E6" w:rsidP="00F75659">
      <w:pPr>
        <w:pStyle w:val="whitespace-normal"/>
        <w:spacing w:before="0" w:beforeAutospacing="0" w:after="0" w:afterAutospacing="0" w:line="264" w:lineRule="auto"/>
        <w:ind w:firstLine="284"/>
        <w:jc w:val="both"/>
        <w:rPr>
          <w:color w:val="0D0D0D" w:themeColor="text1" w:themeTint="F2"/>
          <w:sz w:val="22"/>
          <w:szCs w:val="22"/>
          <w:lang w:val="en-US"/>
        </w:rPr>
      </w:pPr>
      <w:r w:rsidRPr="00644CB1">
        <w:rPr>
          <w:color w:val="0D0D0D" w:themeColor="text1" w:themeTint="F2"/>
          <w:sz w:val="22"/>
          <w:szCs w:val="22"/>
          <w:lang w:val="en-US"/>
        </w:rPr>
        <w:t xml:space="preserve">The study offers actionable implications for multiple stakeholders. For curriculum developers, it provides a replicable model with modular design adaptable to diverse institutional contexts. Faculty gain practical guidance for leveraging freely available commercial games without custom development costs. Students benefit from authentic experiences developing technical and soft skills, </w:t>
      </w:r>
      <w:r w:rsidR="00877174">
        <w:rPr>
          <w:color w:val="0D0D0D" w:themeColor="text1" w:themeTint="F2"/>
          <w:sz w:val="22"/>
          <w:szCs w:val="22"/>
          <w:lang w:val="en-US"/>
        </w:rPr>
        <w:t xml:space="preserve">potentially </w:t>
      </w:r>
      <w:r w:rsidRPr="00644CB1">
        <w:rPr>
          <w:color w:val="0D0D0D" w:themeColor="text1" w:themeTint="F2"/>
          <w:sz w:val="22"/>
          <w:szCs w:val="22"/>
          <w:lang w:val="en-US"/>
        </w:rPr>
        <w:t>democratizing practical competency regardless of prior experience. Institutions receive a validated approach for bridging the theory-practice gap while enhancing student engagement</w:t>
      </w:r>
      <w:r w:rsidR="00056266" w:rsidRPr="00644CB1">
        <w:rPr>
          <w:color w:val="0D0D0D" w:themeColor="text1" w:themeTint="F2"/>
          <w:sz w:val="22"/>
          <w:szCs w:val="22"/>
          <w:lang w:val="en-US"/>
        </w:rPr>
        <w:t>.</w:t>
      </w:r>
    </w:p>
    <w:p w14:paraId="47E634DB" w14:textId="77777777" w:rsidR="00A13663" w:rsidRPr="00644CB1" w:rsidRDefault="00B153E6" w:rsidP="00A13663">
      <w:pPr>
        <w:pStyle w:val="whitespace-normal"/>
        <w:spacing w:before="0" w:beforeAutospacing="0" w:after="0" w:afterAutospacing="0" w:line="264" w:lineRule="auto"/>
        <w:ind w:firstLine="284"/>
        <w:jc w:val="both"/>
        <w:rPr>
          <w:color w:val="0D0D0D" w:themeColor="text1" w:themeTint="F2"/>
          <w:sz w:val="22"/>
          <w:szCs w:val="22"/>
          <w:lang w:val="en-US"/>
        </w:rPr>
      </w:pPr>
      <w:r w:rsidRPr="00644CB1">
        <w:rPr>
          <w:color w:val="0D0D0D" w:themeColor="text1" w:themeTint="F2"/>
          <w:sz w:val="22"/>
          <w:szCs w:val="22"/>
          <w:lang w:val="en-US"/>
        </w:rPr>
        <w:t>Future research should pursue four critical directions. First, randomized controlled trials comparing hybrid approaches with traditional methods using standardized instruments would establish causal relationships. Second, cross-cultural replication studies would examine framework adaptability across educational systems and contexts. Third, longitudinal studies tracking long-term retention and professional transfer of acquired competencies would validate durability of learning outcomes. Fourth, dismantling studies determining optimal balance between virtual gameplay and real-world execution components would clarify design parameters and cost-effectiveness.</w:t>
      </w:r>
      <w:r w:rsidR="00A13663" w:rsidRPr="00644CB1">
        <w:rPr>
          <w:color w:val="0D0D0D" w:themeColor="text1" w:themeTint="F2"/>
          <w:sz w:val="22"/>
          <w:szCs w:val="22"/>
          <w:lang w:val="en-US"/>
        </w:rPr>
        <w:t xml:space="preserve"> </w:t>
      </w:r>
    </w:p>
    <w:p w14:paraId="65BE27CF" w14:textId="5316D961" w:rsidR="000F1249" w:rsidRPr="00644CB1" w:rsidRDefault="00B153E6" w:rsidP="00A13663">
      <w:pPr>
        <w:pStyle w:val="whitespace-normal"/>
        <w:spacing w:before="0" w:beforeAutospacing="0" w:after="0" w:afterAutospacing="0" w:line="264" w:lineRule="auto"/>
        <w:ind w:firstLine="284"/>
        <w:jc w:val="both"/>
        <w:rPr>
          <w:color w:val="0D0D0D" w:themeColor="text1" w:themeTint="F2"/>
          <w:sz w:val="22"/>
          <w:szCs w:val="22"/>
          <w:lang w:val="en-US"/>
        </w:rPr>
      </w:pPr>
      <w:r w:rsidRPr="00644CB1">
        <w:rPr>
          <w:color w:val="0D0D0D" w:themeColor="text1" w:themeTint="F2"/>
          <w:sz w:val="22"/>
          <w:szCs w:val="22"/>
          <w:lang w:val="en-US"/>
        </w:rPr>
        <w:t xml:space="preserve">This study </w:t>
      </w:r>
      <w:r w:rsidR="00877174" w:rsidRPr="005813B2">
        <w:rPr>
          <w:sz w:val="22"/>
          <w:szCs w:val="22"/>
          <w:lang w:val="en-US"/>
        </w:rPr>
        <w:t>provides preliminary evidence suggesting</w:t>
      </w:r>
      <w:r w:rsidR="00877174" w:rsidRPr="004011F0">
        <w:rPr>
          <w:lang w:val="en-US"/>
        </w:rPr>
        <w:t xml:space="preserve"> </w:t>
      </w:r>
      <w:r w:rsidRPr="00644CB1">
        <w:rPr>
          <w:color w:val="0D0D0D" w:themeColor="text1" w:themeTint="F2"/>
          <w:sz w:val="22"/>
          <w:szCs w:val="22"/>
          <w:lang w:val="en-US"/>
        </w:rPr>
        <w:t xml:space="preserve">that commercial serious games, integrated within theoretically grounded frameworks, </w:t>
      </w:r>
      <w:r w:rsidR="00877174">
        <w:rPr>
          <w:color w:val="0D0D0D" w:themeColor="text1" w:themeTint="F2"/>
          <w:sz w:val="22"/>
          <w:szCs w:val="22"/>
          <w:lang w:val="en-US"/>
        </w:rPr>
        <w:t>may help</w:t>
      </w:r>
      <w:r w:rsidR="00877174" w:rsidRPr="00644CB1">
        <w:rPr>
          <w:color w:val="0D0D0D" w:themeColor="text1" w:themeTint="F2"/>
          <w:sz w:val="22"/>
          <w:szCs w:val="22"/>
          <w:lang w:val="en-US"/>
        </w:rPr>
        <w:t xml:space="preserve"> </w:t>
      </w:r>
      <w:r w:rsidRPr="00644CB1">
        <w:rPr>
          <w:color w:val="0D0D0D" w:themeColor="text1" w:themeTint="F2"/>
          <w:sz w:val="22"/>
          <w:szCs w:val="22"/>
          <w:lang w:val="en-US"/>
        </w:rPr>
        <w:t>bridge the gap between theoretical knowledge and practical application in sport event management education. The framework synthesis advances both serious games scholarship and sport management pedagogy. While limitations necessitate future experimental research, findings establish preliminary evidence that hybrid serious game approaches represent a promising direction for experiential professional education, offering sport management programs a practical, theoretically sound pathway for curriculum innovation.</w:t>
      </w:r>
      <w:r w:rsidR="000F1249" w:rsidRPr="00644CB1">
        <w:rPr>
          <w:color w:val="0D0D0D" w:themeColor="text1" w:themeTint="F2"/>
          <w:sz w:val="22"/>
          <w:szCs w:val="22"/>
          <w:lang w:val="en-US"/>
        </w:rPr>
        <w:t xml:space="preserve"> </w:t>
      </w:r>
    </w:p>
    <w:p w14:paraId="50B4C899" w14:textId="25AE4F44" w:rsidR="00AA112B" w:rsidRPr="00644CB1" w:rsidRDefault="00877174" w:rsidP="00A13663">
      <w:pPr>
        <w:pStyle w:val="whitespace-normal"/>
        <w:spacing w:before="0" w:beforeAutospacing="0" w:after="0" w:afterAutospacing="0" w:line="264" w:lineRule="auto"/>
        <w:ind w:firstLine="284"/>
        <w:jc w:val="both"/>
        <w:rPr>
          <w:color w:val="0D0D0D" w:themeColor="text1" w:themeTint="F2"/>
          <w:sz w:val="22"/>
          <w:szCs w:val="22"/>
          <w:lang w:val="en-US"/>
        </w:rPr>
      </w:pPr>
      <w:r w:rsidRPr="005813B2">
        <w:rPr>
          <w:color w:val="0D0D0D" w:themeColor="text1" w:themeTint="F2"/>
          <w:sz w:val="22"/>
          <w:szCs w:val="22"/>
          <w:lang w:val="it-IT"/>
        </w:rPr>
        <w:t xml:space="preserve">Based on the above, this study suggests </w:t>
      </w:r>
      <w:r w:rsidR="00AA112B" w:rsidRPr="00644CB1">
        <w:rPr>
          <w:color w:val="0D0D0D" w:themeColor="text1" w:themeTint="F2"/>
          <w:sz w:val="22"/>
          <w:szCs w:val="22"/>
          <w:lang w:val="it-IT"/>
        </w:rPr>
        <w:t xml:space="preserve">that the serious game Top Eleven </w:t>
      </w:r>
      <w:r>
        <w:rPr>
          <w:color w:val="0D0D0D" w:themeColor="text1" w:themeTint="F2"/>
          <w:sz w:val="22"/>
          <w:szCs w:val="22"/>
          <w:lang w:val="it-IT"/>
        </w:rPr>
        <w:t>may</w:t>
      </w:r>
      <w:r w:rsidR="00AA112B" w:rsidRPr="00644CB1">
        <w:rPr>
          <w:color w:val="0D0D0D" w:themeColor="text1" w:themeTint="F2"/>
          <w:sz w:val="22"/>
          <w:szCs w:val="22"/>
          <w:lang w:val="it-IT"/>
        </w:rPr>
        <w:t xml:space="preserve"> serve as an auxiliary educational tool for acquiring both theoretical knowledge and practical experience in sport event management when implemented through a structured hybrid learning approach. The empirical evidence </w:t>
      </w:r>
      <w:r>
        <w:rPr>
          <w:color w:val="0D0D0D" w:themeColor="text1" w:themeTint="F2"/>
          <w:sz w:val="22"/>
          <w:szCs w:val="22"/>
          <w:lang w:val="it-IT"/>
        </w:rPr>
        <w:t>suggests</w:t>
      </w:r>
      <w:r w:rsidRPr="00644CB1">
        <w:rPr>
          <w:color w:val="0D0D0D" w:themeColor="text1" w:themeTint="F2"/>
          <w:sz w:val="22"/>
          <w:szCs w:val="22"/>
          <w:lang w:val="it-IT"/>
        </w:rPr>
        <w:t xml:space="preserve"> </w:t>
      </w:r>
      <w:r w:rsidR="00AA112B" w:rsidRPr="00644CB1">
        <w:rPr>
          <w:color w:val="0D0D0D" w:themeColor="text1" w:themeTint="F2"/>
          <w:sz w:val="22"/>
          <w:szCs w:val="22"/>
          <w:lang w:val="it-IT"/>
        </w:rPr>
        <w:t xml:space="preserve">that commercial serious games, when integrated with real-world execution components and guided by established educational frameworks, </w:t>
      </w:r>
      <w:r>
        <w:rPr>
          <w:color w:val="0D0D0D" w:themeColor="text1" w:themeTint="F2"/>
          <w:sz w:val="22"/>
          <w:szCs w:val="22"/>
          <w:lang w:val="it-IT"/>
        </w:rPr>
        <w:t xml:space="preserve">may </w:t>
      </w:r>
      <w:r w:rsidR="00AA112B" w:rsidRPr="00644CB1">
        <w:rPr>
          <w:color w:val="0D0D0D" w:themeColor="text1" w:themeTint="F2"/>
          <w:sz w:val="22"/>
          <w:szCs w:val="22"/>
          <w:lang w:val="it-IT"/>
        </w:rPr>
        <w:t>constitute viable alternatives to traditional lecture-based instruction in professional education.</w:t>
      </w:r>
    </w:p>
    <w:p w14:paraId="7CDDC775" w14:textId="71FA78C1" w:rsidR="0075309C" w:rsidRPr="00644CB1" w:rsidRDefault="0075309C" w:rsidP="1BCABAC3">
      <w:pPr>
        <w:pStyle w:val="1"/>
        <w:rPr>
          <w:color w:val="0D0D0D" w:themeColor="text1" w:themeTint="F2"/>
        </w:rPr>
      </w:pPr>
      <w:r w:rsidRPr="006338FD">
        <w:rPr>
          <w:color w:val="5B9BD5" w:themeColor="accent1"/>
        </w:rPr>
        <w:t>A</w:t>
      </w:r>
      <w:r w:rsidR="00AE1D0E" w:rsidRPr="006338FD">
        <w:rPr>
          <w:color w:val="5B9BD5" w:themeColor="accent1"/>
        </w:rPr>
        <w:t>bbreviations</w:t>
      </w:r>
    </w:p>
    <w:p w14:paraId="03E44A0B" w14:textId="77777777" w:rsidR="005055EE" w:rsidRPr="00644CB1" w:rsidRDefault="005055EE" w:rsidP="005055EE">
      <w:pPr>
        <w:pStyle w:val="Articlenormaltextfirstparagraph"/>
        <w:rPr>
          <w:color w:val="0D0D0D" w:themeColor="text1" w:themeTint="F2"/>
          <w:szCs w:val="22"/>
        </w:rPr>
      </w:pPr>
      <w:r w:rsidRPr="00644CB1">
        <w:rPr>
          <w:color w:val="0D0D0D" w:themeColor="text1" w:themeTint="F2"/>
          <w:szCs w:val="22"/>
        </w:rPr>
        <w:t>NKUA</w:t>
      </w:r>
      <w:r w:rsidRPr="00644CB1">
        <w:rPr>
          <w:color w:val="0D0D0D" w:themeColor="text1" w:themeTint="F2"/>
          <w:szCs w:val="22"/>
        </w:rPr>
        <w:tab/>
      </w:r>
      <w:r w:rsidRPr="00644CB1">
        <w:rPr>
          <w:color w:val="0D0D0D" w:themeColor="text1" w:themeTint="F2"/>
          <w:szCs w:val="22"/>
        </w:rPr>
        <w:tab/>
        <w:t>National and Kapodistrian University of Athens</w:t>
      </w:r>
    </w:p>
    <w:p w14:paraId="67F93B18" w14:textId="77777777" w:rsidR="005055EE" w:rsidRPr="00644CB1" w:rsidRDefault="005055EE" w:rsidP="005055EE">
      <w:pPr>
        <w:pStyle w:val="Articlenormaltextfirstparagraph"/>
        <w:rPr>
          <w:color w:val="0D0D0D" w:themeColor="text1" w:themeTint="F2"/>
          <w:szCs w:val="22"/>
        </w:rPr>
      </w:pPr>
      <w:r w:rsidRPr="00644CB1">
        <w:rPr>
          <w:color w:val="0D0D0D" w:themeColor="text1" w:themeTint="F2"/>
          <w:szCs w:val="22"/>
        </w:rPr>
        <w:lastRenderedPageBreak/>
        <w:t>SPESS</w:t>
      </w:r>
      <w:r w:rsidRPr="00644CB1">
        <w:rPr>
          <w:color w:val="0D0D0D" w:themeColor="text1" w:themeTint="F2"/>
          <w:szCs w:val="22"/>
        </w:rPr>
        <w:tab/>
      </w:r>
      <w:r w:rsidRPr="00644CB1">
        <w:rPr>
          <w:color w:val="0D0D0D" w:themeColor="text1" w:themeTint="F2"/>
          <w:szCs w:val="22"/>
        </w:rPr>
        <w:tab/>
        <w:t>School of Physical Education and Sport Sciences</w:t>
      </w:r>
    </w:p>
    <w:p w14:paraId="5F5D0346" w14:textId="77777777" w:rsidR="005055EE" w:rsidRPr="00644CB1" w:rsidRDefault="005055EE" w:rsidP="005055EE">
      <w:pPr>
        <w:pStyle w:val="Articlenormaltextfirstparagraph"/>
        <w:rPr>
          <w:color w:val="0D0D0D" w:themeColor="text1" w:themeTint="F2"/>
          <w:szCs w:val="22"/>
        </w:rPr>
      </w:pPr>
      <w:r w:rsidRPr="00644CB1">
        <w:rPr>
          <w:color w:val="0D0D0D" w:themeColor="text1" w:themeTint="F2"/>
          <w:szCs w:val="22"/>
        </w:rPr>
        <w:t>SG</w:t>
      </w:r>
      <w:r w:rsidRPr="00644CB1">
        <w:rPr>
          <w:color w:val="0D0D0D" w:themeColor="text1" w:themeTint="F2"/>
          <w:szCs w:val="22"/>
        </w:rPr>
        <w:tab/>
      </w:r>
      <w:r w:rsidRPr="00644CB1">
        <w:rPr>
          <w:color w:val="0D0D0D" w:themeColor="text1" w:themeTint="F2"/>
          <w:szCs w:val="22"/>
        </w:rPr>
        <w:tab/>
        <w:t>Serious game</w:t>
      </w:r>
    </w:p>
    <w:p w14:paraId="0E53826E" w14:textId="77777777" w:rsidR="005055EE" w:rsidRPr="00644CB1" w:rsidRDefault="005055EE" w:rsidP="005055EE">
      <w:pPr>
        <w:pStyle w:val="Articlenormaltextfirstparagraph"/>
        <w:rPr>
          <w:color w:val="0D0D0D" w:themeColor="text1" w:themeTint="F2"/>
          <w:szCs w:val="22"/>
        </w:rPr>
      </w:pPr>
      <w:r w:rsidRPr="00644CB1">
        <w:rPr>
          <w:color w:val="0D0D0D" w:themeColor="text1" w:themeTint="F2"/>
          <w:szCs w:val="22"/>
        </w:rPr>
        <w:t>OC</w:t>
      </w:r>
      <w:r w:rsidRPr="00644CB1">
        <w:rPr>
          <w:color w:val="0D0D0D" w:themeColor="text1" w:themeTint="F2"/>
          <w:szCs w:val="22"/>
        </w:rPr>
        <w:tab/>
      </w:r>
      <w:r w:rsidRPr="00644CB1">
        <w:rPr>
          <w:color w:val="0D0D0D" w:themeColor="text1" w:themeTint="F2"/>
          <w:szCs w:val="22"/>
        </w:rPr>
        <w:tab/>
        <w:t>Organizing Committee</w:t>
      </w:r>
    </w:p>
    <w:p w14:paraId="34BF5BF3" w14:textId="77777777" w:rsidR="005055EE" w:rsidRPr="00644CB1" w:rsidRDefault="005055EE" w:rsidP="005055EE">
      <w:pPr>
        <w:pStyle w:val="Articlenormaltextfirstparagraph"/>
        <w:rPr>
          <w:color w:val="0D0D0D" w:themeColor="text1" w:themeTint="F2"/>
          <w:szCs w:val="22"/>
        </w:rPr>
      </w:pPr>
      <w:r w:rsidRPr="00644CB1">
        <w:rPr>
          <w:color w:val="0D0D0D" w:themeColor="text1" w:themeTint="F2"/>
          <w:szCs w:val="22"/>
        </w:rPr>
        <w:t>PM</w:t>
      </w:r>
      <w:r w:rsidRPr="00644CB1">
        <w:rPr>
          <w:color w:val="0D0D0D" w:themeColor="text1" w:themeTint="F2"/>
          <w:szCs w:val="22"/>
        </w:rPr>
        <w:tab/>
      </w:r>
      <w:r w:rsidRPr="00644CB1">
        <w:rPr>
          <w:color w:val="0D0D0D" w:themeColor="text1" w:themeTint="F2"/>
          <w:szCs w:val="22"/>
        </w:rPr>
        <w:tab/>
        <w:t>Project Manager</w:t>
      </w:r>
    </w:p>
    <w:p w14:paraId="53D0B738" w14:textId="77777777" w:rsidR="005055EE" w:rsidRDefault="005055EE" w:rsidP="005055EE">
      <w:pPr>
        <w:pStyle w:val="Articlenormaltextfirstparagraph"/>
        <w:rPr>
          <w:color w:val="0D0D0D" w:themeColor="text1" w:themeTint="F2"/>
          <w:szCs w:val="22"/>
        </w:rPr>
      </w:pPr>
      <w:r w:rsidRPr="00644CB1">
        <w:rPr>
          <w:color w:val="0D0D0D" w:themeColor="text1" w:themeTint="F2"/>
          <w:szCs w:val="22"/>
        </w:rPr>
        <w:t>VIFT</w:t>
      </w:r>
      <w:r w:rsidRPr="00644CB1">
        <w:rPr>
          <w:color w:val="0D0D0D" w:themeColor="text1" w:themeTint="F2"/>
          <w:szCs w:val="22"/>
        </w:rPr>
        <w:tab/>
      </w:r>
      <w:r w:rsidRPr="00644CB1">
        <w:rPr>
          <w:color w:val="0D0D0D" w:themeColor="text1" w:themeTint="F2"/>
          <w:szCs w:val="22"/>
        </w:rPr>
        <w:tab/>
        <w:t>Virtual Intramural Football Tournament</w:t>
      </w:r>
    </w:p>
    <w:p w14:paraId="6AB15CF0" w14:textId="77777777" w:rsidR="00E54BE6" w:rsidRPr="00C6209A" w:rsidRDefault="00E54BE6" w:rsidP="00E54BE6">
      <w:pPr>
        <w:pStyle w:val="1"/>
        <w:rPr>
          <w:color w:val="5B9BD5" w:themeColor="accent1"/>
        </w:rPr>
      </w:pPr>
      <w:r w:rsidRPr="00C6209A">
        <w:rPr>
          <w:color w:val="5B9BD5" w:themeColor="accent1"/>
        </w:rPr>
        <w:t>Conflicts of interest</w:t>
      </w:r>
    </w:p>
    <w:p w14:paraId="314759CD" w14:textId="77777777" w:rsidR="00E54BE6" w:rsidRDefault="00E54BE6" w:rsidP="00E54BE6">
      <w:pPr>
        <w:pStyle w:val="Articlenormaltextfirstparagraph"/>
      </w:pPr>
      <w:r>
        <w:t>The authors declare no conflicts of interest.</w:t>
      </w:r>
    </w:p>
    <w:p w14:paraId="0C0CA531" w14:textId="77777777" w:rsidR="005A758C" w:rsidRPr="006338FD" w:rsidRDefault="005A758C" w:rsidP="1BCABAC3">
      <w:pPr>
        <w:pStyle w:val="1"/>
        <w:rPr>
          <w:color w:val="5B9BD5" w:themeColor="accent1"/>
        </w:rPr>
      </w:pPr>
      <w:bookmarkStart w:id="6" w:name="_2p2csry"/>
      <w:bookmarkEnd w:id="6"/>
      <w:r w:rsidRPr="006338FD">
        <w:rPr>
          <w:color w:val="5B9BD5" w:themeColor="accent1"/>
        </w:rPr>
        <w:t>References</w:t>
      </w:r>
    </w:p>
    <w:p w14:paraId="45065F47" w14:textId="00E1E2D4" w:rsidR="00D820FD" w:rsidRPr="0074561C" w:rsidRDefault="00DB34D3"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color w:val="0D0D0D" w:themeColor="text1" w:themeTint="F2"/>
          <w:sz w:val="20"/>
          <w:szCs w:val="20"/>
          <w:lang w:val="en-US"/>
        </w:rPr>
        <w:fldChar w:fldCharType="begin" w:fldLock="1"/>
      </w:r>
      <w:r w:rsidRPr="0074561C">
        <w:rPr>
          <w:rFonts w:ascii="Times New Roman" w:hAnsi="Times New Roman"/>
          <w:color w:val="0D0D0D" w:themeColor="text1" w:themeTint="F2"/>
          <w:sz w:val="20"/>
          <w:szCs w:val="20"/>
          <w:lang w:val="en-US"/>
        </w:rPr>
        <w:instrText xml:space="preserve">ADDIN Mendeley Bibliography CSL_BIBLIOGRAPHY </w:instrText>
      </w:r>
      <w:r w:rsidRPr="0074561C">
        <w:rPr>
          <w:rFonts w:ascii="Times New Roman" w:hAnsi="Times New Roman"/>
          <w:color w:val="0D0D0D" w:themeColor="text1" w:themeTint="F2"/>
          <w:sz w:val="20"/>
          <w:szCs w:val="20"/>
          <w:lang w:val="en-US"/>
        </w:rPr>
        <w:fldChar w:fldCharType="separate"/>
      </w:r>
      <w:r w:rsidR="00D820FD" w:rsidRPr="0074561C">
        <w:rPr>
          <w:rFonts w:ascii="Times New Roman" w:hAnsi="Times New Roman"/>
          <w:noProof/>
          <w:color w:val="0D0D0D" w:themeColor="text1" w:themeTint="F2"/>
          <w:sz w:val="20"/>
          <w:szCs w:val="20"/>
        </w:rPr>
        <w:t>[1]</w:t>
      </w:r>
      <w:r w:rsidR="00D820FD" w:rsidRPr="0074561C">
        <w:rPr>
          <w:rFonts w:ascii="Times New Roman" w:hAnsi="Times New Roman"/>
          <w:noProof/>
          <w:color w:val="0D0D0D" w:themeColor="text1" w:themeTint="F2"/>
          <w:sz w:val="20"/>
          <w:szCs w:val="20"/>
        </w:rPr>
        <w:tab/>
        <w:t xml:space="preserve">D. Vlachopoulos and A. Makri, </w:t>
      </w:r>
      <w:r w:rsidR="00D820FD" w:rsidRPr="0074561C">
        <w:rPr>
          <w:rFonts w:ascii="Times New Roman" w:hAnsi="Times New Roman"/>
          <w:i/>
          <w:iCs/>
          <w:noProof/>
          <w:color w:val="0D0D0D" w:themeColor="text1" w:themeTint="F2"/>
          <w:sz w:val="20"/>
          <w:szCs w:val="20"/>
        </w:rPr>
        <w:t>The effect of games and simulations on higher education: a systematic literature review</w:t>
      </w:r>
      <w:r w:rsidR="00D820FD" w:rsidRPr="0074561C">
        <w:rPr>
          <w:rFonts w:ascii="Times New Roman" w:hAnsi="Times New Roman"/>
          <w:noProof/>
          <w:color w:val="0D0D0D" w:themeColor="text1" w:themeTint="F2"/>
          <w:sz w:val="20"/>
          <w:szCs w:val="20"/>
        </w:rPr>
        <w:t>, vol. 14, no. 1. International Journal of Educational Technology in Higher Education, 2017. doi: 10.1186/s41239-017-0062-1.</w:t>
      </w:r>
    </w:p>
    <w:p w14:paraId="20820847"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[2]</w:t>
      </w:r>
      <w:r w:rsidRPr="0074561C">
        <w:rPr>
          <w:rFonts w:ascii="Times New Roman" w:hAnsi="Times New Roman"/>
          <w:noProof/>
          <w:color w:val="0D0D0D" w:themeColor="text1" w:themeTint="F2"/>
          <w:sz w:val="20"/>
          <w:szCs w:val="20"/>
        </w:rPr>
        <w:tab/>
        <w:t xml:space="preserve">P. Boinodiris, “Playing to win: serious games for business,” in </w:t>
      </w:r>
      <w:r w:rsidRPr="0074561C">
        <w:rPr>
          <w:rFonts w:ascii="Times New Roman" w:hAnsi="Times New Roman"/>
          <w:i/>
          <w:iCs/>
          <w:noProof/>
          <w:color w:val="0D0D0D" w:themeColor="text1" w:themeTint="F2"/>
          <w:sz w:val="20"/>
          <w:szCs w:val="20"/>
        </w:rPr>
        <w:t>The Bridge: Linking Engineering and Society</w:t>
      </w:r>
      <w:r w:rsidRPr="0074561C">
        <w:rPr>
          <w:rFonts w:ascii="Times New Roman" w:hAnsi="Times New Roman"/>
          <w:noProof/>
          <w:color w:val="0D0D0D" w:themeColor="text1" w:themeTint="F2"/>
          <w:sz w:val="20"/>
          <w:szCs w:val="20"/>
        </w:rPr>
        <w:t>, R. M. Latanision and C. H. Fletcher, Eds., National Academy of Sciences, 2012, pp. 34–39.</w:t>
      </w:r>
    </w:p>
    <w:p w14:paraId="37844B55"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[3]</w:t>
      </w:r>
      <w:r w:rsidRPr="0074561C">
        <w:rPr>
          <w:rFonts w:ascii="Times New Roman" w:hAnsi="Times New Roman"/>
          <w:noProof/>
          <w:color w:val="0D0D0D" w:themeColor="text1" w:themeTint="F2"/>
          <w:sz w:val="20"/>
          <w:szCs w:val="20"/>
        </w:rPr>
        <w:tab/>
        <w:t xml:space="preserve">L. Chalip, “Toward a Distinctive Sport Management Discipline,” </w:t>
      </w:r>
      <w:r w:rsidRPr="0074561C">
        <w:rPr>
          <w:rFonts w:ascii="Times New Roman" w:hAnsi="Times New Roman"/>
          <w:i/>
          <w:iCs/>
          <w:noProof/>
          <w:color w:val="0D0D0D" w:themeColor="text1" w:themeTint="F2"/>
          <w:sz w:val="20"/>
          <w:szCs w:val="20"/>
        </w:rPr>
        <w:t>J. Sport Manag.</w:t>
      </w:r>
      <w:r w:rsidRPr="0074561C">
        <w:rPr>
          <w:rFonts w:ascii="Times New Roman" w:hAnsi="Times New Roman"/>
          <w:noProof/>
          <w:color w:val="0D0D0D" w:themeColor="text1" w:themeTint="F2"/>
          <w:sz w:val="20"/>
          <w:szCs w:val="20"/>
        </w:rPr>
        <w:t>, vol. 20, no. 1, pp. 1–21, Jan. 2006, doi: 10.1123/jsm.20.1.1.</w:t>
      </w:r>
    </w:p>
    <w:p w14:paraId="694AD6EA"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[4]</w:t>
      </w:r>
      <w:r w:rsidRPr="0074561C">
        <w:rPr>
          <w:rFonts w:ascii="Times New Roman" w:hAnsi="Times New Roman"/>
          <w:noProof/>
          <w:color w:val="0D0D0D" w:themeColor="text1" w:themeTint="F2"/>
          <w:sz w:val="20"/>
          <w:szCs w:val="20"/>
        </w:rPr>
        <w:tab/>
        <w:t xml:space="preserve">S. Xinogalos and M. M. Tryfou, “Using Greenfoot as a tool for serious games programming education and development,” </w:t>
      </w:r>
      <w:r w:rsidRPr="0074561C">
        <w:rPr>
          <w:rFonts w:ascii="Times New Roman" w:hAnsi="Times New Roman"/>
          <w:i/>
          <w:iCs/>
          <w:noProof/>
          <w:color w:val="0D0D0D" w:themeColor="text1" w:themeTint="F2"/>
          <w:sz w:val="20"/>
          <w:szCs w:val="20"/>
        </w:rPr>
        <w:t>Int. J. Serious Games</w:t>
      </w:r>
      <w:r w:rsidRPr="0074561C">
        <w:rPr>
          <w:rFonts w:ascii="Times New Roman" w:hAnsi="Times New Roman"/>
          <w:noProof/>
          <w:color w:val="0D0D0D" w:themeColor="text1" w:themeTint="F2"/>
          <w:sz w:val="20"/>
          <w:szCs w:val="20"/>
        </w:rPr>
        <w:t>, vol. 8, no. 2, pp. 67–86, 2021, doi: 10.17083/ijsg.v8i2.425.</w:t>
      </w:r>
    </w:p>
    <w:p w14:paraId="7723C371"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[5]</w:t>
      </w:r>
      <w:r w:rsidRPr="0074561C">
        <w:rPr>
          <w:rFonts w:ascii="Times New Roman" w:hAnsi="Times New Roman"/>
          <w:noProof/>
          <w:color w:val="0D0D0D" w:themeColor="text1" w:themeTint="F2"/>
          <w:sz w:val="20"/>
          <w:szCs w:val="20"/>
        </w:rPr>
        <w:tab/>
        <w:t xml:space="preserve">N. Kara, “A systematic review of the use of serious games in science education,” </w:t>
      </w:r>
      <w:r w:rsidRPr="0074561C">
        <w:rPr>
          <w:rFonts w:ascii="Times New Roman" w:hAnsi="Times New Roman"/>
          <w:i/>
          <w:iCs/>
          <w:noProof/>
          <w:color w:val="0D0D0D" w:themeColor="text1" w:themeTint="F2"/>
          <w:sz w:val="20"/>
          <w:szCs w:val="20"/>
        </w:rPr>
        <w:t>Contemp. Educ. Technol.</w:t>
      </w:r>
      <w:r w:rsidRPr="0074561C">
        <w:rPr>
          <w:rFonts w:ascii="Times New Roman" w:hAnsi="Times New Roman"/>
          <w:noProof/>
          <w:color w:val="0D0D0D" w:themeColor="text1" w:themeTint="F2"/>
          <w:sz w:val="20"/>
          <w:szCs w:val="20"/>
        </w:rPr>
        <w:t>, vol. 13, no. 2, pp. 1–13, 2021, doi: 10.30935/cedtech/9608.</w:t>
      </w:r>
    </w:p>
    <w:p w14:paraId="320DD098"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[6]</w:t>
      </w:r>
      <w:r w:rsidRPr="0074561C">
        <w:rPr>
          <w:rFonts w:ascii="Times New Roman" w:hAnsi="Times New Roman"/>
          <w:noProof/>
          <w:color w:val="0D0D0D" w:themeColor="text1" w:themeTint="F2"/>
          <w:sz w:val="20"/>
          <w:szCs w:val="20"/>
        </w:rPr>
        <w:tab/>
        <w:t xml:space="preserve">J. McGonigal, </w:t>
      </w:r>
      <w:r w:rsidRPr="0074561C">
        <w:rPr>
          <w:rFonts w:ascii="Times New Roman" w:hAnsi="Times New Roman"/>
          <w:i/>
          <w:iCs/>
          <w:noProof/>
          <w:color w:val="0D0D0D" w:themeColor="text1" w:themeTint="F2"/>
          <w:sz w:val="20"/>
          <w:szCs w:val="20"/>
        </w:rPr>
        <w:t>Reality is broken: Why games make us better and how they can change the world</w:t>
      </w:r>
      <w:r w:rsidRPr="0074561C">
        <w:rPr>
          <w:rFonts w:ascii="Times New Roman" w:hAnsi="Times New Roman"/>
          <w:noProof/>
          <w:color w:val="0D0D0D" w:themeColor="text1" w:themeTint="F2"/>
          <w:sz w:val="20"/>
          <w:szCs w:val="20"/>
        </w:rPr>
        <w:t>. New York: The Penguin Press, 2011.</w:t>
      </w:r>
    </w:p>
    <w:p w14:paraId="57082B83"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[7]</w:t>
      </w:r>
      <w:r w:rsidRPr="0074561C">
        <w:rPr>
          <w:rFonts w:ascii="Times New Roman" w:hAnsi="Times New Roman"/>
          <w:noProof/>
          <w:color w:val="0D0D0D" w:themeColor="text1" w:themeTint="F2"/>
          <w:sz w:val="20"/>
          <w:szCs w:val="20"/>
        </w:rPr>
        <w:tab/>
        <w:t xml:space="preserve">H. Michel, “Characterizing serious games implementation’s strategies: Is higher education the new playground of serious games?,” </w:t>
      </w:r>
      <w:r w:rsidRPr="0074561C">
        <w:rPr>
          <w:rFonts w:ascii="Times New Roman" w:hAnsi="Times New Roman"/>
          <w:i/>
          <w:iCs/>
          <w:noProof/>
          <w:color w:val="0D0D0D" w:themeColor="text1" w:themeTint="F2"/>
          <w:sz w:val="20"/>
          <w:szCs w:val="20"/>
        </w:rPr>
        <w:t>Proc. Annu. Hawaii Int. Conf. Syst. Sci.</w:t>
      </w:r>
      <w:r w:rsidRPr="0074561C">
        <w:rPr>
          <w:rFonts w:ascii="Times New Roman" w:hAnsi="Times New Roman"/>
          <w:noProof/>
          <w:color w:val="0D0D0D" w:themeColor="text1" w:themeTint="F2"/>
          <w:sz w:val="20"/>
          <w:szCs w:val="20"/>
        </w:rPr>
        <w:t>, vol. 2016-March, pp. 818–826, 2016, doi: 10.1109/HICSS.2016.106.</w:t>
      </w:r>
    </w:p>
    <w:p w14:paraId="6F7A27B0"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[8]</w:t>
      </w:r>
      <w:r w:rsidRPr="0074561C">
        <w:rPr>
          <w:rFonts w:ascii="Times New Roman" w:hAnsi="Times New Roman"/>
          <w:noProof/>
          <w:color w:val="0D0D0D" w:themeColor="text1" w:themeTint="F2"/>
          <w:sz w:val="20"/>
          <w:szCs w:val="20"/>
        </w:rPr>
        <w:tab/>
        <w:t xml:space="preserve">V. Guillén-Nieto and M. Aleson-Carbonell, “Serious games and learning effectiveness: The case of It’s a Deal!,” </w:t>
      </w:r>
      <w:r w:rsidRPr="0074561C">
        <w:rPr>
          <w:rFonts w:ascii="Times New Roman" w:hAnsi="Times New Roman"/>
          <w:i/>
          <w:iCs/>
          <w:noProof/>
          <w:color w:val="0D0D0D" w:themeColor="text1" w:themeTint="F2"/>
          <w:sz w:val="20"/>
          <w:szCs w:val="20"/>
        </w:rPr>
        <w:t>Comput. Educ.</w:t>
      </w:r>
      <w:r w:rsidRPr="0074561C">
        <w:rPr>
          <w:rFonts w:ascii="Times New Roman" w:hAnsi="Times New Roman"/>
          <w:noProof/>
          <w:color w:val="0D0D0D" w:themeColor="text1" w:themeTint="F2"/>
          <w:sz w:val="20"/>
          <w:szCs w:val="20"/>
        </w:rPr>
        <w:t>, vol. 58, no. 1, pp. 435–448, 2012, doi: 10.1016/j.compedu.2011.07.015.</w:t>
      </w:r>
    </w:p>
    <w:p w14:paraId="3C5188BE"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[9]</w:t>
      </w:r>
      <w:r w:rsidRPr="0074561C">
        <w:rPr>
          <w:rFonts w:ascii="Times New Roman" w:hAnsi="Times New Roman"/>
          <w:noProof/>
          <w:color w:val="0D0D0D" w:themeColor="text1" w:themeTint="F2"/>
          <w:sz w:val="20"/>
          <w:szCs w:val="20"/>
        </w:rPr>
        <w:tab/>
        <w:t xml:space="preserve">I. Afthinos, V. Manasis, and T. P. Chrysanthopoulos, “Serious game top eleven as an educational tool in sports economics,” </w:t>
      </w:r>
      <w:r w:rsidRPr="0074561C">
        <w:rPr>
          <w:rFonts w:ascii="Times New Roman" w:hAnsi="Times New Roman"/>
          <w:i/>
          <w:iCs/>
          <w:noProof/>
          <w:color w:val="0D0D0D" w:themeColor="text1" w:themeTint="F2"/>
          <w:sz w:val="20"/>
          <w:szCs w:val="20"/>
        </w:rPr>
        <w:t>Int. J. Serious Games</w:t>
      </w:r>
      <w:r w:rsidRPr="0074561C">
        <w:rPr>
          <w:rFonts w:ascii="Times New Roman" w:hAnsi="Times New Roman"/>
          <w:noProof/>
          <w:color w:val="0D0D0D" w:themeColor="text1" w:themeTint="F2"/>
          <w:sz w:val="20"/>
          <w:szCs w:val="20"/>
        </w:rPr>
        <w:t>, vol. 8, no. 2, pp. 3–19, 2021, doi: 10.17083/ijsg.v8i2.420.</w:t>
      </w:r>
    </w:p>
    <w:p w14:paraId="1EF7B9F7"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[10]</w:t>
      </w:r>
      <w:r w:rsidRPr="0074561C">
        <w:rPr>
          <w:rFonts w:ascii="Times New Roman" w:hAnsi="Times New Roman"/>
          <w:noProof/>
          <w:color w:val="0D0D0D" w:themeColor="text1" w:themeTint="F2"/>
          <w:sz w:val="20"/>
          <w:szCs w:val="20"/>
        </w:rPr>
        <w:tab/>
        <w:t xml:space="preserve">Y. Afthinos, Z. Kiaffas, and T. Afthinos, “The Serious Game ‘Top Eleven’ as an Educational Simulation Platform for Acquiring Knowledge and Skills in the Management of Sports Clubs,” </w:t>
      </w:r>
      <w:r w:rsidRPr="0074561C">
        <w:rPr>
          <w:rFonts w:ascii="Times New Roman" w:hAnsi="Times New Roman"/>
          <w:i/>
          <w:iCs/>
          <w:noProof/>
          <w:color w:val="0D0D0D" w:themeColor="text1" w:themeTint="F2"/>
          <w:sz w:val="20"/>
          <w:szCs w:val="20"/>
        </w:rPr>
        <w:t>Technol. Knowl. Learn.</w:t>
      </w:r>
      <w:r w:rsidRPr="0074561C">
        <w:rPr>
          <w:rFonts w:ascii="Times New Roman" w:hAnsi="Times New Roman"/>
          <w:noProof/>
          <w:color w:val="0D0D0D" w:themeColor="text1" w:themeTint="F2"/>
          <w:sz w:val="20"/>
          <w:szCs w:val="20"/>
        </w:rPr>
        <w:t>, vol. 27, no. 1, pp. 255–273, 2022, doi: 10.1007/s10758-021-09573-8.</w:t>
      </w:r>
    </w:p>
    <w:p w14:paraId="20A60383"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[11]</w:t>
      </w:r>
      <w:r w:rsidRPr="0074561C">
        <w:rPr>
          <w:rFonts w:ascii="Times New Roman" w:hAnsi="Times New Roman"/>
          <w:noProof/>
          <w:color w:val="0D0D0D" w:themeColor="text1" w:themeTint="F2"/>
          <w:sz w:val="20"/>
          <w:szCs w:val="20"/>
        </w:rPr>
        <w:tab/>
        <w:t xml:space="preserve">A. A. Juan, B. Loch, T. Daradoumis, and S. Ventura, “Games and simulation in higher education,” </w:t>
      </w:r>
      <w:r w:rsidRPr="0074561C">
        <w:rPr>
          <w:rFonts w:ascii="Times New Roman" w:hAnsi="Times New Roman"/>
          <w:i/>
          <w:iCs/>
          <w:noProof/>
          <w:color w:val="0D0D0D" w:themeColor="text1" w:themeTint="F2"/>
          <w:sz w:val="20"/>
          <w:szCs w:val="20"/>
        </w:rPr>
        <w:t>Int. J. Educ. Technol. High. Educ.</w:t>
      </w:r>
      <w:r w:rsidRPr="0074561C">
        <w:rPr>
          <w:rFonts w:ascii="Times New Roman" w:hAnsi="Times New Roman"/>
          <w:noProof/>
          <w:color w:val="0D0D0D" w:themeColor="text1" w:themeTint="F2"/>
          <w:sz w:val="20"/>
          <w:szCs w:val="20"/>
        </w:rPr>
        <w:t>, vol. 14, no. 1, pp. 0–2, 2017, doi: 10.1186/s41239-017-0075-9.</w:t>
      </w:r>
    </w:p>
    <w:p w14:paraId="1BE176B5"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[12]</w:t>
      </w:r>
      <w:r w:rsidRPr="0074561C">
        <w:rPr>
          <w:rFonts w:ascii="Times New Roman" w:hAnsi="Times New Roman"/>
          <w:noProof/>
          <w:color w:val="0D0D0D" w:themeColor="text1" w:themeTint="F2"/>
          <w:sz w:val="20"/>
          <w:szCs w:val="20"/>
        </w:rPr>
        <w:tab/>
        <w:t xml:space="preserve">Y. Zhonggen, “A Meta-Analysis of Use of Serious Games in Education over a Decade,” </w:t>
      </w:r>
      <w:r w:rsidRPr="0074561C">
        <w:rPr>
          <w:rFonts w:ascii="Times New Roman" w:hAnsi="Times New Roman"/>
          <w:i/>
          <w:iCs/>
          <w:noProof/>
          <w:color w:val="0D0D0D" w:themeColor="text1" w:themeTint="F2"/>
          <w:sz w:val="20"/>
          <w:szCs w:val="20"/>
        </w:rPr>
        <w:t>Int. J. Comput. Games Technol.</w:t>
      </w:r>
      <w:r w:rsidRPr="0074561C">
        <w:rPr>
          <w:rFonts w:ascii="Times New Roman" w:hAnsi="Times New Roman"/>
          <w:noProof/>
          <w:color w:val="0D0D0D" w:themeColor="text1" w:themeTint="F2"/>
          <w:sz w:val="20"/>
          <w:szCs w:val="20"/>
        </w:rPr>
        <w:t>, vol. 2019, no. 3, 2019, doi: 10.1155/2019/4797032.</w:t>
      </w:r>
    </w:p>
    <w:p w14:paraId="3393C77C"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[13]</w:t>
      </w:r>
      <w:r w:rsidRPr="0074561C">
        <w:rPr>
          <w:rFonts w:ascii="Times New Roman" w:hAnsi="Times New Roman"/>
          <w:noProof/>
          <w:color w:val="0D0D0D" w:themeColor="text1" w:themeTint="F2"/>
          <w:sz w:val="20"/>
          <w:szCs w:val="20"/>
        </w:rPr>
        <w:tab/>
        <w:t xml:space="preserve">L. M. Lower-Hoppe, L. A. Wanless, S. M. Aldridge, and D. W. Jones, “Integrating blended learning within sport event management curriculum,” </w:t>
      </w:r>
      <w:r w:rsidRPr="0074561C">
        <w:rPr>
          <w:rFonts w:ascii="Times New Roman" w:hAnsi="Times New Roman"/>
          <w:i/>
          <w:iCs/>
          <w:noProof/>
          <w:color w:val="0D0D0D" w:themeColor="text1" w:themeTint="F2"/>
          <w:sz w:val="20"/>
          <w:szCs w:val="20"/>
        </w:rPr>
        <w:t>Sport Manag. Educ. J.</w:t>
      </w:r>
      <w:r w:rsidRPr="0074561C">
        <w:rPr>
          <w:rFonts w:ascii="Times New Roman" w:hAnsi="Times New Roman"/>
          <w:noProof/>
          <w:color w:val="0D0D0D" w:themeColor="text1" w:themeTint="F2"/>
          <w:sz w:val="20"/>
          <w:szCs w:val="20"/>
        </w:rPr>
        <w:t>, vol. 13, no. 2, pp. 105–116, 2019, doi: https://doi.org/10.1123/smej.2018-0024.</w:t>
      </w:r>
    </w:p>
    <w:p w14:paraId="4758AFB2"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[14]</w:t>
      </w:r>
      <w:r w:rsidRPr="0074561C">
        <w:rPr>
          <w:rFonts w:ascii="Times New Roman" w:hAnsi="Times New Roman"/>
          <w:noProof/>
          <w:color w:val="0D0D0D" w:themeColor="text1" w:themeTint="F2"/>
          <w:sz w:val="20"/>
          <w:szCs w:val="20"/>
        </w:rPr>
        <w:tab/>
        <w:t xml:space="preserve">Y. Afthinos, </w:t>
      </w:r>
      <w:r w:rsidRPr="0074561C">
        <w:rPr>
          <w:rFonts w:ascii="Times New Roman" w:hAnsi="Times New Roman"/>
          <w:i/>
          <w:iCs/>
          <w:noProof/>
          <w:color w:val="0D0D0D" w:themeColor="text1" w:themeTint="F2"/>
          <w:sz w:val="20"/>
          <w:szCs w:val="20"/>
        </w:rPr>
        <w:t>Sport administration: The structure and functioning of sports organizations. [Αθλητική διοίκηση: Η διάρθρωση και λειτουργία των αθλητικών οργανισμών]</w:t>
      </w:r>
      <w:r w:rsidRPr="0074561C">
        <w:rPr>
          <w:rFonts w:ascii="Times New Roman" w:hAnsi="Times New Roman"/>
          <w:noProof/>
          <w:color w:val="0D0D0D" w:themeColor="text1" w:themeTint="F2"/>
          <w:sz w:val="20"/>
          <w:szCs w:val="20"/>
        </w:rPr>
        <w:t>. Athens: Sport Option, 2017.</w:t>
      </w:r>
    </w:p>
    <w:p w14:paraId="30591CBA"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[15]</w:t>
      </w:r>
      <w:r w:rsidRPr="0074561C">
        <w:rPr>
          <w:rFonts w:ascii="Times New Roman" w:hAnsi="Times New Roman"/>
          <w:noProof/>
          <w:color w:val="0D0D0D" w:themeColor="text1" w:themeTint="F2"/>
          <w:sz w:val="20"/>
          <w:szCs w:val="20"/>
        </w:rPr>
        <w:tab/>
        <w:t xml:space="preserve">H. Pope and C. Mangram, “Wuzzit Trouble: The Influence of a Digital Math Game on Student Number Sense,” </w:t>
      </w:r>
      <w:r w:rsidRPr="0074561C">
        <w:rPr>
          <w:rFonts w:ascii="Times New Roman" w:hAnsi="Times New Roman"/>
          <w:i/>
          <w:iCs/>
          <w:noProof/>
          <w:color w:val="0D0D0D" w:themeColor="text1" w:themeTint="F2"/>
          <w:sz w:val="20"/>
          <w:szCs w:val="20"/>
        </w:rPr>
        <w:t>Int. J. Serious Games</w:t>
      </w:r>
      <w:r w:rsidRPr="0074561C">
        <w:rPr>
          <w:rFonts w:ascii="Times New Roman" w:hAnsi="Times New Roman"/>
          <w:noProof/>
          <w:color w:val="0D0D0D" w:themeColor="text1" w:themeTint="F2"/>
          <w:sz w:val="20"/>
          <w:szCs w:val="20"/>
        </w:rPr>
        <w:t>, vol. 2, no. 4, pp. 5–21, 2015, doi: 10.17083/ijsg.v2i4.88.</w:t>
      </w:r>
    </w:p>
    <w:p w14:paraId="65AFD5F9"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[16]</w:t>
      </w:r>
      <w:r w:rsidRPr="0074561C">
        <w:rPr>
          <w:rFonts w:ascii="Times New Roman" w:hAnsi="Times New Roman"/>
          <w:noProof/>
          <w:color w:val="0D0D0D" w:themeColor="text1" w:themeTint="F2"/>
          <w:sz w:val="20"/>
          <w:szCs w:val="20"/>
        </w:rPr>
        <w:tab/>
        <w:t xml:space="preserve">M. Carter, D. Compeau, M. I. L. Kennedy, and M. Schmalz, “The content and context of identity in a digital society,” </w:t>
      </w:r>
      <w:r w:rsidRPr="0074561C">
        <w:rPr>
          <w:rFonts w:ascii="Times New Roman" w:hAnsi="Times New Roman"/>
          <w:i/>
          <w:iCs/>
          <w:noProof/>
          <w:color w:val="0D0D0D" w:themeColor="text1" w:themeTint="F2"/>
          <w:sz w:val="20"/>
          <w:szCs w:val="20"/>
        </w:rPr>
        <w:t>Proc. 25th Eur. Conf. Inf. Syst. ECIS 2017</w:t>
      </w:r>
      <w:r w:rsidRPr="0074561C">
        <w:rPr>
          <w:rFonts w:ascii="Times New Roman" w:hAnsi="Times New Roman"/>
          <w:noProof/>
          <w:color w:val="0D0D0D" w:themeColor="text1" w:themeTint="F2"/>
          <w:sz w:val="20"/>
          <w:szCs w:val="20"/>
        </w:rPr>
        <w:t>, vol. 2017, pp. 3245–3254, 2017.</w:t>
      </w:r>
    </w:p>
    <w:p w14:paraId="25B09976"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[17]</w:t>
      </w:r>
      <w:r w:rsidRPr="0074561C">
        <w:rPr>
          <w:rFonts w:ascii="Times New Roman" w:hAnsi="Times New Roman"/>
          <w:noProof/>
          <w:color w:val="0D0D0D" w:themeColor="text1" w:themeTint="F2"/>
          <w:sz w:val="20"/>
          <w:szCs w:val="20"/>
        </w:rPr>
        <w:tab/>
        <w:t xml:space="preserve">A. De Gloria, F. Bellotti, and R. Berta, “Serious Games for education and training,” </w:t>
      </w:r>
      <w:r w:rsidRPr="0074561C">
        <w:rPr>
          <w:rFonts w:ascii="Times New Roman" w:hAnsi="Times New Roman"/>
          <w:i/>
          <w:iCs/>
          <w:noProof/>
          <w:color w:val="0D0D0D" w:themeColor="text1" w:themeTint="F2"/>
          <w:sz w:val="20"/>
          <w:szCs w:val="20"/>
        </w:rPr>
        <w:t>Int. J. Serious Games</w:t>
      </w:r>
      <w:r w:rsidRPr="0074561C">
        <w:rPr>
          <w:rFonts w:ascii="Times New Roman" w:hAnsi="Times New Roman"/>
          <w:noProof/>
          <w:color w:val="0D0D0D" w:themeColor="text1" w:themeTint="F2"/>
          <w:sz w:val="20"/>
          <w:szCs w:val="20"/>
        </w:rPr>
        <w:t>, vol. 1, no. 1, 2014, doi: 10.17083/ijsg.v1i1.11.</w:t>
      </w:r>
    </w:p>
    <w:p w14:paraId="02FBFBD8"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[18]</w:t>
      </w:r>
      <w:r w:rsidRPr="0074561C">
        <w:rPr>
          <w:rFonts w:ascii="Times New Roman" w:hAnsi="Times New Roman"/>
          <w:noProof/>
          <w:color w:val="0D0D0D" w:themeColor="text1" w:themeTint="F2"/>
          <w:sz w:val="20"/>
          <w:szCs w:val="20"/>
        </w:rPr>
        <w:tab/>
        <w:t xml:space="preserve">J. Qu, B. Hu, Z. Wu, and C. Meng, “Market Development and Revenue-Sharing Contract Design </w:t>
      </w:r>
      <w:r w:rsidRPr="0074561C">
        <w:rPr>
          <w:rFonts w:ascii="Times New Roman" w:hAnsi="Times New Roman"/>
          <w:noProof/>
          <w:color w:val="0D0D0D" w:themeColor="text1" w:themeTint="F2"/>
          <w:sz w:val="20"/>
          <w:szCs w:val="20"/>
        </w:rPr>
        <w:lastRenderedPageBreak/>
        <w:t xml:space="preserve">for Mobile Game Supply Chains,” </w:t>
      </w:r>
      <w:r w:rsidRPr="0074561C">
        <w:rPr>
          <w:rFonts w:ascii="Times New Roman" w:hAnsi="Times New Roman"/>
          <w:i/>
          <w:iCs/>
          <w:noProof/>
          <w:color w:val="0D0D0D" w:themeColor="text1" w:themeTint="F2"/>
          <w:sz w:val="20"/>
          <w:szCs w:val="20"/>
        </w:rPr>
        <w:t>IEEE Trans. Eng. Manag.</w:t>
      </w:r>
      <w:r w:rsidRPr="0074561C">
        <w:rPr>
          <w:rFonts w:ascii="Times New Roman" w:hAnsi="Times New Roman"/>
          <w:noProof/>
          <w:color w:val="0D0D0D" w:themeColor="text1" w:themeTint="F2"/>
          <w:sz w:val="20"/>
          <w:szCs w:val="20"/>
        </w:rPr>
        <w:t>, vol. 71, pp. 7207–7226, 2024, doi: 10.1109/TEM.2023.3287570.</w:t>
      </w:r>
    </w:p>
    <w:p w14:paraId="17F934E2"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[19]</w:t>
      </w:r>
      <w:r w:rsidRPr="0074561C">
        <w:rPr>
          <w:rFonts w:ascii="Times New Roman" w:hAnsi="Times New Roman"/>
          <w:noProof/>
          <w:color w:val="0D0D0D" w:themeColor="text1" w:themeTint="F2"/>
          <w:sz w:val="20"/>
          <w:szCs w:val="20"/>
        </w:rPr>
        <w:tab/>
        <w:t xml:space="preserve">C. Aldrich, </w:t>
      </w:r>
      <w:r w:rsidRPr="0074561C">
        <w:rPr>
          <w:rFonts w:ascii="Times New Roman" w:hAnsi="Times New Roman"/>
          <w:i/>
          <w:iCs/>
          <w:noProof/>
          <w:color w:val="0D0D0D" w:themeColor="text1" w:themeTint="F2"/>
          <w:sz w:val="20"/>
          <w:szCs w:val="20"/>
        </w:rPr>
        <w:t>The complete guide to simulations and serious games</w:t>
      </w:r>
      <w:r w:rsidRPr="0074561C">
        <w:rPr>
          <w:rFonts w:ascii="Times New Roman" w:hAnsi="Times New Roman"/>
          <w:noProof/>
          <w:color w:val="0D0D0D" w:themeColor="text1" w:themeTint="F2"/>
          <w:sz w:val="20"/>
          <w:szCs w:val="20"/>
        </w:rPr>
        <w:t>. San Francisco: Pfeiffer, 2009. doi: https://doi.org/10.1145/1644136.1658938.</w:t>
      </w:r>
    </w:p>
    <w:p w14:paraId="4E6E8A69"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[20]</w:t>
      </w:r>
      <w:r w:rsidRPr="0074561C">
        <w:rPr>
          <w:rFonts w:ascii="Times New Roman" w:hAnsi="Times New Roman"/>
          <w:noProof/>
          <w:color w:val="0D0D0D" w:themeColor="text1" w:themeTint="F2"/>
          <w:sz w:val="20"/>
          <w:szCs w:val="20"/>
        </w:rPr>
        <w:tab/>
        <w:t xml:space="preserve">I. Gorbanev </w:t>
      </w:r>
      <w:r w:rsidRPr="0074561C">
        <w:rPr>
          <w:rFonts w:ascii="Times New Roman" w:hAnsi="Times New Roman"/>
          <w:i/>
          <w:iCs/>
          <w:noProof/>
          <w:color w:val="0D0D0D" w:themeColor="text1" w:themeTint="F2"/>
          <w:sz w:val="20"/>
          <w:szCs w:val="20"/>
        </w:rPr>
        <w:t>et al.</w:t>
      </w:r>
      <w:r w:rsidRPr="0074561C">
        <w:rPr>
          <w:rFonts w:ascii="Times New Roman" w:hAnsi="Times New Roman"/>
          <w:noProof/>
          <w:color w:val="0D0D0D" w:themeColor="text1" w:themeTint="F2"/>
          <w:sz w:val="20"/>
          <w:szCs w:val="20"/>
        </w:rPr>
        <w:t xml:space="preserve">, “A systematic review of serious games in medical education: quality of evidence and pedagogical strategy,” </w:t>
      </w:r>
      <w:r w:rsidRPr="0074561C">
        <w:rPr>
          <w:rFonts w:ascii="Times New Roman" w:hAnsi="Times New Roman"/>
          <w:i/>
          <w:iCs/>
          <w:noProof/>
          <w:color w:val="0D0D0D" w:themeColor="text1" w:themeTint="F2"/>
          <w:sz w:val="20"/>
          <w:szCs w:val="20"/>
        </w:rPr>
        <w:t>Med. Educ. Online</w:t>
      </w:r>
      <w:r w:rsidRPr="0074561C">
        <w:rPr>
          <w:rFonts w:ascii="Times New Roman" w:hAnsi="Times New Roman"/>
          <w:noProof/>
          <w:color w:val="0D0D0D" w:themeColor="text1" w:themeTint="F2"/>
          <w:sz w:val="20"/>
          <w:szCs w:val="20"/>
        </w:rPr>
        <w:t>, vol. 23, no. 1, 2018, doi: 10.1080/10872981.2018.1438718.</w:t>
      </w:r>
    </w:p>
    <w:p w14:paraId="01C0B37E"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[21]</w:t>
      </w:r>
      <w:r w:rsidRPr="0074561C">
        <w:rPr>
          <w:rFonts w:ascii="Times New Roman" w:hAnsi="Times New Roman"/>
          <w:noProof/>
          <w:color w:val="0D0D0D" w:themeColor="text1" w:themeTint="F2"/>
          <w:sz w:val="20"/>
          <w:szCs w:val="20"/>
        </w:rPr>
        <w:tab/>
        <w:t xml:space="preserve">B. Sawyer, </w:t>
      </w:r>
      <w:r w:rsidRPr="0074561C">
        <w:rPr>
          <w:rFonts w:ascii="Times New Roman" w:hAnsi="Times New Roman"/>
          <w:i/>
          <w:iCs/>
          <w:noProof/>
          <w:color w:val="0D0D0D" w:themeColor="text1" w:themeTint="F2"/>
          <w:sz w:val="20"/>
          <w:szCs w:val="20"/>
        </w:rPr>
        <w:t>Serious games: Improving public policy through game-based learning and simulation</w:t>
      </w:r>
      <w:r w:rsidRPr="0074561C">
        <w:rPr>
          <w:rFonts w:ascii="Times New Roman" w:hAnsi="Times New Roman"/>
          <w:noProof/>
          <w:color w:val="0D0D0D" w:themeColor="text1" w:themeTint="F2"/>
          <w:sz w:val="20"/>
          <w:szCs w:val="20"/>
        </w:rPr>
        <w:t>. USA: Woodrow Wilson International Center for Scholars., 2022.</w:t>
      </w:r>
    </w:p>
    <w:p w14:paraId="58B297FA"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[22]</w:t>
      </w:r>
      <w:r w:rsidRPr="0074561C">
        <w:rPr>
          <w:rFonts w:ascii="Times New Roman" w:hAnsi="Times New Roman"/>
          <w:noProof/>
          <w:color w:val="0D0D0D" w:themeColor="text1" w:themeTint="F2"/>
          <w:sz w:val="20"/>
          <w:szCs w:val="20"/>
        </w:rPr>
        <w:tab/>
        <w:t xml:space="preserve">M. Zyda, “From visual simulation to virtual reality to games,” </w:t>
      </w:r>
      <w:r w:rsidRPr="0074561C">
        <w:rPr>
          <w:rFonts w:ascii="Times New Roman" w:hAnsi="Times New Roman"/>
          <w:i/>
          <w:iCs/>
          <w:noProof/>
          <w:color w:val="0D0D0D" w:themeColor="text1" w:themeTint="F2"/>
          <w:sz w:val="20"/>
          <w:szCs w:val="20"/>
        </w:rPr>
        <w:t>Computer (Long. Beach. Calif).</w:t>
      </w:r>
      <w:r w:rsidRPr="0074561C">
        <w:rPr>
          <w:rFonts w:ascii="Times New Roman" w:hAnsi="Times New Roman"/>
          <w:noProof/>
          <w:color w:val="0D0D0D" w:themeColor="text1" w:themeTint="F2"/>
          <w:sz w:val="20"/>
          <w:szCs w:val="20"/>
        </w:rPr>
        <w:t>, vol. 38, no. 9, pp. 25–32, 2005, doi: 10.1109/MC.2005.297.</w:t>
      </w:r>
    </w:p>
    <w:p w14:paraId="567D3C4B"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[23]</w:t>
      </w:r>
      <w:r w:rsidRPr="0074561C">
        <w:rPr>
          <w:rFonts w:ascii="Times New Roman" w:hAnsi="Times New Roman"/>
          <w:noProof/>
          <w:color w:val="0D0D0D" w:themeColor="text1" w:themeTint="F2"/>
          <w:sz w:val="20"/>
          <w:szCs w:val="20"/>
        </w:rPr>
        <w:tab/>
        <w:t xml:space="preserve">S. Baek, J.-Y. Park, and J. Han, “Simulation-based Serious Games for Science Education and teacher assessment,” </w:t>
      </w:r>
      <w:r w:rsidRPr="0074561C">
        <w:rPr>
          <w:rFonts w:ascii="Times New Roman" w:hAnsi="Times New Roman"/>
          <w:i/>
          <w:iCs/>
          <w:noProof/>
          <w:color w:val="0D0D0D" w:themeColor="text1" w:themeTint="F2"/>
          <w:sz w:val="20"/>
          <w:szCs w:val="20"/>
        </w:rPr>
        <w:t>Int. J. Serious Games</w:t>
      </w:r>
      <w:r w:rsidRPr="0074561C">
        <w:rPr>
          <w:rFonts w:ascii="Times New Roman" w:hAnsi="Times New Roman"/>
          <w:noProof/>
          <w:color w:val="0D0D0D" w:themeColor="text1" w:themeTint="F2"/>
          <w:sz w:val="20"/>
          <w:szCs w:val="20"/>
        </w:rPr>
        <w:t>, vol. 3, no. 3, pp. 59–66, 2016, doi: 10.17083/ijsg.v3i3.123.</w:t>
      </w:r>
    </w:p>
    <w:p w14:paraId="1D7EFE5D"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[24]</w:t>
      </w:r>
      <w:r w:rsidRPr="0074561C">
        <w:rPr>
          <w:rFonts w:ascii="Times New Roman" w:hAnsi="Times New Roman"/>
          <w:noProof/>
          <w:color w:val="0D0D0D" w:themeColor="text1" w:themeTint="F2"/>
          <w:sz w:val="20"/>
          <w:szCs w:val="20"/>
        </w:rPr>
        <w:tab/>
        <w:t xml:space="preserve">P. Petridis </w:t>
      </w:r>
      <w:r w:rsidRPr="0074561C">
        <w:rPr>
          <w:rFonts w:ascii="Times New Roman" w:hAnsi="Times New Roman"/>
          <w:i/>
          <w:iCs/>
          <w:noProof/>
          <w:color w:val="0D0D0D" w:themeColor="text1" w:themeTint="F2"/>
          <w:sz w:val="20"/>
          <w:szCs w:val="20"/>
        </w:rPr>
        <w:t>et al.</w:t>
      </w:r>
      <w:r w:rsidRPr="0074561C">
        <w:rPr>
          <w:rFonts w:ascii="Times New Roman" w:hAnsi="Times New Roman"/>
          <w:noProof/>
          <w:color w:val="0D0D0D" w:themeColor="text1" w:themeTint="F2"/>
          <w:sz w:val="20"/>
          <w:szCs w:val="20"/>
        </w:rPr>
        <w:t xml:space="preserve">, “State-of-the-art in Business Games,” </w:t>
      </w:r>
      <w:r w:rsidRPr="0074561C">
        <w:rPr>
          <w:rFonts w:ascii="Times New Roman" w:hAnsi="Times New Roman"/>
          <w:i/>
          <w:iCs/>
          <w:noProof/>
          <w:color w:val="0D0D0D" w:themeColor="text1" w:themeTint="F2"/>
          <w:sz w:val="20"/>
          <w:szCs w:val="20"/>
        </w:rPr>
        <w:t>Int. J. Serious Games</w:t>
      </w:r>
      <w:r w:rsidRPr="0074561C">
        <w:rPr>
          <w:rFonts w:ascii="Times New Roman" w:hAnsi="Times New Roman"/>
          <w:noProof/>
          <w:color w:val="0D0D0D" w:themeColor="text1" w:themeTint="F2"/>
          <w:sz w:val="20"/>
          <w:szCs w:val="20"/>
        </w:rPr>
        <w:t>, vol. 2, no. 1, pp. 55–69, Feb. 2015, doi: 10.17083/ijsg.v2i1.54.</w:t>
      </w:r>
    </w:p>
    <w:p w14:paraId="2BF0E597"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[25]</w:t>
      </w:r>
      <w:r w:rsidRPr="0074561C">
        <w:rPr>
          <w:rFonts w:ascii="Times New Roman" w:hAnsi="Times New Roman"/>
          <w:noProof/>
          <w:color w:val="0D0D0D" w:themeColor="text1" w:themeTint="F2"/>
          <w:sz w:val="20"/>
          <w:szCs w:val="20"/>
        </w:rPr>
        <w:tab/>
        <w:t xml:space="preserve">S. Barma, S. Daniel, N. Bacon, M.-A. Gingras, and M. Fortin, “Observation and analysis of a classroom teaching and learning practice based on augmented reality and serious games on mobile platforms,” </w:t>
      </w:r>
      <w:r w:rsidRPr="0074561C">
        <w:rPr>
          <w:rFonts w:ascii="Times New Roman" w:hAnsi="Times New Roman"/>
          <w:i/>
          <w:iCs/>
          <w:noProof/>
          <w:color w:val="0D0D0D" w:themeColor="text1" w:themeTint="F2"/>
          <w:sz w:val="20"/>
          <w:szCs w:val="20"/>
        </w:rPr>
        <w:t>Int. J. Serious Games</w:t>
      </w:r>
      <w:r w:rsidRPr="0074561C">
        <w:rPr>
          <w:rFonts w:ascii="Times New Roman" w:hAnsi="Times New Roman"/>
          <w:noProof/>
          <w:color w:val="0D0D0D" w:themeColor="text1" w:themeTint="F2"/>
          <w:sz w:val="20"/>
          <w:szCs w:val="20"/>
        </w:rPr>
        <w:t>, vol. 2, no. 2, 2015, doi: 10.17083/ijsg.v2i2.66.</w:t>
      </w:r>
    </w:p>
    <w:p w14:paraId="53A4A759"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[26]</w:t>
      </w:r>
      <w:r w:rsidRPr="0074561C">
        <w:rPr>
          <w:rFonts w:ascii="Times New Roman" w:hAnsi="Times New Roman"/>
          <w:noProof/>
          <w:color w:val="0D0D0D" w:themeColor="text1" w:themeTint="F2"/>
          <w:sz w:val="20"/>
          <w:szCs w:val="20"/>
        </w:rPr>
        <w:tab/>
        <w:t xml:space="preserve">D. Kotsopoulos, C. Bardaki, S. Lounis, and K. Pramatari, “Employee Profiles and Preferences towards IoT-enabled Gamification for Energy Conservation,” </w:t>
      </w:r>
      <w:r w:rsidRPr="0074561C">
        <w:rPr>
          <w:rFonts w:ascii="Times New Roman" w:hAnsi="Times New Roman"/>
          <w:i/>
          <w:iCs/>
          <w:noProof/>
          <w:color w:val="0D0D0D" w:themeColor="text1" w:themeTint="F2"/>
          <w:sz w:val="20"/>
          <w:szCs w:val="20"/>
        </w:rPr>
        <w:t>Int. J. Serious Games</w:t>
      </w:r>
      <w:r w:rsidRPr="0074561C">
        <w:rPr>
          <w:rFonts w:ascii="Times New Roman" w:hAnsi="Times New Roman"/>
          <w:noProof/>
          <w:color w:val="0D0D0D" w:themeColor="text1" w:themeTint="F2"/>
          <w:sz w:val="20"/>
          <w:szCs w:val="20"/>
        </w:rPr>
        <w:t>, vol. 5, no. 2, pp. 65–85, 2018, doi: 10.17083/ijsg.v5i2.225.</w:t>
      </w:r>
    </w:p>
    <w:p w14:paraId="6EB4E4D6"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[27]</w:t>
      </w:r>
      <w:r w:rsidRPr="0074561C">
        <w:rPr>
          <w:rFonts w:ascii="Times New Roman" w:hAnsi="Times New Roman"/>
          <w:noProof/>
          <w:color w:val="0D0D0D" w:themeColor="text1" w:themeTint="F2"/>
          <w:sz w:val="20"/>
          <w:szCs w:val="20"/>
        </w:rPr>
        <w:tab/>
        <w:t xml:space="preserve">K. Chorianopoulos and M. Giannakos, “Design Principles for Serious Video Games in Mathematics Education: From Theory to Practice,” </w:t>
      </w:r>
      <w:r w:rsidRPr="0074561C">
        <w:rPr>
          <w:rFonts w:ascii="Times New Roman" w:hAnsi="Times New Roman"/>
          <w:i/>
          <w:iCs/>
          <w:noProof/>
          <w:color w:val="0D0D0D" w:themeColor="text1" w:themeTint="F2"/>
          <w:sz w:val="20"/>
          <w:szCs w:val="20"/>
        </w:rPr>
        <w:t>Int. J. Serious Games</w:t>
      </w:r>
      <w:r w:rsidRPr="0074561C">
        <w:rPr>
          <w:rFonts w:ascii="Times New Roman" w:hAnsi="Times New Roman"/>
          <w:noProof/>
          <w:color w:val="0D0D0D" w:themeColor="text1" w:themeTint="F2"/>
          <w:sz w:val="20"/>
          <w:szCs w:val="20"/>
        </w:rPr>
        <w:t>, vol. 1, no. 3, pp. 51–59, 2014, doi: 10.17083/ijsg.v1i3.12.</w:t>
      </w:r>
    </w:p>
    <w:p w14:paraId="2CBBC7FA"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[28]</w:t>
      </w:r>
      <w:r w:rsidRPr="0074561C">
        <w:rPr>
          <w:rFonts w:ascii="Times New Roman" w:hAnsi="Times New Roman"/>
          <w:noProof/>
          <w:color w:val="0D0D0D" w:themeColor="text1" w:themeTint="F2"/>
          <w:sz w:val="20"/>
          <w:szCs w:val="20"/>
        </w:rPr>
        <w:tab/>
        <w:t xml:space="preserve">B. U. Cowley and C. Bateman, “Green My Place: Evaluation of a Serious Social Online Game Designed to Promote Energy Efficient Behaviour Change,” </w:t>
      </w:r>
      <w:r w:rsidRPr="0074561C">
        <w:rPr>
          <w:rFonts w:ascii="Times New Roman" w:hAnsi="Times New Roman"/>
          <w:i/>
          <w:iCs/>
          <w:noProof/>
          <w:color w:val="0D0D0D" w:themeColor="text1" w:themeTint="F2"/>
          <w:sz w:val="20"/>
          <w:szCs w:val="20"/>
        </w:rPr>
        <w:t>Int. J. Serious Games</w:t>
      </w:r>
      <w:r w:rsidRPr="0074561C">
        <w:rPr>
          <w:rFonts w:ascii="Times New Roman" w:hAnsi="Times New Roman"/>
          <w:noProof/>
          <w:color w:val="0D0D0D" w:themeColor="text1" w:themeTint="F2"/>
          <w:sz w:val="20"/>
          <w:szCs w:val="20"/>
        </w:rPr>
        <w:t>, vol. 4, no. 4, pp. 71–90, 2017, doi: 10.17083/ijsg.v4i4.152.</w:t>
      </w:r>
    </w:p>
    <w:p w14:paraId="3AF37A64"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[29]</w:t>
      </w:r>
      <w:r w:rsidRPr="0074561C">
        <w:rPr>
          <w:rFonts w:ascii="Times New Roman" w:hAnsi="Times New Roman"/>
          <w:noProof/>
          <w:color w:val="0D0D0D" w:themeColor="text1" w:themeTint="F2"/>
          <w:sz w:val="20"/>
          <w:szCs w:val="20"/>
        </w:rPr>
        <w:tab/>
        <w:t xml:space="preserve">M. M. Hellström, D. Jaccard, and K. E. Bonnier, “A systematic review on the use of serious games in project management education,” </w:t>
      </w:r>
      <w:r w:rsidRPr="0074561C">
        <w:rPr>
          <w:rFonts w:ascii="Times New Roman" w:hAnsi="Times New Roman"/>
          <w:i/>
          <w:iCs/>
          <w:noProof/>
          <w:color w:val="0D0D0D" w:themeColor="text1" w:themeTint="F2"/>
          <w:sz w:val="20"/>
          <w:szCs w:val="20"/>
        </w:rPr>
        <w:t>Int. J. Serious Games</w:t>
      </w:r>
      <w:r w:rsidRPr="0074561C">
        <w:rPr>
          <w:rFonts w:ascii="Times New Roman" w:hAnsi="Times New Roman"/>
          <w:noProof/>
          <w:color w:val="0D0D0D" w:themeColor="text1" w:themeTint="F2"/>
          <w:sz w:val="20"/>
          <w:szCs w:val="20"/>
        </w:rPr>
        <w:t>, vol. 10, no. 2, pp. 3–24, 2023, doi: 10.17083/ijsg.v10i2.630.</w:t>
      </w:r>
    </w:p>
    <w:p w14:paraId="29AB2D7D"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[30]</w:t>
      </w:r>
      <w:r w:rsidRPr="0074561C">
        <w:rPr>
          <w:rFonts w:ascii="Times New Roman" w:hAnsi="Times New Roman"/>
          <w:noProof/>
          <w:color w:val="0D0D0D" w:themeColor="text1" w:themeTint="F2"/>
          <w:sz w:val="20"/>
          <w:szCs w:val="20"/>
        </w:rPr>
        <w:tab/>
        <w:t xml:space="preserve">J. C. K. H. Riedel and J. B. Hauge, “State of the art of serious games for business and industry,” </w:t>
      </w:r>
      <w:r w:rsidRPr="0074561C">
        <w:rPr>
          <w:rFonts w:ascii="Times New Roman" w:hAnsi="Times New Roman"/>
          <w:i/>
          <w:iCs/>
          <w:noProof/>
          <w:color w:val="0D0D0D" w:themeColor="text1" w:themeTint="F2"/>
          <w:sz w:val="20"/>
          <w:szCs w:val="20"/>
        </w:rPr>
        <w:t>2011 17th Int. Conf. Concurr. Enterprising, ICE 2011 - Conf. Proc.</w:t>
      </w:r>
      <w:r w:rsidRPr="0074561C">
        <w:rPr>
          <w:rFonts w:ascii="Times New Roman" w:hAnsi="Times New Roman"/>
          <w:noProof/>
          <w:color w:val="0D0D0D" w:themeColor="text1" w:themeTint="F2"/>
          <w:sz w:val="20"/>
          <w:szCs w:val="20"/>
        </w:rPr>
        <w:t>, no. January, 2011.</w:t>
      </w:r>
    </w:p>
    <w:p w14:paraId="26FCE21D"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[31]</w:t>
      </w:r>
      <w:r w:rsidRPr="0074561C">
        <w:rPr>
          <w:rFonts w:ascii="Times New Roman" w:hAnsi="Times New Roman"/>
          <w:noProof/>
          <w:color w:val="0D0D0D" w:themeColor="text1" w:themeTint="F2"/>
          <w:sz w:val="20"/>
          <w:szCs w:val="20"/>
        </w:rPr>
        <w:tab/>
        <w:t xml:space="preserve">C. Girard, J. Ecalle, and A. Magnan, “Serious games as new educational tools: How effective are they? A meta-analysis of recent studies,” </w:t>
      </w:r>
      <w:r w:rsidRPr="0074561C">
        <w:rPr>
          <w:rFonts w:ascii="Times New Roman" w:hAnsi="Times New Roman"/>
          <w:i/>
          <w:iCs/>
          <w:noProof/>
          <w:color w:val="0D0D0D" w:themeColor="text1" w:themeTint="F2"/>
          <w:sz w:val="20"/>
          <w:szCs w:val="20"/>
        </w:rPr>
        <w:t>J. Comput. Assist. Learn.</w:t>
      </w:r>
      <w:r w:rsidRPr="0074561C">
        <w:rPr>
          <w:rFonts w:ascii="Times New Roman" w:hAnsi="Times New Roman"/>
          <w:noProof/>
          <w:color w:val="0D0D0D" w:themeColor="text1" w:themeTint="F2"/>
          <w:sz w:val="20"/>
          <w:szCs w:val="20"/>
        </w:rPr>
        <w:t>, vol. 29, no. 3, pp. 207–219, 2013, doi: 10.1111/j.1365-2729.2012.00489.x.</w:t>
      </w:r>
    </w:p>
    <w:p w14:paraId="4E7B33DF"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[32]</w:t>
      </w:r>
      <w:r w:rsidRPr="0074561C">
        <w:rPr>
          <w:rFonts w:ascii="Times New Roman" w:hAnsi="Times New Roman"/>
          <w:noProof/>
          <w:color w:val="0D0D0D" w:themeColor="text1" w:themeTint="F2"/>
          <w:sz w:val="20"/>
          <w:szCs w:val="20"/>
        </w:rPr>
        <w:tab/>
        <w:t xml:space="preserve">P. Wouters, C. van Nimwegen, H. van Oostendorp, and E. D. van Der Spek, “A meta-analysis of the cognitive and motivational effects of serious games,” </w:t>
      </w:r>
      <w:r w:rsidRPr="0074561C">
        <w:rPr>
          <w:rFonts w:ascii="Times New Roman" w:hAnsi="Times New Roman"/>
          <w:i/>
          <w:iCs/>
          <w:noProof/>
          <w:color w:val="0D0D0D" w:themeColor="text1" w:themeTint="F2"/>
          <w:sz w:val="20"/>
          <w:szCs w:val="20"/>
        </w:rPr>
        <w:t>J. Educ. Psychol.</w:t>
      </w:r>
      <w:r w:rsidRPr="0074561C">
        <w:rPr>
          <w:rFonts w:ascii="Times New Roman" w:hAnsi="Times New Roman"/>
          <w:noProof/>
          <w:color w:val="0D0D0D" w:themeColor="text1" w:themeTint="F2"/>
          <w:sz w:val="20"/>
          <w:szCs w:val="20"/>
        </w:rPr>
        <w:t>, vol. 105, no. 2, pp. 249–265, 2013, doi: 10.1037/a0031311.</w:t>
      </w:r>
    </w:p>
    <w:p w14:paraId="6781DAD6"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[33]</w:t>
      </w:r>
      <w:r w:rsidRPr="0074561C">
        <w:rPr>
          <w:rFonts w:ascii="Times New Roman" w:hAnsi="Times New Roman"/>
          <w:noProof/>
          <w:color w:val="0D0D0D" w:themeColor="text1" w:themeTint="F2"/>
          <w:sz w:val="20"/>
          <w:szCs w:val="20"/>
        </w:rPr>
        <w:tab/>
        <w:t xml:space="preserve">E. A. Boyle </w:t>
      </w:r>
      <w:r w:rsidRPr="0074561C">
        <w:rPr>
          <w:rFonts w:ascii="Times New Roman" w:hAnsi="Times New Roman"/>
          <w:i/>
          <w:iCs/>
          <w:noProof/>
          <w:color w:val="0D0D0D" w:themeColor="text1" w:themeTint="F2"/>
          <w:sz w:val="20"/>
          <w:szCs w:val="20"/>
        </w:rPr>
        <w:t>et al.</w:t>
      </w:r>
      <w:r w:rsidRPr="0074561C">
        <w:rPr>
          <w:rFonts w:ascii="Times New Roman" w:hAnsi="Times New Roman"/>
          <w:noProof/>
          <w:color w:val="0D0D0D" w:themeColor="text1" w:themeTint="F2"/>
          <w:sz w:val="20"/>
          <w:szCs w:val="20"/>
        </w:rPr>
        <w:t>, “An update to the systematic literature review of empirical evidence of the impacts and outcomes of computer games and serious games,” 2016. doi: 10.1016/j.compedu.2015.11.003.</w:t>
      </w:r>
    </w:p>
    <w:p w14:paraId="7BB52200"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[34]</w:t>
      </w:r>
      <w:r w:rsidRPr="0074561C">
        <w:rPr>
          <w:rFonts w:ascii="Times New Roman" w:hAnsi="Times New Roman"/>
          <w:noProof/>
          <w:color w:val="0D0D0D" w:themeColor="text1" w:themeTint="F2"/>
          <w:sz w:val="20"/>
          <w:szCs w:val="20"/>
        </w:rPr>
        <w:tab/>
        <w:t xml:space="preserve">F. R. López, M. Arias-Oliva, J. Pelegrín-Borondo, and L. M. Marín-Vinuesa, “Serious games in management education: An acceptance analysis,” </w:t>
      </w:r>
      <w:r w:rsidRPr="0074561C">
        <w:rPr>
          <w:rFonts w:ascii="Times New Roman" w:hAnsi="Times New Roman"/>
          <w:i/>
          <w:iCs/>
          <w:noProof/>
          <w:color w:val="0D0D0D" w:themeColor="text1" w:themeTint="F2"/>
          <w:sz w:val="20"/>
          <w:szCs w:val="20"/>
        </w:rPr>
        <w:t>Int. J. Manag. Educ.</w:t>
      </w:r>
      <w:r w:rsidRPr="0074561C">
        <w:rPr>
          <w:rFonts w:ascii="Times New Roman" w:hAnsi="Times New Roman"/>
          <w:noProof/>
          <w:color w:val="0D0D0D" w:themeColor="text1" w:themeTint="F2"/>
          <w:sz w:val="20"/>
          <w:szCs w:val="20"/>
        </w:rPr>
        <w:t>, vol. 19, no. 3, 2021, doi: 10.1016/j.ijme.2021.100517.</w:t>
      </w:r>
    </w:p>
    <w:p w14:paraId="6EE6472B"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[35]</w:t>
      </w:r>
      <w:r w:rsidRPr="0074561C">
        <w:rPr>
          <w:rFonts w:ascii="Times New Roman" w:hAnsi="Times New Roman"/>
          <w:noProof/>
          <w:color w:val="0D0D0D" w:themeColor="text1" w:themeTint="F2"/>
          <w:sz w:val="20"/>
          <w:szCs w:val="20"/>
        </w:rPr>
        <w:tab/>
        <w:t xml:space="preserve">D. A. Kolb, R. E. Boyatzis, and C. Mainemelis, </w:t>
      </w:r>
      <w:r w:rsidRPr="0074561C">
        <w:rPr>
          <w:rFonts w:ascii="Times New Roman" w:hAnsi="Times New Roman"/>
          <w:i/>
          <w:iCs/>
          <w:noProof/>
          <w:color w:val="0D0D0D" w:themeColor="text1" w:themeTint="F2"/>
          <w:sz w:val="20"/>
          <w:szCs w:val="20"/>
        </w:rPr>
        <w:t>Perspectives on Thinking, Learning, and Cognitive Styles</w:t>
      </w:r>
      <w:r w:rsidRPr="0074561C">
        <w:rPr>
          <w:rFonts w:ascii="Times New Roman" w:hAnsi="Times New Roman"/>
          <w:noProof/>
          <w:color w:val="0D0D0D" w:themeColor="text1" w:themeTint="F2"/>
          <w:sz w:val="20"/>
          <w:szCs w:val="20"/>
        </w:rPr>
        <w:t>. Mahwah: Routledge, 2014. doi: 10.4324/9781410605986.</w:t>
      </w:r>
    </w:p>
    <w:p w14:paraId="13452F7D"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[36]</w:t>
      </w:r>
      <w:r w:rsidRPr="0074561C">
        <w:rPr>
          <w:rFonts w:ascii="Times New Roman" w:hAnsi="Times New Roman"/>
          <w:noProof/>
          <w:color w:val="0D0D0D" w:themeColor="text1" w:themeTint="F2"/>
          <w:sz w:val="20"/>
          <w:szCs w:val="20"/>
        </w:rPr>
        <w:tab/>
        <w:t xml:space="preserve">S. O. Bada and S. Olusegun, “Constructivism Learning Theory: A Paradigm for Teaching and Learning,” </w:t>
      </w:r>
      <w:r w:rsidRPr="0074561C">
        <w:rPr>
          <w:rFonts w:ascii="Times New Roman" w:hAnsi="Times New Roman"/>
          <w:i/>
          <w:iCs/>
          <w:noProof/>
          <w:color w:val="0D0D0D" w:themeColor="text1" w:themeTint="F2"/>
          <w:sz w:val="20"/>
          <w:szCs w:val="20"/>
        </w:rPr>
        <w:t>IOSR J. Res. Method Educ. Ver. I</w:t>
      </w:r>
      <w:r w:rsidRPr="0074561C">
        <w:rPr>
          <w:rFonts w:ascii="Times New Roman" w:hAnsi="Times New Roman"/>
          <w:noProof/>
          <w:color w:val="0D0D0D" w:themeColor="text1" w:themeTint="F2"/>
          <w:sz w:val="20"/>
          <w:szCs w:val="20"/>
        </w:rPr>
        <w:t>, vol. 5, no. 6, pp. 2320–7388, 2015, doi: 10.9790/7388-05616670.</w:t>
      </w:r>
    </w:p>
    <w:p w14:paraId="603B936B"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[37]</w:t>
      </w:r>
      <w:r w:rsidRPr="0074561C">
        <w:rPr>
          <w:rFonts w:ascii="Times New Roman" w:hAnsi="Times New Roman"/>
          <w:noProof/>
          <w:color w:val="0D0D0D" w:themeColor="text1" w:themeTint="F2"/>
          <w:sz w:val="20"/>
          <w:szCs w:val="20"/>
        </w:rPr>
        <w:tab/>
        <w:t xml:space="preserve">P. Rattanapian, J. Tingsabhat, and V. Kanungsukkasem, “Factors influencing achievement of regional league division 2 football tournament management,” </w:t>
      </w:r>
      <w:r w:rsidRPr="0074561C">
        <w:rPr>
          <w:rFonts w:ascii="Times New Roman" w:hAnsi="Times New Roman"/>
          <w:i/>
          <w:iCs/>
          <w:noProof/>
          <w:color w:val="0D0D0D" w:themeColor="text1" w:themeTint="F2"/>
          <w:sz w:val="20"/>
          <w:szCs w:val="20"/>
        </w:rPr>
        <w:t>Kasetsart J. Soc. Sci.</w:t>
      </w:r>
      <w:r w:rsidRPr="0074561C">
        <w:rPr>
          <w:rFonts w:ascii="Times New Roman" w:hAnsi="Times New Roman"/>
          <w:noProof/>
          <w:color w:val="0D0D0D" w:themeColor="text1" w:themeTint="F2"/>
          <w:sz w:val="20"/>
          <w:szCs w:val="20"/>
        </w:rPr>
        <w:t>, vol. 39, no. 3, pp. 542–549, 2018, doi: 10.1016/j.kjss.2017.07.014.</w:t>
      </w:r>
    </w:p>
    <w:p w14:paraId="689354DF" w14:textId="77777777" w:rsidR="00D820FD" w:rsidRPr="0074561C" w:rsidRDefault="00D820FD" w:rsidP="009D433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[38]</w:t>
      </w:r>
      <w:r w:rsidRPr="0074561C">
        <w:rPr>
          <w:rFonts w:ascii="Times New Roman" w:hAnsi="Times New Roman"/>
          <w:noProof/>
          <w:color w:val="0D0D0D" w:themeColor="text1" w:themeTint="F2"/>
          <w:sz w:val="20"/>
          <w:szCs w:val="20"/>
        </w:rPr>
        <w:tab/>
        <w:t xml:space="preserve">G. Salem, E. Jones, and N. Morgan, “An overview of events management,” in </w:t>
      </w:r>
      <w:r w:rsidRPr="0074561C">
        <w:rPr>
          <w:rFonts w:ascii="Times New Roman" w:hAnsi="Times New Roman"/>
          <w:i/>
          <w:iCs/>
          <w:noProof/>
          <w:color w:val="0D0D0D" w:themeColor="text1" w:themeTint="F2"/>
          <w:sz w:val="20"/>
          <w:szCs w:val="20"/>
        </w:rPr>
        <w:t>Festival and events management: an international arts and culture perspective</w:t>
      </w:r>
      <w:r w:rsidRPr="0074561C">
        <w:rPr>
          <w:rFonts w:ascii="Times New Roman" w:hAnsi="Times New Roman"/>
          <w:noProof/>
          <w:color w:val="0D0D0D" w:themeColor="text1" w:themeTint="F2"/>
          <w:sz w:val="20"/>
          <w:szCs w:val="20"/>
        </w:rPr>
        <w:t>, I. Yeoman, M. Robertson, J. A. Ali-Knight, S. Drummond, and U. McMahon-Beattie, Eds., Boston, MA: Elsevier Butterworth-Heinemann, 2014, pp. 14–</w:t>
      </w:r>
      <w:r w:rsidRPr="0074561C">
        <w:rPr>
          <w:rFonts w:ascii="Times New Roman" w:hAnsi="Times New Roman"/>
          <w:noProof/>
          <w:color w:val="0D0D0D" w:themeColor="text1" w:themeTint="F2"/>
          <w:sz w:val="20"/>
          <w:szCs w:val="20"/>
        </w:rPr>
        <w:lastRenderedPageBreak/>
        <w:t>31.</w:t>
      </w:r>
    </w:p>
    <w:p w14:paraId="772BE984" w14:textId="77777777" w:rsidR="00D820FD" w:rsidRPr="0074561C" w:rsidRDefault="00D820FD" w:rsidP="00C02DF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[39]</w:t>
      </w:r>
      <w:r w:rsidRPr="0074561C">
        <w:rPr>
          <w:rFonts w:ascii="Times New Roman" w:hAnsi="Times New Roman"/>
          <w:noProof/>
          <w:color w:val="0D0D0D" w:themeColor="text1" w:themeTint="F2"/>
          <w:sz w:val="20"/>
          <w:szCs w:val="20"/>
        </w:rPr>
        <w:tab/>
        <w:t xml:space="preserve">G. Kendall, S. Knust, C. C. Ribeiro, and S. Urrutia, “Scheduling in sports: An annotated bibliography,” </w:t>
      </w:r>
      <w:r w:rsidRPr="0074561C">
        <w:rPr>
          <w:rFonts w:ascii="Times New Roman" w:hAnsi="Times New Roman"/>
          <w:i/>
          <w:iCs/>
          <w:noProof/>
          <w:color w:val="0D0D0D" w:themeColor="text1" w:themeTint="F2"/>
          <w:sz w:val="20"/>
          <w:szCs w:val="20"/>
        </w:rPr>
        <w:t>Comput. Oper. Res.</w:t>
      </w:r>
      <w:r w:rsidRPr="0074561C">
        <w:rPr>
          <w:rFonts w:ascii="Times New Roman" w:hAnsi="Times New Roman"/>
          <w:noProof/>
          <w:color w:val="0D0D0D" w:themeColor="text1" w:themeTint="F2"/>
          <w:sz w:val="20"/>
          <w:szCs w:val="20"/>
        </w:rPr>
        <w:t>, vol. 37, no. 1, pp. 1–19, 2010, doi: 10.1016/j.cor.2009.05.013.</w:t>
      </w:r>
    </w:p>
    <w:p w14:paraId="6AAA6C7B" w14:textId="77777777" w:rsidR="00D820FD" w:rsidRPr="0074561C" w:rsidRDefault="00D820FD" w:rsidP="00CD7E81">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[40]</w:t>
      </w:r>
      <w:r w:rsidRPr="0074561C">
        <w:rPr>
          <w:rFonts w:ascii="Times New Roman" w:hAnsi="Times New Roman"/>
          <w:noProof/>
          <w:color w:val="0D0D0D" w:themeColor="text1" w:themeTint="F2"/>
          <w:sz w:val="20"/>
          <w:szCs w:val="20"/>
        </w:rPr>
        <w:tab/>
        <w:t xml:space="preserve">J. Allen, </w:t>
      </w:r>
      <w:r w:rsidRPr="0074561C">
        <w:rPr>
          <w:rFonts w:ascii="Times New Roman" w:hAnsi="Times New Roman"/>
          <w:i/>
          <w:iCs/>
          <w:noProof/>
          <w:color w:val="0D0D0D" w:themeColor="text1" w:themeTint="F2"/>
          <w:sz w:val="20"/>
          <w:szCs w:val="20"/>
        </w:rPr>
        <w:t>Event planning: The ultimate guide to successful meetings, corporate events, fundraising galas, conferences, conventions, incentives and other special events</w:t>
      </w:r>
      <w:r w:rsidRPr="0074561C">
        <w:rPr>
          <w:rFonts w:ascii="Times New Roman" w:hAnsi="Times New Roman"/>
          <w:noProof/>
          <w:color w:val="0D0D0D" w:themeColor="text1" w:themeTint="F2"/>
          <w:sz w:val="20"/>
          <w:szCs w:val="20"/>
        </w:rPr>
        <w:t>. Ontario: John Wiley &amp; Sons Canada, Ltd, 2008.</w:t>
      </w:r>
    </w:p>
    <w:p w14:paraId="27108A85" w14:textId="77777777" w:rsidR="00D820FD" w:rsidRPr="0074561C" w:rsidRDefault="00D820FD" w:rsidP="00CD7E81">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[41]</w:t>
      </w:r>
      <w:r w:rsidRPr="0074561C">
        <w:rPr>
          <w:rFonts w:ascii="Times New Roman" w:hAnsi="Times New Roman"/>
          <w:noProof/>
          <w:color w:val="0D0D0D" w:themeColor="text1" w:themeTint="F2"/>
          <w:sz w:val="20"/>
          <w:szCs w:val="20"/>
        </w:rPr>
        <w:tab/>
        <w:t xml:space="preserve">Y. Afthinos, </w:t>
      </w:r>
      <w:r w:rsidRPr="0074561C">
        <w:rPr>
          <w:rFonts w:ascii="Times New Roman" w:hAnsi="Times New Roman"/>
          <w:i/>
          <w:iCs/>
          <w:noProof/>
          <w:color w:val="0D0D0D" w:themeColor="text1" w:themeTint="F2"/>
          <w:sz w:val="20"/>
          <w:szCs w:val="20"/>
        </w:rPr>
        <w:t>Sport Event Organization [Οργάνωση αθλητικών αγώνων]</w:t>
      </w:r>
      <w:r w:rsidRPr="0074561C">
        <w:rPr>
          <w:rFonts w:ascii="Times New Roman" w:hAnsi="Times New Roman"/>
          <w:noProof/>
          <w:color w:val="0D0D0D" w:themeColor="text1" w:themeTint="F2"/>
          <w:sz w:val="20"/>
          <w:szCs w:val="20"/>
        </w:rPr>
        <w:t>. Athens: Sport Option, 2015.</w:t>
      </w:r>
    </w:p>
    <w:p w14:paraId="409ED001" w14:textId="77777777" w:rsidR="00D820FD" w:rsidRPr="0074561C" w:rsidRDefault="00D820FD" w:rsidP="00CD7E81">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[42]</w:t>
      </w:r>
      <w:r w:rsidRPr="0074561C">
        <w:rPr>
          <w:rFonts w:ascii="Times New Roman" w:hAnsi="Times New Roman"/>
          <w:noProof/>
          <w:color w:val="0D0D0D" w:themeColor="text1" w:themeTint="F2"/>
          <w:sz w:val="20"/>
          <w:szCs w:val="20"/>
        </w:rPr>
        <w:tab/>
        <w:t xml:space="preserve">T. R. Robbins, “A Multipart Project Planning and Tracking Exercise,” </w:t>
      </w:r>
      <w:r w:rsidRPr="0074561C">
        <w:rPr>
          <w:rFonts w:ascii="Times New Roman" w:hAnsi="Times New Roman"/>
          <w:i/>
          <w:iCs/>
          <w:noProof/>
          <w:color w:val="0D0D0D" w:themeColor="text1" w:themeTint="F2"/>
          <w:sz w:val="20"/>
          <w:szCs w:val="20"/>
        </w:rPr>
        <w:t>Decis. Sci. J. Innov. Educ.</w:t>
      </w:r>
      <w:r w:rsidRPr="0074561C">
        <w:rPr>
          <w:rFonts w:ascii="Times New Roman" w:hAnsi="Times New Roman"/>
          <w:noProof/>
          <w:color w:val="0D0D0D" w:themeColor="text1" w:themeTint="F2"/>
          <w:sz w:val="20"/>
          <w:szCs w:val="20"/>
        </w:rPr>
        <w:t>, vol. 17, no. 2, pp. 104–125, 2019, doi: 10.1111/dsji.12176.</w:t>
      </w:r>
    </w:p>
    <w:p w14:paraId="279E9F57" w14:textId="77777777" w:rsidR="00D820FD" w:rsidRPr="0074561C" w:rsidRDefault="00D820FD" w:rsidP="00CD7E81">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[43]</w:t>
      </w:r>
      <w:r w:rsidRPr="0074561C">
        <w:rPr>
          <w:rFonts w:ascii="Times New Roman" w:hAnsi="Times New Roman"/>
          <w:noProof/>
          <w:color w:val="0D0D0D" w:themeColor="text1" w:themeTint="F2"/>
          <w:sz w:val="20"/>
          <w:szCs w:val="20"/>
        </w:rPr>
        <w:tab/>
        <w:t xml:space="preserve">J. K. Pinto and D. P. Slevin, “Critical Factors in Successful Project Implementation.,” </w:t>
      </w:r>
      <w:r w:rsidRPr="0074561C">
        <w:rPr>
          <w:rFonts w:ascii="Times New Roman" w:hAnsi="Times New Roman"/>
          <w:i/>
          <w:iCs/>
          <w:noProof/>
          <w:color w:val="0D0D0D" w:themeColor="text1" w:themeTint="F2"/>
          <w:sz w:val="20"/>
          <w:szCs w:val="20"/>
        </w:rPr>
        <w:t>IEEE Trans. Eng. Manag.</w:t>
      </w:r>
      <w:r w:rsidRPr="0074561C">
        <w:rPr>
          <w:rFonts w:ascii="Times New Roman" w:hAnsi="Times New Roman"/>
          <w:noProof/>
          <w:color w:val="0D0D0D" w:themeColor="text1" w:themeTint="F2"/>
          <w:sz w:val="20"/>
          <w:szCs w:val="20"/>
        </w:rPr>
        <w:t>, vol. EM-34, no. 1, pp. 22–27, 1987, doi: 10.1109/TEM.1987.6498856.</w:t>
      </w:r>
    </w:p>
    <w:p w14:paraId="0B539271" w14:textId="77777777" w:rsidR="00D820FD" w:rsidRPr="0074561C" w:rsidRDefault="00D820FD" w:rsidP="00CD7E81">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[44]</w:t>
      </w:r>
      <w:r w:rsidRPr="0074561C">
        <w:rPr>
          <w:rFonts w:ascii="Times New Roman" w:hAnsi="Times New Roman"/>
          <w:noProof/>
          <w:color w:val="0D0D0D" w:themeColor="text1" w:themeTint="F2"/>
          <w:sz w:val="20"/>
          <w:szCs w:val="20"/>
        </w:rPr>
        <w:tab/>
        <w:t xml:space="preserve">S. Brown, D. Getz, R. Pettersson, and M. Wallstam, “Event evaluation: Definitions, concepts and a state of the art review,” </w:t>
      </w:r>
      <w:r w:rsidRPr="0074561C">
        <w:rPr>
          <w:rFonts w:ascii="Times New Roman" w:hAnsi="Times New Roman"/>
          <w:i/>
          <w:iCs/>
          <w:noProof/>
          <w:color w:val="0D0D0D" w:themeColor="text1" w:themeTint="F2"/>
          <w:sz w:val="20"/>
          <w:szCs w:val="20"/>
        </w:rPr>
        <w:t>Int. J. Event Festiv. Manag.</w:t>
      </w:r>
      <w:r w:rsidRPr="0074561C">
        <w:rPr>
          <w:rFonts w:ascii="Times New Roman" w:hAnsi="Times New Roman"/>
          <w:noProof/>
          <w:color w:val="0D0D0D" w:themeColor="text1" w:themeTint="F2"/>
          <w:sz w:val="20"/>
          <w:szCs w:val="20"/>
        </w:rPr>
        <w:t>, vol. 6, no. 2, pp. 135–157, 2015, doi: 10.1108/IJEFM-03-2015-0014.</w:t>
      </w:r>
    </w:p>
    <w:p w14:paraId="2025B79E"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[45]</w:t>
      </w:r>
      <w:r w:rsidRPr="0074561C">
        <w:rPr>
          <w:rFonts w:ascii="Times New Roman" w:hAnsi="Times New Roman"/>
          <w:noProof/>
          <w:color w:val="0D0D0D" w:themeColor="text1" w:themeTint="F2"/>
          <w:sz w:val="20"/>
          <w:szCs w:val="20"/>
        </w:rPr>
        <w:tab/>
        <w:t xml:space="preserve">M. Misfeldt, “Scenario based education as a framework for understanding students engagement and learning in a project management simulation game,” </w:t>
      </w:r>
      <w:r w:rsidRPr="0074561C">
        <w:rPr>
          <w:rFonts w:ascii="Times New Roman" w:hAnsi="Times New Roman"/>
          <w:i/>
          <w:iCs/>
          <w:noProof/>
          <w:color w:val="0D0D0D" w:themeColor="text1" w:themeTint="F2"/>
          <w:sz w:val="20"/>
          <w:szCs w:val="20"/>
        </w:rPr>
        <w:t>Electron. J. e-Learning</w:t>
      </w:r>
      <w:r w:rsidRPr="0074561C">
        <w:rPr>
          <w:rFonts w:ascii="Times New Roman" w:hAnsi="Times New Roman"/>
          <w:noProof/>
          <w:color w:val="0D0D0D" w:themeColor="text1" w:themeTint="F2"/>
          <w:sz w:val="20"/>
          <w:szCs w:val="20"/>
        </w:rPr>
        <w:t>, vol. 13, no. 3, pp. 181–191, 2015.</w:t>
      </w:r>
    </w:p>
    <w:p w14:paraId="6201F593"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[46]</w:t>
      </w:r>
      <w:r w:rsidRPr="0074561C">
        <w:rPr>
          <w:rFonts w:ascii="Times New Roman" w:hAnsi="Times New Roman"/>
          <w:noProof/>
          <w:color w:val="0D0D0D" w:themeColor="text1" w:themeTint="F2"/>
          <w:sz w:val="20"/>
          <w:szCs w:val="20"/>
        </w:rPr>
        <w:tab/>
        <w:t xml:space="preserve">M. K. Nock, B. D. Michel, and V. I. Photos, “Single-case research designs,” in </w:t>
      </w:r>
      <w:r w:rsidRPr="0074561C">
        <w:rPr>
          <w:rFonts w:ascii="Times New Roman" w:hAnsi="Times New Roman"/>
          <w:i/>
          <w:iCs/>
          <w:noProof/>
          <w:color w:val="0D0D0D" w:themeColor="text1" w:themeTint="F2"/>
          <w:sz w:val="20"/>
          <w:szCs w:val="20"/>
        </w:rPr>
        <w:t>Handbook of research methods in abnormal and clinical psychology</w:t>
      </w:r>
      <w:r w:rsidRPr="0074561C">
        <w:rPr>
          <w:rFonts w:ascii="Times New Roman" w:hAnsi="Times New Roman"/>
          <w:noProof/>
          <w:color w:val="0D0D0D" w:themeColor="text1" w:themeTint="F2"/>
          <w:sz w:val="20"/>
          <w:szCs w:val="20"/>
        </w:rPr>
        <w:t>, D. McKay, Ed., New York, NY: Sage, 2007, pp. 337–350.</w:t>
      </w:r>
    </w:p>
    <w:p w14:paraId="0036E5B1"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[47]</w:t>
      </w:r>
      <w:r w:rsidRPr="0074561C">
        <w:rPr>
          <w:rFonts w:ascii="Times New Roman" w:hAnsi="Times New Roman"/>
          <w:noProof/>
          <w:color w:val="0D0D0D" w:themeColor="text1" w:themeTint="F2"/>
          <w:sz w:val="20"/>
          <w:szCs w:val="20"/>
        </w:rPr>
        <w:tab/>
        <w:t xml:space="preserve">D. B. Chertoff, B. Goldiez, and J. J. LaViola, “Virtual experience test: A virtual environment evaluation questionnaire,” </w:t>
      </w:r>
      <w:r w:rsidRPr="0074561C">
        <w:rPr>
          <w:rFonts w:ascii="Times New Roman" w:hAnsi="Times New Roman"/>
          <w:i/>
          <w:iCs/>
          <w:noProof/>
          <w:color w:val="0D0D0D" w:themeColor="text1" w:themeTint="F2"/>
          <w:sz w:val="20"/>
          <w:szCs w:val="20"/>
        </w:rPr>
        <w:t>Proc. - IEEE Virtual Real.</w:t>
      </w:r>
      <w:r w:rsidRPr="0074561C">
        <w:rPr>
          <w:rFonts w:ascii="Times New Roman" w:hAnsi="Times New Roman"/>
          <w:noProof/>
          <w:color w:val="0D0D0D" w:themeColor="text1" w:themeTint="F2"/>
          <w:sz w:val="20"/>
          <w:szCs w:val="20"/>
        </w:rPr>
        <w:t>, pp. 103–110, 2010, doi: 10.1109/VR.2010.5444804.</w:t>
      </w:r>
    </w:p>
    <w:p w14:paraId="5516703F"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[48]</w:t>
      </w:r>
      <w:r w:rsidRPr="0074561C">
        <w:rPr>
          <w:rFonts w:ascii="Times New Roman" w:hAnsi="Times New Roman"/>
          <w:noProof/>
          <w:color w:val="0D0D0D" w:themeColor="text1" w:themeTint="F2"/>
          <w:sz w:val="20"/>
          <w:szCs w:val="20"/>
        </w:rPr>
        <w:tab/>
        <w:t xml:space="preserve">E. E. Akpan and J. L. Clark, “Independent T-test statistics: It’s relevance in educational research,” </w:t>
      </w:r>
      <w:r w:rsidRPr="0074561C">
        <w:rPr>
          <w:rFonts w:ascii="Times New Roman" w:hAnsi="Times New Roman"/>
          <w:i/>
          <w:iCs/>
          <w:noProof/>
          <w:color w:val="0D0D0D" w:themeColor="text1" w:themeTint="F2"/>
          <w:sz w:val="20"/>
          <w:szCs w:val="20"/>
        </w:rPr>
        <w:t>Int. J. Eminent Sch</w:t>
      </w:r>
      <w:r w:rsidRPr="0074561C">
        <w:rPr>
          <w:rFonts w:ascii="Times New Roman" w:hAnsi="Times New Roman"/>
          <w:noProof/>
          <w:color w:val="0D0D0D" w:themeColor="text1" w:themeTint="F2"/>
          <w:sz w:val="20"/>
          <w:szCs w:val="20"/>
        </w:rPr>
        <w:t>, vol. 10, no. 1, pp. 79–88, 2023.</w:t>
      </w:r>
    </w:p>
    <w:p w14:paraId="58DCFC86"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[49]</w:t>
      </w:r>
      <w:r w:rsidRPr="0074561C">
        <w:rPr>
          <w:rFonts w:ascii="Times New Roman" w:hAnsi="Times New Roman"/>
          <w:noProof/>
          <w:color w:val="0D0D0D" w:themeColor="text1" w:themeTint="F2"/>
          <w:sz w:val="20"/>
          <w:szCs w:val="20"/>
        </w:rPr>
        <w:tab/>
        <w:t xml:space="preserve">R. Heale and D. Forbes, “Understanding triangulation in research,” </w:t>
      </w:r>
      <w:r w:rsidRPr="0074561C">
        <w:rPr>
          <w:rFonts w:ascii="Times New Roman" w:hAnsi="Times New Roman"/>
          <w:i/>
          <w:iCs/>
          <w:noProof/>
          <w:color w:val="0D0D0D" w:themeColor="text1" w:themeTint="F2"/>
          <w:sz w:val="20"/>
          <w:szCs w:val="20"/>
        </w:rPr>
        <w:t>Evid. Based Nurs.</w:t>
      </w:r>
      <w:r w:rsidRPr="0074561C">
        <w:rPr>
          <w:rFonts w:ascii="Times New Roman" w:hAnsi="Times New Roman"/>
          <w:noProof/>
          <w:color w:val="0D0D0D" w:themeColor="text1" w:themeTint="F2"/>
          <w:sz w:val="20"/>
          <w:szCs w:val="20"/>
        </w:rPr>
        <w:t>, vol. 16, no. 4, pp. 98–98, Oct. 2013, doi: 10.1136/eb-2013-101494.</w:t>
      </w:r>
    </w:p>
    <w:p w14:paraId="30D08E87"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[50]</w:t>
      </w:r>
      <w:r w:rsidRPr="0074561C">
        <w:rPr>
          <w:rFonts w:ascii="Times New Roman" w:hAnsi="Times New Roman"/>
          <w:noProof/>
          <w:color w:val="0D0D0D" w:themeColor="text1" w:themeTint="F2"/>
          <w:sz w:val="20"/>
          <w:szCs w:val="20"/>
        </w:rPr>
        <w:tab/>
        <w:t xml:space="preserve">C. Schrader, “Serious Games and Game-Based Learning,” in </w:t>
      </w:r>
      <w:r w:rsidRPr="0074561C">
        <w:rPr>
          <w:rFonts w:ascii="Times New Roman" w:hAnsi="Times New Roman"/>
          <w:i/>
          <w:iCs/>
          <w:noProof/>
          <w:color w:val="0D0D0D" w:themeColor="text1" w:themeTint="F2"/>
          <w:sz w:val="20"/>
          <w:szCs w:val="20"/>
        </w:rPr>
        <w:t>Handbook of Open, Distance and Digital Education</w:t>
      </w:r>
      <w:r w:rsidRPr="0074561C">
        <w:rPr>
          <w:rFonts w:ascii="Times New Roman" w:hAnsi="Times New Roman"/>
          <w:noProof/>
          <w:color w:val="0D0D0D" w:themeColor="text1" w:themeTint="F2"/>
          <w:sz w:val="20"/>
          <w:szCs w:val="20"/>
        </w:rPr>
        <w:t>, Singapore: Springer Singapore, 2022, pp. 1–14. doi: 10.1007/978-981-19-0351-9_74-1.</w:t>
      </w:r>
    </w:p>
    <w:p w14:paraId="4BF88F75"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[51]</w:t>
      </w:r>
      <w:r w:rsidRPr="0074561C">
        <w:rPr>
          <w:rFonts w:ascii="Times New Roman" w:hAnsi="Times New Roman"/>
          <w:noProof/>
          <w:color w:val="0D0D0D" w:themeColor="text1" w:themeTint="F2"/>
          <w:sz w:val="20"/>
          <w:szCs w:val="20"/>
        </w:rPr>
        <w:tab/>
        <w:t xml:space="preserve">A. P. Facchino, D. Marchetti, M. Colasanti, L. Fontanesi, and M. C. Verrocchio, “The use of serious games for psychological education and training: a systematic review,” </w:t>
      </w:r>
      <w:r w:rsidRPr="0074561C">
        <w:rPr>
          <w:rFonts w:ascii="Times New Roman" w:hAnsi="Times New Roman"/>
          <w:i/>
          <w:iCs/>
          <w:noProof/>
          <w:color w:val="0D0D0D" w:themeColor="text1" w:themeTint="F2"/>
          <w:sz w:val="20"/>
          <w:szCs w:val="20"/>
        </w:rPr>
        <w:t>Front. Educ.</w:t>
      </w:r>
      <w:r w:rsidRPr="0074561C">
        <w:rPr>
          <w:rFonts w:ascii="Times New Roman" w:hAnsi="Times New Roman"/>
          <w:noProof/>
          <w:color w:val="0D0D0D" w:themeColor="text1" w:themeTint="F2"/>
          <w:sz w:val="20"/>
          <w:szCs w:val="20"/>
        </w:rPr>
        <w:t>, vol. 10, 2025, doi: 10.3389/feduc.2025.1511729.</w:t>
      </w:r>
    </w:p>
    <w:p w14:paraId="19A4611C"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[52]</w:t>
      </w:r>
      <w:r w:rsidRPr="0074561C">
        <w:rPr>
          <w:rFonts w:ascii="Times New Roman" w:hAnsi="Times New Roman"/>
          <w:noProof/>
          <w:color w:val="0D0D0D" w:themeColor="text1" w:themeTint="F2"/>
          <w:sz w:val="20"/>
          <w:szCs w:val="20"/>
        </w:rPr>
        <w:tab/>
        <w:t xml:space="preserve">N. Iten and D. Petko, “Learning with serious games: Is fun playing the game a predictor of learning success?,” </w:t>
      </w:r>
      <w:r w:rsidRPr="0074561C">
        <w:rPr>
          <w:rFonts w:ascii="Times New Roman" w:hAnsi="Times New Roman"/>
          <w:i/>
          <w:iCs/>
          <w:noProof/>
          <w:color w:val="0D0D0D" w:themeColor="text1" w:themeTint="F2"/>
          <w:sz w:val="20"/>
          <w:szCs w:val="20"/>
        </w:rPr>
        <w:t>Br. J. Educ. Technol.</w:t>
      </w:r>
      <w:r w:rsidRPr="0074561C">
        <w:rPr>
          <w:rFonts w:ascii="Times New Roman" w:hAnsi="Times New Roman"/>
          <w:noProof/>
          <w:color w:val="0D0D0D" w:themeColor="text1" w:themeTint="F2"/>
          <w:sz w:val="20"/>
          <w:szCs w:val="20"/>
        </w:rPr>
        <w:t>, vol. 47, no. 1, pp. 151–163, Jan. 2016, doi: 10.1111/bjet.12226.</w:t>
      </w:r>
    </w:p>
    <w:p w14:paraId="522E2E56"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[53]</w:t>
      </w:r>
      <w:r w:rsidRPr="0074561C">
        <w:rPr>
          <w:rFonts w:ascii="Times New Roman" w:hAnsi="Times New Roman"/>
          <w:noProof/>
          <w:color w:val="0D0D0D" w:themeColor="text1" w:themeTint="F2"/>
          <w:sz w:val="20"/>
          <w:szCs w:val="20"/>
        </w:rPr>
        <w:tab/>
        <w:t xml:space="preserve">M. R. Fernández-Sánchez, A. González-Fernández, and J. Acevedo-Borrega, “Conceptual Approach to the Pedagogy of Serious Games,” </w:t>
      </w:r>
      <w:r w:rsidRPr="0074561C">
        <w:rPr>
          <w:rFonts w:ascii="Times New Roman" w:hAnsi="Times New Roman"/>
          <w:i/>
          <w:iCs/>
          <w:noProof/>
          <w:color w:val="0D0D0D" w:themeColor="text1" w:themeTint="F2"/>
          <w:sz w:val="20"/>
          <w:szCs w:val="20"/>
        </w:rPr>
        <w:t>Information</w:t>
      </w:r>
      <w:r w:rsidRPr="0074561C">
        <w:rPr>
          <w:rFonts w:ascii="Times New Roman" w:hAnsi="Times New Roman"/>
          <w:noProof/>
          <w:color w:val="0D0D0D" w:themeColor="text1" w:themeTint="F2"/>
          <w:sz w:val="20"/>
          <w:szCs w:val="20"/>
        </w:rPr>
        <w:t>, vol. 14, no. 2, p. 132, Feb. 2023, doi: 10.3390/info14020132.</w:t>
      </w:r>
    </w:p>
    <w:p w14:paraId="50B477CD"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[54]</w:t>
      </w:r>
      <w:r w:rsidRPr="0074561C">
        <w:rPr>
          <w:rFonts w:ascii="Times New Roman" w:hAnsi="Times New Roman"/>
          <w:noProof/>
          <w:color w:val="0D0D0D" w:themeColor="text1" w:themeTint="F2"/>
          <w:sz w:val="20"/>
          <w:szCs w:val="20"/>
        </w:rPr>
        <w:tab/>
        <w:t>G. Wiggins, “The Case for Authentic Assessment .,” vol. 2, no. 2, pp. 2–4, 1990, doi: https://doi.org/10.7275/ffb1-mm19.</w:t>
      </w:r>
    </w:p>
    <w:p w14:paraId="3664D627"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[55]</w:t>
      </w:r>
      <w:r w:rsidRPr="0074561C">
        <w:rPr>
          <w:rFonts w:ascii="Times New Roman" w:hAnsi="Times New Roman"/>
          <w:noProof/>
          <w:color w:val="0D0D0D" w:themeColor="text1" w:themeTint="F2"/>
          <w:sz w:val="20"/>
          <w:szCs w:val="20"/>
        </w:rPr>
        <w:tab/>
        <w:t xml:space="preserve">W. Admiraal, J. Huizenga, S. Akkerman, and G. Ten Dam, “The concept of flow in collaborative game-based learning,” </w:t>
      </w:r>
      <w:r w:rsidRPr="0074561C">
        <w:rPr>
          <w:rFonts w:ascii="Times New Roman" w:hAnsi="Times New Roman"/>
          <w:i/>
          <w:iCs/>
          <w:noProof/>
          <w:color w:val="0D0D0D" w:themeColor="text1" w:themeTint="F2"/>
          <w:sz w:val="20"/>
          <w:szCs w:val="20"/>
        </w:rPr>
        <w:t>Comput. Human Behav.</w:t>
      </w:r>
      <w:r w:rsidRPr="0074561C">
        <w:rPr>
          <w:rFonts w:ascii="Times New Roman" w:hAnsi="Times New Roman"/>
          <w:noProof/>
          <w:color w:val="0D0D0D" w:themeColor="text1" w:themeTint="F2"/>
          <w:sz w:val="20"/>
          <w:szCs w:val="20"/>
        </w:rPr>
        <w:t>, vol. 27, no. 3, pp. 1185–1194, 2011, doi: 10.1016/j.chb.2010.12.013.</w:t>
      </w:r>
    </w:p>
    <w:p w14:paraId="55787879"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[56]</w:t>
      </w:r>
      <w:r w:rsidRPr="0074561C">
        <w:rPr>
          <w:rFonts w:ascii="Times New Roman" w:hAnsi="Times New Roman"/>
          <w:noProof/>
          <w:color w:val="0D0D0D" w:themeColor="text1" w:themeTint="F2"/>
          <w:sz w:val="20"/>
          <w:szCs w:val="20"/>
        </w:rPr>
        <w:tab/>
        <w:t xml:space="preserve">P. Bonanno and P. A. M. Kommers, “Exploring the influence of gender and gaming competence on attitudes towards using instructional games,” </w:t>
      </w:r>
      <w:r w:rsidRPr="0074561C">
        <w:rPr>
          <w:rFonts w:ascii="Times New Roman" w:hAnsi="Times New Roman"/>
          <w:i/>
          <w:iCs/>
          <w:noProof/>
          <w:color w:val="0D0D0D" w:themeColor="text1" w:themeTint="F2"/>
          <w:sz w:val="20"/>
          <w:szCs w:val="20"/>
        </w:rPr>
        <w:t>Br. J. Educ. Technol.</w:t>
      </w:r>
      <w:r w:rsidRPr="0074561C">
        <w:rPr>
          <w:rFonts w:ascii="Times New Roman" w:hAnsi="Times New Roman"/>
          <w:noProof/>
          <w:color w:val="0D0D0D" w:themeColor="text1" w:themeTint="F2"/>
          <w:sz w:val="20"/>
          <w:szCs w:val="20"/>
        </w:rPr>
        <w:t>, vol. 39, no. 1, pp. 97–109, Jan. 2008, doi: 10.1111/j.1467-8535.2007.00732.x.</w:t>
      </w:r>
    </w:p>
    <w:p w14:paraId="09B29FCA"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[57]</w:t>
      </w:r>
      <w:r w:rsidRPr="0074561C">
        <w:rPr>
          <w:rFonts w:ascii="Times New Roman" w:hAnsi="Times New Roman"/>
          <w:noProof/>
          <w:color w:val="0D0D0D" w:themeColor="text1" w:themeTint="F2"/>
          <w:sz w:val="20"/>
          <w:szCs w:val="20"/>
        </w:rPr>
        <w:tab/>
        <w:t xml:space="preserve">D. Romrell, L. C. Kidder, and E. Wood, “The SAMR Model as a Framework for Evaluating mLearning,” </w:t>
      </w:r>
      <w:r w:rsidRPr="0074561C">
        <w:rPr>
          <w:rFonts w:ascii="Times New Roman" w:hAnsi="Times New Roman"/>
          <w:i/>
          <w:iCs/>
          <w:noProof/>
          <w:color w:val="0D0D0D" w:themeColor="text1" w:themeTint="F2"/>
          <w:sz w:val="20"/>
          <w:szCs w:val="20"/>
        </w:rPr>
        <w:t>Online Learn.</w:t>
      </w:r>
      <w:r w:rsidRPr="0074561C">
        <w:rPr>
          <w:rFonts w:ascii="Times New Roman" w:hAnsi="Times New Roman"/>
          <w:noProof/>
          <w:color w:val="0D0D0D" w:themeColor="text1" w:themeTint="F2"/>
          <w:sz w:val="20"/>
          <w:szCs w:val="20"/>
        </w:rPr>
        <w:t>, vol. 18, no. 2, pp. 1–15, Jun. 2014, doi: 10.24059/olj.v18i2.435.</w:t>
      </w:r>
    </w:p>
    <w:p w14:paraId="24A8B617"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[58]</w:t>
      </w:r>
      <w:r w:rsidRPr="0074561C">
        <w:rPr>
          <w:rFonts w:ascii="Times New Roman" w:hAnsi="Times New Roman"/>
          <w:noProof/>
          <w:color w:val="0D0D0D" w:themeColor="text1" w:themeTint="F2"/>
          <w:sz w:val="20"/>
          <w:szCs w:val="20"/>
        </w:rPr>
        <w:tab/>
        <w:t xml:space="preserve">J. Wajcman, “Feminist theories of technology,” </w:t>
      </w:r>
      <w:r w:rsidRPr="0074561C">
        <w:rPr>
          <w:rFonts w:ascii="Times New Roman" w:hAnsi="Times New Roman"/>
          <w:i/>
          <w:iCs/>
          <w:noProof/>
          <w:color w:val="0D0D0D" w:themeColor="text1" w:themeTint="F2"/>
          <w:sz w:val="20"/>
          <w:szCs w:val="20"/>
        </w:rPr>
        <w:t>Cambridge J. Econ.</w:t>
      </w:r>
      <w:r w:rsidRPr="0074561C">
        <w:rPr>
          <w:rFonts w:ascii="Times New Roman" w:hAnsi="Times New Roman"/>
          <w:noProof/>
          <w:color w:val="0D0D0D" w:themeColor="text1" w:themeTint="F2"/>
          <w:sz w:val="20"/>
          <w:szCs w:val="20"/>
        </w:rPr>
        <w:t>, vol. 34, no. 1, pp. 143–152, Jan. 2010, doi: 10.1093/cje/ben057.</w:t>
      </w:r>
    </w:p>
    <w:p w14:paraId="775E628C"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[59]</w:t>
      </w:r>
      <w:r w:rsidRPr="0074561C">
        <w:rPr>
          <w:rFonts w:ascii="Times New Roman" w:hAnsi="Times New Roman"/>
          <w:noProof/>
          <w:color w:val="0D0D0D" w:themeColor="text1" w:themeTint="F2"/>
          <w:sz w:val="20"/>
          <w:szCs w:val="20"/>
        </w:rPr>
        <w:tab/>
        <w:t xml:space="preserve">J. Sweller, “Cognitive Load Theory: Recent Theoretical Advances,” in </w:t>
      </w:r>
      <w:r w:rsidRPr="0074561C">
        <w:rPr>
          <w:rFonts w:ascii="Times New Roman" w:hAnsi="Times New Roman"/>
          <w:i/>
          <w:iCs/>
          <w:noProof/>
          <w:color w:val="0D0D0D" w:themeColor="text1" w:themeTint="F2"/>
          <w:sz w:val="20"/>
          <w:szCs w:val="20"/>
        </w:rPr>
        <w:t>Cognitive Load Theory</w:t>
      </w:r>
      <w:r w:rsidRPr="0074561C">
        <w:rPr>
          <w:rFonts w:ascii="Times New Roman" w:hAnsi="Times New Roman"/>
          <w:noProof/>
          <w:color w:val="0D0D0D" w:themeColor="text1" w:themeTint="F2"/>
          <w:sz w:val="20"/>
          <w:szCs w:val="20"/>
        </w:rPr>
        <w:t>, J. L. Plass, R. Moreno, and R. Brünken, Eds., New York, NY: Cambridge University Press, 2010, pp. 29–47. doi: 10.1017/CBO9780511844744.004.</w:t>
      </w:r>
    </w:p>
    <w:p w14:paraId="7AF79F06"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[60]</w:t>
      </w:r>
      <w:r w:rsidRPr="0074561C">
        <w:rPr>
          <w:rFonts w:ascii="Times New Roman" w:hAnsi="Times New Roman"/>
          <w:noProof/>
          <w:color w:val="0D0D0D" w:themeColor="text1" w:themeTint="F2"/>
          <w:sz w:val="20"/>
          <w:szCs w:val="20"/>
        </w:rPr>
        <w:tab/>
        <w:t xml:space="preserve">G. Hofstede, </w:t>
      </w:r>
      <w:r w:rsidRPr="0074561C">
        <w:rPr>
          <w:rFonts w:ascii="Times New Roman" w:hAnsi="Times New Roman"/>
          <w:i/>
          <w:iCs/>
          <w:noProof/>
          <w:color w:val="0D0D0D" w:themeColor="text1" w:themeTint="F2"/>
          <w:sz w:val="20"/>
          <w:szCs w:val="20"/>
        </w:rPr>
        <w:t>No TitleCulture’s consequences: Comparing values, behaviors, institutions and organizations across nations</w:t>
      </w:r>
      <w:r w:rsidRPr="0074561C">
        <w:rPr>
          <w:rFonts w:ascii="Times New Roman" w:hAnsi="Times New Roman"/>
          <w:noProof/>
          <w:color w:val="0D0D0D" w:themeColor="text1" w:themeTint="F2"/>
          <w:sz w:val="20"/>
          <w:szCs w:val="20"/>
        </w:rPr>
        <w:t>, 2nd ed. London, UK: Sage Publications, 2001.</w:t>
      </w:r>
    </w:p>
    <w:p w14:paraId="089CA74A"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lastRenderedPageBreak/>
        <w:t>[61]</w:t>
      </w:r>
      <w:r w:rsidRPr="0074561C">
        <w:rPr>
          <w:rFonts w:ascii="Times New Roman" w:hAnsi="Times New Roman"/>
          <w:noProof/>
          <w:color w:val="0D0D0D" w:themeColor="text1" w:themeTint="F2"/>
          <w:sz w:val="20"/>
          <w:szCs w:val="20"/>
        </w:rPr>
        <w:tab/>
        <w:t xml:space="preserve">M. Warschauer, </w:t>
      </w:r>
      <w:r w:rsidRPr="0074561C">
        <w:rPr>
          <w:rFonts w:ascii="Times New Roman" w:hAnsi="Times New Roman"/>
          <w:i/>
          <w:iCs/>
          <w:noProof/>
          <w:color w:val="0D0D0D" w:themeColor="text1" w:themeTint="F2"/>
          <w:sz w:val="20"/>
          <w:szCs w:val="20"/>
        </w:rPr>
        <w:t>Technology and social inclusion: Rethinking the digital divide</w:t>
      </w:r>
      <w:r w:rsidRPr="0074561C">
        <w:rPr>
          <w:rFonts w:ascii="Times New Roman" w:hAnsi="Times New Roman"/>
          <w:noProof/>
          <w:color w:val="0D0D0D" w:themeColor="text1" w:themeTint="F2"/>
          <w:sz w:val="20"/>
          <w:szCs w:val="20"/>
        </w:rPr>
        <w:t>. London, UK: MIT press, 2004.</w:t>
      </w:r>
    </w:p>
    <w:p w14:paraId="7CCA69F7" w14:textId="77777777" w:rsidR="00D820FD" w:rsidRPr="0074561C" w:rsidRDefault="00D820FD" w:rsidP="000E0B8B">
      <w:pPr>
        <w:widowControl w:val="0"/>
        <w:autoSpaceDE w:val="0"/>
        <w:autoSpaceDN w:val="0"/>
        <w:adjustRightInd w:val="0"/>
        <w:rPr>
          <w:rFonts w:ascii="Times New Roman" w:hAnsi="Times New Roman"/>
          <w:noProof/>
          <w:color w:val="0D0D0D" w:themeColor="text1" w:themeTint="F2"/>
          <w:sz w:val="20"/>
          <w:szCs w:val="20"/>
        </w:rPr>
      </w:pPr>
      <w:r w:rsidRPr="0074561C">
        <w:rPr>
          <w:rFonts w:ascii="Times New Roman" w:hAnsi="Times New Roman"/>
          <w:noProof/>
          <w:color w:val="0D0D0D" w:themeColor="text1" w:themeTint="F2"/>
          <w:sz w:val="20"/>
          <w:szCs w:val="20"/>
        </w:rPr>
        <w:t>[62]</w:t>
      </w:r>
      <w:r w:rsidRPr="0074561C">
        <w:rPr>
          <w:rFonts w:ascii="Times New Roman" w:hAnsi="Times New Roman"/>
          <w:noProof/>
          <w:color w:val="0D0D0D" w:themeColor="text1" w:themeTint="F2"/>
          <w:sz w:val="20"/>
          <w:szCs w:val="20"/>
        </w:rPr>
        <w:tab/>
        <w:t xml:space="preserve">P. Chelladurai and S. Kerwin, </w:t>
      </w:r>
      <w:r w:rsidRPr="0074561C">
        <w:rPr>
          <w:rFonts w:ascii="Times New Roman" w:hAnsi="Times New Roman"/>
          <w:i/>
          <w:iCs/>
          <w:noProof/>
          <w:color w:val="0D0D0D" w:themeColor="text1" w:themeTint="F2"/>
          <w:sz w:val="20"/>
          <w:szCs w:val="20"/>
        </w:rPr>
        <w:t>Human Resource Management in Sport and Recreation</w:t>
      </w:r>
      <w:r w:rsidRPr="0074561C">
        <w:rPr>
          <w:rFonts w:ascii="Times New Roman" w:hAnsi="Times New Roman"/>
          <w:noProof/>
          <w:color w:val="0D0D0D" w:themeColor="text1" w:themeTint="F2"/>
          <w:sz w:val="20"/>
          <w:szCs w:val="20"/>
        </w:rPr>
        <w:t>, 3rd ed. Champaign, IL: Human Kinetics, 2018.</w:t>
      </w:r>
    </w:p>
    <w:p w14:paraId="226BECEA" w14:textId="2768774D" w:rsidR="001D3145" w:rsidRPr="0074561C" w:rsidRDefault="00DB34D3" w:rsidP="009D433B">
      <w:pPr>
        <w:pStyle w:val="References"/>
        <w:ind w:left="709" w:hanging="709"/>
        <w:rPr>
          <w:color w:val="0D0D0D" w:themeColor="text1" w:themeTint="F2"/>
          <w:szCs w:val="20"/>
        </w:rPr>
      </w:pPr>
      <w:r w:rsidRPr="0074561C">
        <w:rPr>
          <w:color w:val="0D0D0D" w:themeColor="text1" w:themeTint="F2"/>
          <w:szCs w:val="20"/>
        </w:rPr>
        <w:fldChar w:fldCharType="end"/>
      </w:r>
    </w:p>
    <w:sectPr w:rsidR="001D3145" w:rsidRPr="0074561C" w:rsidSect="0016061E">
      <w:footerReference w:type="default" r:id="rId16"/>
      <w:type w:val="continuous"/>
      <w:pgSz w:w="11906" w:h="16838"/>
      <w:pgMar w:top="1151" w:right="1671" w:bottom="1390" w:left="1587" w:header="709" w:footer="5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CA2B2" w14:textId="77777777" w:rsidR="00B72C82" w:rsidRDefault="00B72C82" w:rsidP="00BA6E38">
      <w:r>
        <w:separator/>
      </w:r>
    </w:p>
    <w:p w14:paraId="23DA55B7" w14:textId="77777777" w:rsidR="00B72C82" w:rsidRDefault="00B72C82" w:rsidP="00BA6E38"/>
    <w:p w14:paraId="0A171929" w14:textId="77777777" w:rsidR="00B72C82" w:rsidRDefault="00B72C82" w:rsidP="00BA6E38"/>
    <w:p w14:paraId="332CFEE8" w14:textId="77777777" w:rsidR="00B72C82" w:rsidRDefault="00B72C82" w:rsidP="00BA6E38"/>
    <w:p w14:paraId="603BC8EB" w14:textId="77777777" w:rsidR="00B72C82" w:rsidRDefault="00B72C82" w:rsidP="00BA6E38"/>
    <w:p w14:paraId="7097D9E0" w14:textId="77777777" w:rsidR="00B72C82" w:rsidRDefault="00B72C82" w:rsidP="00BA6E38"/>
    <w:p w14:paraId="0C8E65E8" w14:textId="77777777" w:rsidR="00B72C82" w:rsidRDefault="00B72C82"/>
  </w:endnote>
  <w:endnote w:type="continuationSeparator" w:id="0">
    <w:p w14:paraId="5F5661CD" w14:textId="77777777" w:rsidR="00B72C82" w:rsidRDefault="00B72C82" w:rsidP="00BA6E38">
      <w:r>
        <w:continuationSeparator/>
      </w:r>
    </w:p>
    <w:p w14:paraId="0FF2DE73" w14:textId="77777777" w:rsidR="00B72C82" w:rsidRDefault="00B72C82" w:rsidP="00BA6E38"/>
    <w:p w14:paraId="734CA79C" w14:textId="77777777" w:rsidR="00B72C82" w:rsidRDefault="00B72C82" w:rsidP="00BA6E38"/>
    <w:p w14:paraId="5EC6F099" w14:textId="77777777" w:rsidR="00B72C82" w:rsidRDefault="00B72C82" w:rsidP="00BA6E38"/>
    <w:p w14:paraId="11091133" w14:textId="77777777" w:rsidR="00B72C82" w:rsidRDefault="00B72C82" w:rsidP="00BA6E38"/>
    <w:p w14:paraId="23E58F6C" w14:textId="77777777" w:rsidR="00B72C82" w:rsidRDefault="00B72C82" w:rsidP="00BA6E38"/>
    <w:p w14:paraId="38BBD70F" w14:textId="77777777" w:rsidR="00B72C82" w:rsidRDefault="00B72C82"/>
  </w:endnote>
  <w:endnote w:type="continuationNotice" w:id="1">
    <w:p w14:paraId="4FD428CE" w14:textId="77777777" w:rsidR="00B72C82" w:rsidRDefault="00B72C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Nova">
    <w:panose1 w:val="020B0504020202020204"/>
    <w:charset w:val="A1"/>
    <w:family w:val="swiss"/>
    <w:pitch w:val="variable"/>
    <w:sig w:usb0="2000028F" w:usb1="00000002" w:usb2="00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Nova Cond">
    <w:panose1 w:val="020B0506020202020204"/>
    <w:charset w:val="A1"/>
    <w:family w:val="swiss"/>
    <w:pitch w:val="variable"/>
    <w:sig w:usb0="2000028F" w:usb1="00000002"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7FB6D" w14:textId="77777777" w:rsidR="00870BD9" w:rsidRPr="00C973EC" w:rsidRDefault="00870BD9" w:rsidP="00C973E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357C9" w14:textId="77777777" w:rsidR="00B72C82" w:rsidRDefault="00B72C82" w:rsidP="00BA6E38">
      <w:r>
        <w:separator/>
      </w:r>
    </w:p>
    <w:p w14:paraId="477B9009" w14:textId="77777777" w:rsidR="00B72C82" w:rsidRDefault="00B72C82" w:rsidP="00BA6E38"/>
    <w:p w14:paraId="6A519730" w14:textId="77777777" w:rsidR="00B72C82" w:rsidRDefault="00B72C82" w:rsidP="00BA6E38"/>
    <w:p w14:paraId="5721F82F" w14:textId="77777777" w:rsidR="00B72C82" w:rsidRDefault="00B72C82" w:rsidP="00BA6E38"/>
    <w:p w14:paraId="4D3B048E" w14:textId="77777777" w:rsidR="00B72C82" w:rsidRDefault="00B72C82" w:rsidP="00BA6E38"/>
    <w:p w14:paraId="6C2AA17C" w14:textId="77777777" w:rsidR="00B72C82" w:rsidRDefault="00B72C82" w:rsidP="00BA6E38"/>
    <w:p w14:paraId="3A821373" w14:textId="77777777" w:rsidR="00B72C82" w:rsidRDefault="00B72C82"/>
  </w:footnote>
  <w:footnote w:type="continuationSeparator" w:id="0">
    <w:p w14:paraId="0F979F40" w14:textId="77777777" w:rsidR="00B72C82" w:rsidRDefault="00B72C82" w:rsidP="00BA6E38">
      <w:r>
        <w:continuationSeparator/>
      </w:r>
    </w:p>
    <w:p w14:paraId="46C503FC" w14:textId="77777777" w:rsidR="00B72C82" w:rsidRDefault="00B72C82" w:rsidP="00BA6E38"/>
    <w:p w14:paraId="0F36BB0F" w14:textId="77777777" w:rsidR="00B72C82" w:rsidRDefault="00B72C82" w:rsidP="00BA6E38"/>
    <w:p w14:paraId="41B2E020" w14:textId="77777777" w:rsidR="00B72C82" w:rsidRDefault="00B72C82" w:rsidP="00BA6E38"/>
    <w:p w14:paraId="064D15E1" w14:textId="77777777" w:rsidR="00B72C82" w:rsidRDefault="00B72C82" w:rsidP="00BA6E38"/>
    <w:p w14:paraId="564CFB94" w14:textId="77777777" w:rsidR="00B72C82" w:rsidRDefault="00B72C82" w:rsidP="00BA6E38"/>
    <w:p w14:paraId="625C485C" w14:textId="77777777" w:rsidR="00B72C82" w:rsidRDefault="00B72C82"/>
  </w:footnote>
  <w:footnote w:type="continuationNotice" w:id="1">
    <w:p w14:paraId="0060E3AA" w14:textId="77777777" w:rsidR="00B72C82" w:rsidRDefault="00B72C8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36DE"/>
    <w:multiLevelType w:val="hybridMultilevel"/>
    <w:tmpl w:val="FA7C1B5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8764937"/>
    <w:multiLevelType w:val="hybridMultilevel"/>
    <w:tmpl w:val="2B3049A6"/>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0C222E"/>
    <w:multiLevelType w:val="multilevel"/>
    <w:tmpl w:val="14D2115E"/>
    <w:styleLink w:val="Style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ECB2ED7"/>
    <w:multiLevelType w:val="hybridMultilevel"/>
    <w:tmpl w:val="C8608384"/>
    <w:lvl w:ilvl="0" w:tplc="D18ED04E">
      <w:start w:val="1"/>
      <w:numFmt w:val="decimal"/>
      <w:pStyle w:val="Footnotes"/>
      <w:lvlText w:val="[%1]"/>
      <w:lvlJc w:val="left"/>
      <w:pPr>
        <w:tabs>
          <w:tab w:val="num" w:pos="644"/>
        </w:tabs>
        <w:ind w:left="644" w:hanging="360"/>
      </w:pPr>
      <w:rPr>
        <w:rFonts w:hint="default"/>
        <w:color w:val="auto"/>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4" w15:restartNumberingAfterBreak="0">
    <w:nsid w:val="112570A8"/>
    <w:multiLevelType w:val="hybridMultilevel"/>
    <w:tmpl w:val="647E8C16"/>
    <w:lvl w:ilvl="0" w:tplc="77D22310">
      <w:start w:val="1"/>
      <w:numFmt w:val="bullet"/>
      <w:pStyle w:val="Bullet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A636EA"/>
    <w:multiLevelType w:val="hybridMultilevel"/>
    <w:tmpl w:val="9648B164"/>
    <w:lvl w:ilvl="0" w:tplc="D2D6DC6C">
      <w:start w:val="1"/>
      <w:numFmt w:val="decimal"/>
      <w:pStyle w:val="Figurecaption"/>
      <w:lvlText w:val="Figure %1."/>
      <w:lvlJc w:val="left"/>
      <w:pPr>
        <w:ind w:left="360" w:hanging="360"/>
      </w:pPr>
      <w:rPr>
        <w:b/>
        <w:bCs/>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6" w15:restartNumberingAfterBreak="0">
    <w:nsid w:val="13AD0F53"/>
    <w:multiLevelType w:val="multilevel"/>
    <w:tmpl w:val="4E64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23E9B"/>
    <w:multiLevelType w:val="hybridMultilevel"/>
    <w:tmpl w:val="E31641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89F3C50"/>
    <w:multiLevelType w:val="hybridMultilevel"/>
    <w:tmpl w:val="EF9CF796"/>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 w15:restartNumberingAfterBreak="0">
    <w:nsid w:val="1D1E4484"/>
    <w:multiLevelType w:val="hybridMultilevel"/>
    <w:tmpl w:val="86E206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F786DFB"/>
    <w:multiLevelType w:val="hybridMultilevel"/>
    <w:tmpl w:val="2284AA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1FE418BF"/>
    <w:multiLevelType w:val="hybridMultilevel"/>
    <w:tmpl w:val="E0DC014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82A09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CA533F"/>
    <w:multiLevelType w:val="multilevel"/>
    <w:tmpl w:val="44E439EA"/>
    <w:lvl w:ilvl="0">
      <w:start w:val="1"/>
      <w:numFmt w:val="decimal"/>
      <w:lvlText w:val="%1."/>
      <w:lvlJc w:val="left"/>
      <w:pPr>
        <w:ind w:left="644" w:hanging="360"/>
      </w:pPr>
      <w:rPr>
        <w:rFonts w:hint="default"/>
      </w:rPr>
    </w:lvl>
    <w:lvl w:ilvl="1">
      <w:start w:val="3"/>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4" w15:restartNumberingAfterBreak="0">
    <w:nsid w:val="2A1766F8"/>
    <w:multiLevelType w:val="hybridMultilevel"/>
    <w:tmpl w:val="C066A28A"/>
    <w:lvl w:ilvl="0" w:tplc="71F07F58">
      <w:start w:val="1"/>
      <w:numFmt w:val="lowerLetter"/>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5" w15:restartNumberingAfterBreak="0">
    <w:nsid w:val="35FE1E0F"/>
    <w:multiLevelType w:val="hybridMultilevel"/>
    <w:tmpl w:val="C01EB868"/>
    <w:lvl w:ilvl="0" w:tplc="0409000F">
      <w:start w:val="1"/>
      <w:numFmt w:val="decimal"/>
      <w:lvlText w:val="%1."/>
      <w:lvlJc w:val="left"/>
      <w:pPr>
        <w:ind w:left="644"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C932182"/>
    <w:multiLevelType w:val="multilevel"/>
    <w:tmpl w:val="6AC6B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224354"/>
    <w:multiLevelType w:val="multilevel"/>
    <w:tmpl w:val="7FBE2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391B2C"/>
    <w:multiLevelType w:val="hybridMultilevel"/>
    <w:tmpl w:val="4BB010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46237D52"/>
    <w:multiLevelType w:val="multilevel"/>
    <w:tmpl w:val="44C2404C"/>
    <w:styleLink w:val="Listeactuelle3"/>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0" w15:restartNumberingAfterBreak="0">
    <w:nsid w:val="4F467F01"/>
    <w:multiLevelType w:val="hybridMultilevel"/>
    <w:tmpl w:val="4650E71A"/>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1" w15:restartNumberingAfterBreak="0">
    <w:nsid w:val="5CC52BFA"/>
    <w:multiLevelType w:val="multilevel"/>
    <w:tmpl w:val="B7969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CE56FF"/>
    <w:multiLevelType w:val="multilevel"/>
    <w:tmpl w:val="7212ADC0"/>
    <w:lvl w:ilvl="0">
      <w:start w:val="1"/>
      <w:numFmt w:val="decimal"/>
      <w:lvlText w:val="%1."/>
      <w:lvlJc w:val="left"/>
      <w:pPr>
        <w:ind w:left="2345" w:hanging="360"/>
      </w:pPr>
      <w:rPr>
        <w:rFonts w:hint="default"/>
        <w:color w:val="5B9BD5" w:themeColor="accent1"/>
      </w:rPr>
    </w:lvl>
    <w:lvl w:ilvl="1">
      <w:start w:val="1"/>
      <w:numFmt w:val="decimal"/>
      <w:lvlText w:val="%1.%2"/>
      <w:lvlJc w:val="left"/>
      <w:pPr>
        <w:ind w:left="860"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0027AC5"/>
    <w:multiLevelType w:val="hybridMultilevel"/>
    <w:tmpl w:val="00565BF8"/>
    <w:lvl w:ilvl="0" w:tplc="9E8CE468">
      <w:start w:val="1"/>
      <w:numFmt w:val="decimal"/>
      <w:pStyle w:val="Tablecaption"/>
      <w:lvlText w:val="Table %1."/>
      <w:lvlJc w:val="left"/>
      <w:pPr>
        <w:ind w:left="360" w:hanging="360"/>
      </w:pPr>
      <w:rPr>
        <w:rFonts w:hint="default"/>
        <w:b/>
        <w:i w:val="0"/>
      </w:r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24" w15:restartNumberingAfterBreak="0">
    <w:nsid w:val="67771C4C"/>
    <w:multiLevelType w:val="hybridMultilevel"/>
    <w:tmpl w:val="818A233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AE23F51"/>
    <w:multiLevelType w:val="hybridMultilevel"/>
    <w:tmpl w:val="C01EB868"/>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C8C10BA"/>
    <w:multiLevelType w:val="multilevel"/>
    <w:tmpl w:val="040C001D"/>
    <w:styleLink w:val="Listeactuel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3368BA2"/>
    <w:multiLevelType w:val="multilevel"/>
    <w:tmpl w:val="2DE8A0C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39D262B"/>
    <w:multiLevelType w:val="hybridMultilevel"/>
    <w:tmpl w:val="FBE4172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9" w15:restartNumberingAfterBreak="0">
    <w:nsid w:val="76F0306A"/>
    <w:multiLevelType w:val="multilevel"/>
    <w:tmpl w:val="C006444C"/>
    <w:styleLink w:val="Listeactuelle2"/>
    <w:lvl w:ilvl="0">
      <w:start w:val="1"/>
      <w:numFmt w:val="decimal"/>
      <w:lvlText w:val="Table %1."/>
      <w:lvlJc w:val="left"/>
      <w:pPr>
        <w:ind w:left="3196" w:hanging="360"/>
      </w:p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30" w15:restartNumberingAfterBreak="0">
    <w:nsid w:val="7750131D"/>
    <w:multiLevelType w:val="hybridMultilevel"/>
    <w:tmpl w:val="F542728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428892093">
    <w:abstractNumId w:val="27"/>
  </w:num>
  <w:num w:numId="2" w16cid:durableId="120391606">
    <w:abstractNumId w:val="3"/>
  </w:num>
  <w:num w:numId="3" w16cid:durableId="1267156964">
    <w:abstractNumId w:val="2"/>
  </w:num>
  <w:num w:numId="4" w16cid:durableId="414206574">
    <w:abstractNumId w:val="5"/>
  </w:num>
  <w:num w:numId="5" w16cid:durableId="336227493">
    <w:abstractNumId w:val="23"/>
  </w:num>
  <w:num w:numId="6" w16cid:durableId="1593511656">
    <w:abstractNumId w:val="4"/>
  </w:num>
  <w:num w:numId="7" w16cid:durableId="2147119959">
    <w:abstractNumId w:val="22"/>
  </w:num>
  <w:num w:numId="8" w16cid:durableId="2013410766">
    <w:abstractNumId w:val="26"/>
  </w:num>
  <w:num w:numId="9" w16cid:durableId="268853742">
    <w:abstractNumId w:val="29"/>
  </w:num>
  <w:num w:numId="10" w16cid:durableId="217865267">
    <w:abstractNumId w:val="19"/>
  </w:num>
  <w:num w:numId="11" w16cid:durableId="406731514">
    <w:abstractNumId w:val="20"/>
  </w:num>
  <w:num w:numId="12" w16cid:durableId="850492284">
    <w:abstractNumId w:val="8"/>
  </w:num>
  <w:num w:numId="13" w16cid:durableId="1132092714">
    <w:abstractNumId w:val="28"/>
  </w:num>
  <w:num w:numId="14" w16cid:durableId="1928995718">
    <w:abstractNumId w:val="24"/>
  </w:num>
  <w:num w:numId="15" w16cid:durableId="536818890">
    <w:abstractNumId w:val="15"/>
  </w:num>
  <w:num w:numId="16" w16cid:durableId="1450322125">
    <w:abstractNumId w:val="13"/>
  </w:num>
  <w:num w:numId="17" w16cid:durableId="1510756612">
    <w:abstractNumId w:val="25"/>
  </w:num>
  <w:num w:numId="18" w16cid:durableId="1030834682">
    <w:abstractNumId w:val="14"/>
  </w:num>
  <w:num w:numId="19" w16cid:durableId="1905093642">
    <w:abstractNumId w:val="0"/>
  </w:num>
  <w:num w:numId="20" w16cid:durableId="162210771">
    <w:abstractNumId w:val="22"/>
  </w:num>
  <w:num w:numId="21" w16cid:durableId="126749221">
    <w:abstractNumId w:val="11"/>
  </w:num>
  <w:num w:numId="22" w16cid:durableId="777067351">
    <w:abstractNumId w:val="22"/>
    <w:lvlOverride w:ilvl="0">
      <w:startOverride w:val="3"/>
    </w:lvlOverride>
    <w:lvlOverride w:ilvl="1">
      <w:startOverride w:val="5"/>
    </w:lvlOverride>
  </w:num>
  <w:num w:numId="23" w16cid:durableId="186331016">
    <w:abstractNumId w:val="22"/>
  </w:num>
  <w:num w:numId="24" w16cid:durableId="1560285894">
    <w:abstractNumId w:val="22"/>
  </w:num>
  <w:num w:numId="25" w16cid:durableId="947200098">
    <w:abstractNumId w:val="22"/>
  </w:num>
  <w:num w:numId="26" w16cid:durableId="296491682">
    <w:abstractNumId w:val="22"/>
  </w:num>
  <w:num w:numId="27" w16cid:durableId="329407664">
    <w:abstractNumId w:val="22"/>
  </w:num>
  <w:num w:numId="28" w16cid:durableId="1439791890">
    <w:abstractNumId w:val="22"/>
  </w:num>
  <w:num w:numId="29" w16cid:durableId="313531461">
    <w:abstractNumId w:val="22"/>
  </w:num>
  <w:num w:numId="30" w16cid:durableId="1048912564">
    <w:abstractNumId w:val="22"/>
  </w:num>
  <w:num w:numId="31" w16cid:durableId="68162479">
    <w:abstractNumId w:val="18"/>
  </w:num>
  <w:num w:numId="32" w16cid:durableId="1396660333">
    <w:abstractNumId w:val="9"/>
  </w:num>
  <w:num w:numId="33" w16cid:durableId="1914200110">
    <w:abstractNumId w:val="7"/>
  </w:num>
  <w:num w:numId="34" w16cid:durableId="877546061">
    <w:abstractNumId w:val="10"/>
  </w:num>
  <w:num w:numId="35" w16cid:durableId="1047413915">
    <w:abstractNumId w:val="30"/>
  </w:num>
  <w:num w:numId="36" w16cid:durableId="77406527">
    <w:abstractNumId w:val="1"/>
  </w:num>
  <w:num w:numId="37" w16cid:durableId="1294096951">
    <w:abstractNumId w:val="12"/>
  </w:num>
  <w:num w:numId="38" w16cid:durableId="1119883580">
    <w:abstractNumId w:val="6"/>
  </w:num>
  <w:num w:numId="39" w16cid:durableId="539131677">
    <w:abstractNumId w:val="16"/>
  </w:num>
  <w:num w:numId="40" w16cid:durableId="1012220367">
    <w:abstractNumId w:val="21"/>
  </w:num>
  <w:num w:numId="41" w16cid:durableId="2126148594">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283"/>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EwMDA2NLIwsTSzNDBX0lEKTi0uzszPAykwrAUAIuLjdywAAAA="/>
  </w:docVars>
  <w:rsids>
    <w:rsidRoot w:val="0038064E"/>
    <w:rsid w:val="000004CE"/>
    <w:rsid w:val="0000061C"/>
    <w:rsid w:val="00000718"/>
    <w:rsid w:val="00000F94"/>
    <w:rsid w:val="000014C8"/>
    <w:rsid w:val="00001DAC"/>
    <w:rsid w:val="00001EB8"/>
    <w:rsid w:val="0000212F"/>
    <w:rsid w:val="000026AD"/>
    <w:rsid w:val="000028A1"/>
    <w:rsid w:val="00002A54"/>
    <w:rsid w:val="0000343C"/>
    <w:rsid w:val="00003B4A"/>
    <w:rsid w:val="0000477A"/>
    <w:rsid w:val="0000547B"/>
    <w:rsid w:val="00005CA0"/>
    <w:rsid w:val="0000671C"/>
    <w:rsid w:val="00006C9B"/>
    <w:rsid w:val="00007B86"/>
    <w:rsid w:val="00010C4F"/>
    <w:rsid w:val="0001132E"/>
    <w:rsid w:val="00011FA3"/>
    <w:rsid w:val="000122D5"/>
    <w:rsid w:val="00012F26"/>
    <w:rsid w:val="00012FA5"/>
    <w:rsid w:val="000134AB"/>
    <w:rsid w:val="000140A5"/>
    <w:rsid w:val="000172A5"/>
    <w:rsid w:val="000173AD"/>
    <w:rsid w:val="0001773D"/>
    <w:rsid w:val="00017904"/>
    <w:rsid w:val="00017D8D"/>
    <w:rsid w:val="000203EF"/>
    <w:rsid w:val="00021769"/>
    <w:rsid w:val="00021A1E"/>
    <w:rsid w:val="00021C0D"/>
    <w:rsid w:val="00021E85"/>
    <w:rsid w:val="00021EAD"/>
    <w:rsid w:val="00022680"/>
    <w:rsid w:val="000228F5"/>
    <w:rsid w:val="00023123"/>
    <w:rsid w:val="00023131"/>
    <w:rsid w:val="00023149"/>
    <w:rsid w:val="0002398D"/>
    <w:rsid w:val="00023B56"/>
    <w:rsid w:val="0002433C"/>
    <w:rsid w:val="0002567C"/>
    <w:rsid w:val="000257F6"/>
    <w:rsid w:val="00025A5A"/>
    <w:rsid w:val="00026412"/>
    <w:rsid w:val="00026DA8"/>
    <w:rsid w:val="00027E96"/>
    <w:rsid w:val="00027F79"/>
    <w:rsid w:val="00030679"/>
    <w:rsid w:val="00030A68"/>
    <w:rsid w:val="00030D50"/>
    <w:rsid w:val="00031153"/>
    <w:rsid w:val="000315C9"/>
    <w:rsid w:val="000323B4"/>
    <w:rsid w:val="0003360B"/>
    <w:rsid w:val="00033827"/>
    <w:rsid w:val="00033E42"/>
    <w:rsid w:val="00034379"/>
    <w:rsid w:val="00035467"/>
    <w:rsid w:val="000355E2"/>
    <w:rsid w:val="000358FF"/>
    <w:rsid w:val="00035E92"/>
    <w:rsid w:val="00036057"/>
    <w:rsid w:val="000368D3"/>
    <w:rsid w:val="00037136"/>
    <w:rsid w:val="00037ED0"/>
    <w:rsid w:val="00040257"/>
    <w:rsid w:val="000402C0"/>
    <w:rsid w:val="00040A71"/>
    <w:rsid w:val="0004250D"/>
    <w:rsid w:val="00042A9C"/>
    <w:rsid w:val="00042CC6"/>
    <w:rsid w:val="0004540F"/>
    <w:rsid w:val="0004599E"/>
    <w:rsid w:val="000471A5"/>
    <w:rsid w:val="0005017A"/>
    <w:rsid w:val="00050BCD"/>
    <w:rsid w:val="00050C3B"/>
    <w:rsid w:val="00050E4D"/>
    <w:rsid w:val="00050E5F"/>
    <w:rsid w:val="000513AD"/>
    <w:rsid w:val="0005151B"/>
    <w:rsid w:val="00052688"/>
    <w:rsid w:val="00052C96"/>
    <w:rsid w:val="00053650"/>
    <w:rsid w:val="00053701"/>
    <w:rsid w:val="00054114"/>
    <w:rsid w:val="000545D8"/>
    <w:rsid w:val="00055EE7"/>
    <w:rsid w:val="0005621B"/>
    <w:rsid w:val="00056266"/>
    <w:rsid w:val="00056316"/>
    <w:rsid w:val="00056FC6"/>
    <w:rsid w:val="000570D6"/>
    <w:rsid w:val="0005723D"/>
    <w:rsid w:val="00057B62"/>
    <w:rsid w:val="00060340"/>
    <w:rsid w:val="00060452"/>
    <w:rsid w:val="000604F5"/>
    <w:rsid w:val="0006090B"/>
    <w:rsid w:val="00060C6F"/>
    <w:rsid w:val="00060EB3"/>
    <w:rsid w:val="00060F56"/>
    <w:rsid w:val="000614C7"/>
    <w:rsid w:val="00062709"/>
    <w:rsid w:val="00062B64"/>
    <w:rsid w:val="0006343F"/>
    <w:rsid w:val="00063684"/>
    <w:rsid w:val="00063FE3"/>
    <w:rsid w:val="00064823"/>
    <w:rsid w:val="00064E00"/>
    <w:rsid w:val="00066610"/>
    <w:rsid w:val="000678BA"/>
    <w:rsid w:val="00067BA4"/>
    <w:rsid w:val="00070022"/>
    <w:rsid w:val="000708D9"/>
    <w:rsid w:val="00070A9C"/>
    <w:rsid w:val="00070F93"/>
    <w:rsid w:val="0007110E"/>
    <w:rsid w:val="00071E9B"/>
    <w:rsid w:val="000724DF"/>
    <w:rsid w:val="00073F33"/>
    <w:rsid w:val="00073FE6"/>
    <w:rsid w:val="00074172"/>
    <w:rsid w:val="000745C0"/>
    <w:rsid w:val="000750A4"/>
    <w:rsid w:val="000753CD"/>
    <w:rsid w:val="00075830"/>
    <w:rsid w:val="00075938"/>
    <w:rsid w:val="0007764E"/>
    <w:rsid w:val="00077D7F"/>
    <w:rsid w:val="00077E87"/>
    <w:rsid w:val="00081099"/>
    <w:rsid w:val="000810CC"/>
    <w:rsid w:val="0008114D"/>
    <w:rsid w:val="0008129A"/>
    <w:rsid w:val="0008134D"/>
    <w:rsid w:val="000813A7"/>
    <w:rsid w:val="00081825"/>
    <w:rsid w:val="00081D8B"/>
    <w:rsid w:val="000824C1"/>
    <w:rsid w:val="000827BF"/>
    <w:rsid w:val="00082C97"/>
    <w:rsid w:val="000836EE"/>
    <w:rsid w:val="00083830"/>
    <w:rsid w:val="00084467"/>
    <w:rsid w:val="00084640"/>
    <w:rsid w:val="000851F9"/>
    <w:rsid w:val="00086568"/>
    <w:rsid w:val="0008734E"/>
    <w:rsid w:val="000900C0"/>
    <w:rsid w:val="00090BCF"/>
    <w:rsid w:val="00091DF9"/>
    <w:rsid w:val="00091FAB"/>
    <w:rsid w:val="00092004"/>
    <w:rsid w:val="00093071"/>
    <w:rsid w:val="00094425"/>
    <w:rsid w:val="0009459D"/>
    <w:rsid w:val="00094D65"/>
    <w:rsid w:val="00094DB9"/>
    <w:rsid w:val="000952C8"/>
    <w:rsid w:val="00096192"/>
    <w:rsid w:val="00097231"/>
    <w:rsid w:val="00097792"/>
    <w:rsid w:val="00097A92"/>
    <w:rsid w:val="00097B59"/>
    <w:rsid w:val="000A0DEA"/>
    <w:rsid w:val="000A2EE3"/>
    <w:rsid w:val="000A3870"/>
    <w:rsid w:val="000A4AB1"/>
    <w:rsid w:val="000A5218"/>
    <w:rsid w:val="000A530D"/>
    <w:rsid w:val="000A6763"/>
    <w:rsid w:val="000A6D02"/>
    <w:rsid w:val="000A6DBD"/>
    <w:rsid w:val="000A7D91"/>
    <w:rsid w:val="000A7E88"/>
    <w:rsid w:val="000B05B6"/>
    <w:rsid w:val="000B0DA0"/>
    <w:rsid w:val="000B20ED"/>
    <w:rsid w:val="000B23A1"/>
    <w:rsid w:val="000B2718"/>
    <w:rsid w:val="000B3DF1"/>
    <w:rsid w:val="000B4237"/>
    <w:rsid w:val="000B46C5"/>
    <w:rsid w:val="000B5069"/>
    <w:rsid w:val="000B50C1"/>
    <w:rsid w:val="000B56A4"/>
    <w:rsid w:val="000B5A7F"/>
    <w:rsid w:val="000B6416"/>
    <w:rsid w:val="000B65A0"/>
    <w:rsid w:val="000B65CC"/>
    <w:rsid w:val="000B66B5"/>
    <w:rsid w:val="000B705B"/>
    <w:rsid w:val="000B72CB"/>
    <w:rsid w:val="000B7710"/>
    <w:rsid w:val="000B7A6E"/>
    <w:rsid w:val="000C02D1"/>
    <w:rsid w:val="000C0840"/>
    <w:rsid w:val="000C0917"/>
    <w:rsid w:val="000C1521"/>
    <w:rsid w:val="000C1A46"/>
    <w:rsid w:val="000C2EFB"/>
    <w:rsid w:val="000C338D"/>
    <w:rsid w:val="000C3433"/>
    <w:rsid w:val="000C35F6"/>
    <w:rsid w:val="000C3E11"/>
    <w:rsid w:val="000C3F9D"/>
    <w:rsid w:val="000C4093"/>
    <w:rsid w:val="000C44D6"/>
    <w:rsid w:val="000C4656"/>
    <w:rsid w:val="000C5A02"/>
    <w:rsid w:val="000C6F5F"/>
    <w:rsid w:val="000C766B"/>
    <w:rsid w:val="000C76B5"/>
    <w:rsid w:val="000C78D1"/>
    <w:rsid w:val="000C7B7D"/>
    <w:rsid w:val="000D01A1"/>
    <w:rsid w:val="000D0DF8"/>
    <w:rsid w:val="000D15EA"/>
    <w:rsid w:val="000D1C81"/>
    <w:rsid w:val="000D2044"/>
    <w:rsid w:val="000D278F"/>
    <w:rsid w:val="000D2AFD"/>
    <w:rsid w:val="000D3273"/>
    <w:rsid w:val="000D465A"/>
    <w:rsid w:val="000D4E6D"/>
    <w:rsid w:val="000D4F62"/>
    <w:rsid w:val="000D5734"/>
    <w:rsid w:val="000D61B6"/>
    <w:rsid w:val="000D63E9"/>
    <w:rsid w:val="000D6768"/>
    <w:rsid w:val="000D7337"/>
    <w:rsid w:val="000D7AAA"/>
    <w:rsid w:val="000E0B8B"/>
    <w:rsid w:val="000E0E3E"/>
    <w:rsid w:val="000E0FBE"/>
    <w:rsid w:val="000E2084"/>
    <w:rsid w:val="000E2908"/>
    <w:rsid w:val="000E3361"/>
    <w:rsid w:val="000E3A45"/>
    <w:rsid w:val="000E570E"/>
    <w:rsid w:val="000E626F"/>
    <w:rsid w:val="000E7A0D"/>
    <w:rsid w:val="000F0CDC"/>
    <w:rsid w:val="000F1249"/>
    <w:rsid w:val="000F206D"/>
    <w:rsid w:val="000F2BA6"/>
    <w:rsid w:val="000F2CE6"/>
    <w:rsid w:val="000F2F03"/>
    <w:rsid w:val="000F31C8"/>
    <w:rsid w:val="000F3621"/>
    <w:rsid w:val="000F3DBF"/>
    <w:rsid w:val="000F41F5"/>
    <w:rsid w:val="000F46F3"/>
    <w:rsid w:val="000F56E9"/>
    <w:rsid w:val="000F631E"/>
    <w:rsid w:val="000F6B42"/>
    <w:rsid w:val="000F6E7E"/>
    <w:rsid w:val="000F75A1"/>
    <w:rsid w:val="000F7757"/>
    <w:rsid w:val="001006F7"/>
    <w:rsid w:val="001008C6"/>
    <w:rsid w:val="00101B5C"/>
    <w:rsid w:val="00101DAA"/>
    <w:rsid w:val="0010246C"/>
    <w:rsid w:val="001033D4"/>
    <w:rsid w:val="001036FA"/>
    <w:rsid w:val="00103D99"/>
    <w:rsid w:val="00103EE2"/>
    <w:rsid w:val="00104E38"/>
    <w:rsid w:val="00105072"/>
    <w:rsid w:val="001060CE"/>
    <w:rsid w:val="001062D2"/>
    <w:rsid w:val="001066A4"/>
    <w:rsid w:val="001074B0"/>
    <w:rsid w:val="00107D25"/>
    <w:rsid w:val="0011060C"/>
    <w:rsid w:val="00110C3B"/>
    <w:rsid w:val="001115EE"/>
    <w:rsid w:val="00111B3A"/>
    <w:rsid w:val="00111C26"/>
    <w:rsid w:val="0011370B"/>
    <w:rsid w:val="00115983"/>
    <w:rsid w:val="00115C3B"/>
    <w:rsid w:val="00117F29"/>
    <w:rsid w:val="00120B81"/>
    <w:rsid w:val="00123119"/>
    <w:rsid w:val="001232C1"/>
    <w:rsid w:val="00124181"/>
    <w:rsid w:val="0012462B"/>
    <w:rsid w:val="00124F15"/>
    <w:rsid w:val="00125D2D"/>
    <w:rsid w:val="00125D7E"/>
    <w:rsid w:val="00126660"/>
    <w:rsid w:val="00126981"/>
    <w:rsid w:val="001272E7"/>
    <w:rsid w:val="00127BAA"/>
    <w:rsid w:val="00127F70"/>
    <w:rsid w:val="00130B07"/>
    <w:rsid w:val="00131086"/>
    <w:rsid w:val="00132916"/>
    <w:rsid w:val="00133D23"/>
    <w:rsid w:val="00133FD8"/>
    <w:rsid w:val="0013406C"/>
    <w:rsid w:val="00134CF9"/>
    <w:rsid w:val="00136C64"/>
    <w:rsid w:val="0014087A"/>
    <w:rsid w:val="00141218"/>
    <w:rsid w:val="00141250"/>
    <w:rsid w:val="00141B8C"/>
    <w:rsid w:val="00142EF1"/>
    <w:rsid w:val="001436FA"/>
    <w:rsid w:val="001439D4"/>
    <w:rsid w:val="0014535B"/>
    <w:rsid w:val="001457DF"/>
    <w:rsid w:val="00145A84"/>
    <w:rsid w:val="00146146"/>
    <w:rsid w:val="00146285"/>
    <w:rsid w:val="001502B0"/>
    <w:rsid w:val="00150C82"/>
    <w:rsid w:val="001512A1"/>
    <w:rsid w:val="0015201D"/>
    <w:rsid w:val="00152972"/>
    <w:rsid w:val="00154AA9"/>
    <w:rsid w:val="00156257"/>
    <w:rsid w:val="0015628F"/>
    <w:rsid w:val="001564A2"/>
    <w:rsid w:val="00156D41"/>
    <w:rsid w:val="0015773F"/>
    <w:rsid w:val="001600E5"/>
    <w:rsid w:val="001601EF"/>
    <w:rsid w:val="00160592"/>
    <w:rsid w:val="0016061E"/>
    <w:rsid w:val="00160624"/>
    <w:rsid w:val="00160989"/>
    <w:rsid w:val="0016177D"/>
    <w:rsid w:val="00161B43"/>
    <w:rsid w:val="00162C36"/>
    <w:rsid w:val="00162CBF"/>
    <w:rsid w:val="00163932"/>
    <w:rsid w:val="00163B5E"/>
    <w:rsid w:val="00163E0D"/>
    <w:rsid w:val="001643FA"/>
    <w:rsid w:val="001648F9"/>
    <w:rsid w:val="0016495B"/>
    <w:rsid w:val="0016539E"/>
    <w:rsid w:val="00165B94"/>
    <w:rsid w:val="00165F55"/>
    <w:rsid w:val="00166581"/>
    <w:rsid w:val="0016667D"/>
    <w:rsid w:val="00166A5E"/>
    <w:rsid w:val="0016721D"/>
    <w:rsid w:val="00170804"/>
    <w:rsid w:val="00170948"/>
    <w:rsid w:val="0017095A"/>
    <w:rsid w:val="00170D53"/>
    <w:rsid w:val="00172456"/>
    <w:rsid w:val="001731CB"/>
    <w:rsid w:val="001734BA"/>
    <w:rsid w:val="00173782"/>
    <w:rsid w:val="00174037"/>
    <w:rsid w:val="00174D3F"/>
    <w:rsid w:val="00174E50"/>
    <w:rsid w:val="00175AC7"/>
    <w:rsid w:val="0017764C"/>
    <w:rsid w:val="00177FA3"/>
    <w:rsid w:val="00180CB1"/>
    <w:rsid w:val="001810AA"/>
    <w:rsid w:val="00181385"/>
    <w:rsid w:val="001814B0"/>
    <w:rsid w:val="001819F5"/>
    <w:rsid w:val="00182380"/>
    <w:rsid w:val="00182804"/>
    <w:rsid w:val="00182952"/>
    <w:rsid w:val="0018399A"/>
    <w:rsid w:val="00184122"/>
    <w:rsid w:val="00184986"/>
    <w:rsid w:val="001856F2"/>
    <w:rsid w:val="00185B8C"/>
    <w:rsid w:val="00186550"/>
    <w:rsid w:val="0018673F"/>
    <w:rsid w:val="00186C85"/>
    <w:rsid w:val="001871B4"/>
    <w:rsid w:val="00187613"/>
    <w:rsid w:val="0018764E"/>
    <w:rsid w:val="0018793E"/>
    <w:rsid w:val="0019009B"/>
    <w:rsid w:val="00190E53"/>
    <w:rsid w:val="00191558"/>
    <w:rsid w:val="001918AF"/>
    <w:rsid w:val="001923AA"/>
    <w:rsid w:val="00192663"/>
    <w:rsid w:val="0019297D"/>
    <w:rsid w:val="00192997"/>
    <w:rsid w:val="0019333C"/>
    <w:rsid w:val="00193792"/>
    <w:rsid w:val="001937E8"/>
    <w:rsid w:val="00193B2B"/>
    <w:rsid w:val="00193DCC"/>
    <w:rsid w:val="001942FE"/>
    <w:rsid w:val="0019475E"/>
    <w:rsid w:val="001947BC"/>
    <w:rsid w:val="001963D6"/>
    <w:rsid w:val="001969AC"/>
    <w:rsid w:val="0019708A"/>
    <w:rsid w:val="00197861"/>
    <w:rsid w:val="00197D36"/>
    <w:rsid w:val="001A0808"/>
    <w:rsid w:val="001A1CE7"/>
    <w:rsid w:val="001A2305"/>
    <w:rsid w:val="001A2595"/>
    <w:rsid w:val="001A260C"/>
    <w:rsid w:val="001A2787"/>
    <w:rsid w:val="001A2CE4"/>
    <w:rsid w:val="001A3341"/>
    <w:rsid w:val="001A4B7C"/>
    <w:rsid w:val="001A4E70"/>
    <w:rsid w:val="001A539A"/>
    <w:rsid w:val="001A5901"/>
    <w:rsid w:val="001A616C"/>
    <w:rsid w:val="001A6290"/>
    <w:rsid w:val="001A66B1"/>
    <w:rsid w:val="001A67DA"/>
    <w:rsid w:val="001A6E04"/>
    <w:rsid w:val="001A740F"/>
    <w:rsid w:val="001A764E"/>
    <w:rsid w:val="001A7B4E"/>
    <w:rsid w:val="001A7F81"/>
    <w:rsid w:val="001B0AE8"/>
    <w:rsid w:val="001B11EE"/>
    <w:rsid w:val="001B1306"/>
    <w:rsid w:val="001B1B15"/>
    <w:rsid w:val="001B1C7B"/>
    <w:rsid w:val="001B1D74"/>
    <w:rsid w:val="001B24E4"/>
    <w:rsid w:val="001B2D05"/>
    <w:rsid w:val="001B3203"/>
    <w:rsid w:val="001B3231"/>
    <w:rsid w:val="001B3DFB"/>
    <w:rsid w:val="001B430D"/>
    <w:rsid w:val="001B4DCB"/>
    <w:rsid w:val="001B4E2D"/>
    <w:rsid w:val="001B62F0"/>
    <w:rsid w:val="001B694A"/>
    <w:rsid w:val="001B6B68"/>
    <w:rsid w:val="001B7596"/>
    <w:rsid w:val="001B7ACB"/>
    <w:rsid w:val="001C01DA"/>
    <w:rsid w:val="001C06FC"/>
    <w:rsid w:val="001C0946"/>
    <w:rsid w:val="001C19EB"/>
    <w:rsid w:val="001C22D0"/>
    <w:rsid w:val="001C281E"/>
    <w:rsid w:val="001C2D7C"/>
    <w:rsid w:val="001C30F1"/>
    <w:rsid w:val="001C3732"/>
    <w:rsid w:val="001C5334"/>
    <w:rsid w:val="001C752E"/>
    <w:rsid w:val="001C7997"/>
    <w:rsid w:val="001C7ECE"/>
    <w:rsid w:val="001D0ADD"/>
    <w:rsid w:val="001D0E3E"/>
    <w:rsid w:val="001D0F5D"/>
    <w:rsid w:val="001D1DCC"/>
    <w:rsid w:val="001D1DE1"/>
    <w:rsid w:val="001D1EA4"/>
    <w:rsid w:val="001D25C4"/>
    <w:rsid w:val="001D272B"/>
    <w:rsid w:val="001D2B02"/>
    <w:rsid w:val="001D3145"/>
    <w:rsid w:val="001D3AC5"/>
    <w:rsid w:val="001D455F"/>
    <w:rsid w:val="001D4EB5"/>
    <w:rsid w:val="001D6A60"/>
    <w:rsid w:val="001D72E0"/>
    <w:rsid w:val="001D75FC"/>
    <w:rsid w:val="001D79B7"/>
    <w:rsid w:val="001E070C"/>
    <w:rsid w:val="001E2339"/>
    <w:rsid w:val="001E3589"/>
    <w:rsid w:val="001E393C"/>
    <w:rsid w:val="001E3A31"/>
    <w:rsid w:val="001E451B"/>
    <w:rsid w:val="001E4F81"/>
    <w:rsid w:val="001E5152"/>
    <w:rsid w:val="001E5692"/>
    <w:rsid w:val="001E5B83"/>
    <w:rsid w:val="001E616A"/>
    <w:rsid w:val="001E7F57"/>
    <w:rsid w:val="001E7FAA"/>
    <w:rsid w:val="001F0149"/>
    <w:rsid w:val="001F1488"/>
    <w:rsid w:val="001F20C9"/>
    <w:rsid w:val="001F287C"/>
    <w:rsid w:val="001F2C1B"/>
    <w:rsid w:val="001F5874"/>
    <w:rsid w:val="001F673C"/>
    <w:rsid w:val="001F6BE7"/>
    <w:rsid w:val="001F7D65"/>
    <w:rsid w:val="002006B6"/>
    <w:rsid w:val="002007C8"/>
    <w:rsid w:val="002008B5"/>
    <w:rsid w:val="00200E47"/>
    <w:rsid w:val="00201002"/>
    <w:rsid w:val="00201192"/>
    <w:rsid w:val="00201604"/>
    <w:rsid w:val="00202869"/>
    <w:rsid w:val="00203A66"/>
    <w:rsid w:val="00203EE0"/>
    <w:rsid w:val="00205868"/>
    <w:rsid w:val="0020633A"/>
    <w:rsid w:val="00207247"/>
    <w:rsid w:val="0020731E"/>
    <w:rsid w:val="00207AC6"/>
    <w:rsid w:val="00210065"/>
    <w:rsid w:val="002103AC"/>
    <w:rsid w:val="002112E9"/>
    <w:rsid w:val="002117DA"/>
    <w:rsid w:val="00213E75"/>
    <w:rsid w:val="00214319"/>
    <w:rsid w:val="00214AF5"/>
    <w:rsid w:val="00215132"/>
    <w:rsid w:val="0021647B"/>
    <w:rsid w:val="00216A7F"/>
    <w:rsid w:val="002174FD"/>
    <w:rsid w:val="00217903"/>
    <w:rsid w:val="00217D0B"/>
    <w:rsid w:val="00221376"/>
    <w:rsid w:val="002217DC"/>
    <w:rsid w:val="002217FC"/>
    <w:rsid w:val="00221A85"/>
    <w:rsid w:val="00221D0F"/>
    <w:rsid w:val="002227DC"/>
    <w:rsid w:val="00223044"/>
    <w:rsid w:val="00223720"/>
    <w:rsid w:val="00223BFF"/>
    <w:rsid w:val="00225242"/>
    <w:rsid w:val="002258A2"/>
    <w:rsid w:val="00225E12"/>
    <w:rsid w:val="00226295"/>
    <w:rsid w:val="002263BC"/>
    <w:rsid w:val="002263FF"/>
    <w:rsid w:val="0022651B"/>
    <w:rsid w:val="002266C7"/>
    <w:rsid w:val="0022708C"/>
    <w:rsid w:val="0022724B"/>
    <w:rsid w:val="00227A38"/>
    <w:rsid w:val="00227D61"/>
    <w:rsid w:val="00230C67"/>
    <w:rsid w:val="00230E46"/>
    <w:rsid w:val="00231BE1"/>
    <w:rsid w:val="00231C66"/>
    <w:rsid w:val="002324EA"/>
    <w:rsid w:val="002329FC"/>
    <w:rsid w:val="00232C28"/>
    <w:rsid w:val="00232D3D"/>
    <w:rsid w:val="00232EF4"/>
    <w:rsid w:val="002330A6"/>
    <w:rsid w:val="00234AB0"/>
    <w:rsid w:val="00234FB7"/>
    <w:rsid w:val="0023565B"/>
    <w:rsid w:val="002356A0"/>
    <w:rsid w:val="002359A9"/>
    <w:rsid w:val="00236585"/>
    <w:rsid w:val="0023706C"/>
    <w:rsid w:val="0023778B"/>
    <w:rsid w:val="00240567"/>
    <w:rsid w:val="0024057B"/>
    <w:rsid w:val="00240C7C"/>
    <w:rsid w:val="002410FE"/>
    <w:rsid w:val="002415F9"/>
    <w:rsid w:val="00241909"/>
    <w:rsid w:val="0024207C"/>
    <w:rsid w:val="00242CC0"/>
    <w:rsid w:val="00242E30"/>
    <w:rsid w:val="00242F60"/>
    <w:rsid w:val="00243596"/>
    <w:rsid w:val="00243C1F"/>
    <w:rsid w:val="0024460A"/>
    <w:rsid w:val="00244872"/>
    <w:rsid w:val="002458C9"/>
    <w:rsid w:val="00246490"/>
    <w:rsid w:val="002465B5"/>
    <w:rsid w:val="002520DC"/>
    <w:rsid w:val="00252977"/>
    <w:rsid w:val="00253901"/>
    <w:rsid w:val="00253D84"/>
    <w:rsid w:val="00254420"/>
    <w:rsid w:val="00254AB4"/>
    <w:rsid w:val="0025636D"/>
    <w:rsid w:val="002566F7"/>
    <w:rsid w:val="002575DA"/>
    <w:rsid w:val="00257AD4"/>
    <w:rsid w:val="002600EC"/>
    <w:rsid w:val="0026021D"/>
    <w:rsid w:val="00260274"/>
    <w:rsid w:val="00261397"/>
    <w:rsid w:val="00261720"/>
    <w:rsid w:val="002624ED"/>
    <w:rsid w:val="002625B3"/>
    <w:rsid w:val="00262F1B"/>
    <w:rsid w:val="00263B7D"/>
    <w:rsid w:val="00264F75"/>
    <w:rsid w:val="00265073"/>
    <w:rsid w:val="0026633D"/>
    <w:rsid w:val="002673BE"/>
    <w:rsid w:val="0026775A"/>
    <w:rsid w:val="0027091C"/>
    <w:rsid w:val="00270E25"/>
    <w:rsid w:val="00271342"/>
    <w:rsid w:val="00271C80"/>
    <w:rsid w:val="00271D53"/>
    <w:rsid w:val="00272096"/>
    <w:rsid w:val="0027262E"/>
    <w:rsid w:val="00272C99"/>
    <w:rsid w:val="0027356A"/>
    <w:rsid w:val="002736F4"/>
    <w:rsid w:val="00273A7E"/>
    <w:rsid w:val="002743DD"/>
    <w:rsid w:val="0027450D"/>
    <w:rsid w:val="00274547"/>
    <w:rsid w:val="00274DCF"/>
    <w:rsid w:val="002751F6"/>
    <w:rsid w:val="002762FF"/>
    <w:rsid w:val="00276306"/>
    <w:rsid w:val="00280B39"/>
    <w:rsid w:val="00281689"/>
    <w:rsid w:val="002816CE"/>
    <w:rsid w:val="002817F3"/>
    <w:rsid w:val="00283BF2"/>
    <w:rsid w:val="00283DD8"/>
    <w:rsid w:val="002845B1"/>
    <w:rsid w:val="002845BC"/>
    <w:rsid w:val="00284E3B"/>
    <w:rsid w:val="00285B44"/>
    <w:rsid w:val="00285C98"/>
    <w:rsid w:val="002867A2"/>
    <w:rsid w:val="00290875"/>
    <w:rsid w:val="00292454"/>
    <w:rsid w:val="002935B1"/>
    <w:rsid w:val="00293693"/>
    <w:rsid w:val="002936FC"/>
    <w:rsid w:val="00293E56"/>
    <w:rsid w:val="00296A3F"/>
    <w:rsid w:val="0029759B"/>
    <w:rsid w:val="00297BDB"/>
    <w:rsid w:val="00297E12"/>
    <w:rsid w:val="002A0F2C"/>
    <w:rsid w:val="002A120A"/>
    <w:rsid w:val="002A14DA"/>
    <w:rsid w:val="002A181C"/>
    <w:rsid w:val="002A1A84"/>
    <w:rsid w:val="002A29F6"/>
    <w:rsid w:val="002A2D26"/>
    <w:rsid w:val="002A31DF"/>
    <w:rsid w:val="002A32D7"/>
    <w:rsid w:val="002A43CD"/>
    <w:rsid w:val="002A45A9"/>
    <w:rsid w:val="002A482E"/>
    <w:rsid w:val="002A4D6F"/>
    <w:rsid w:val="002A4DAA"/>
    <w:rsid w:val="002A53DE"/>
    <w:rsid w:val="002A5713"/>
    <w:rsid w:val="002A653E"/>
    <w:rsid w:val="002A6BE4"/>
    <w:rsid w:val="002A6CF8"/>
    <w:rsid w:val="002A6FFE"/>
    <w:rsid w:val="002A70B3"/>
    <w:rsid w:val="002A7450"/>
    <w:rsid w:val="002A7B6B"/>
    <w:rsid w:val="002B03BD"/>
    <w:rsid w:val="002B04D6"/>
    <w:rsid w:val="002B23F0"/>
    <w:rsid w:val="002B2C77"/>
    <w:rsid w:val="002B3165"/>
    <w:rsid w:val="002B3BE2"/>
    <w:rsid w:val="002B3C2B"/>
    <w:rsid w:val="002B4468"/>
    <w:rsid w:val="002B450D"/>
    <w:rsid w:val="002B4A05"/>
    <w:rsid w:val="002B4AB1"/>
    <w:rsid w:val="002B4E75"/>
    <w:rsid w:val="002B51BC"/>
    <w:rsid w:val="002B5FF9"/>
    <w:rsid w:val="002B6F2F"/>
    <w:rsid w:val="002B715E"/>
    <w:rsid w:val="002B72FC"/>
    <w:rsid w:val="002B7818"/>
    <w:rsid w:val="002B7EBB"/>
    <w:rsid w:val="002C01F0"/>
    <w:rsid w:val="002C02F1"/>
    <w:rsid w:val="002C1A18"/>
    <w:rsid w:val="002C20FE"/>
    <w:rsid w:val="002C4625"/>
    <w:rsid w:val="002C46C3"/>
    <w:rsid w:val="002C5424"/>
    <w:rsid w:val="002C6DE0"/>
    <w:rsid w:val="002C707C"/>
    <w:rsid w:val="002C719B"/>
    <w:rsid w:val="002C7F6C"/>
    <w:rsid w:val="002D07B2"/>
    <w:rsid w:val="002D1226"/>
    <w:rsid w:val="002D22F2"/>
    <w:rsid w:val="002D2EB2"/>
    <w:rsid w:val="002D3D55"/>
    <w:rsid w:val="002D419E"/>
    <w:rsid w:val="002D490F"/>
    <w:rsid w:val="002D498A"/>
    <w:rsid w:val="002D51FD"/>
    <w:rsid w:val="002D610E"/>
    <w:rsid w:val="002D6FE7"/>
    <w:rsid w:val="002D76A2"/>
    <w:rsid w:val="002D7DAD"/>
    <w:rsid w:val="002D7E1D"/>
    <w:rsid w:val="002E1118"/>
    <w:rsid w:val="002E1846"/>
    <w:rsid w:val="002E1860"/>
    <w:rsid w:val="002E2309"/>
    <w:rsid w:val="002E27ED"/>
    <w:rsid w:val="002E39FE"/>
    <w:rsid w:val="002E3A54"/>
    <w:rsid w:val="002E507D"/>
    <w:rsid w:val="002E5644"/>
    <w:rsid w:val="002E5AB0"/>
    <w:rsid w:val="002E5C49"/>
    <w:rsid w:val="002E6235"/>
    <w:rsid w:val="002E6D3C"/>
    <w:rsid w:val="002E7162"/>
    <w:rsid w:val="002E7ED6"/>
    <w:rsid w:val="002F07D8"/>
    <w:rsid w:val="002F1A87"/>
    <w:rsid w:val="002F1C7A"/>
    <w:rsid w:val="002F25E3"/>
    <w:rsid w:val="002F3C4B"/>
    <w:rsid w:val="002F4BA9"/>
    <w:rsid w:val="002F5676"/>
    <w:rsid w:val="002F57A9"/>
    <w:rsid w:val="002F6289"/>
    <w:rsid w:val="002F684D"/>
    <w:rsid w:val="002F7227"/>
    <w:rsid w:val="002F7433"/>
    <w:rsid w:val="002F78F1"/>
    <w:rsid w:val="00300920"/>
    <w:rsid w:val="00300D3F"/>
    <w:rsid w:val="00301A08"/>
    <w:rsid w:val="0030244C"/>
    <w:rsid w:val="0030270A"/>
    <w:rsid w:val="00302B08"/>
    <w:rsid w:val="00302B85"/>
    <w:rsid w:val="003031DB"/>
    <w:rsid w:val="0030369C"/>
    <w:rsid w:val="00304110"/>
    <w:rsid w:val="0030469D"/>
    <w:rsid w:val="003054A9"/>
    <w:rsid w:val="0030620D"/>
    <w:rsid w:val="00306498"/>
    <w:rsid w:val="0030771A"/>
    <w:rsid w:val="0031127C"/>
    <w:rsid w:val="00311A40"/>
    <w:rsid w:val="003123E6"/>
    <w:rsid w:val="003129A4"/>
    <w:rsid w:val="00312AC1"/>
    <w:rsid w:val="00312C52"/>
    <w:rsid w:val="003138BD"/>
    <w:rsid w:val="00313AF8"/>
    <w:rsid w:val="00313C7E"/>
    <w:rsid w:val="00313F8F"/>
    <w:rsid w:val="00314014"/>
    <w:rsid w:val="003152E4"/>
    <w:rsid w:val="003154FE"/>
    <w:rsid w:val="003166B7"/>
    <w:rsid w:val="00317514"/>
    <w:rsid w:val="00320390"/>
    <w:rsid w:val="00320944"/>
    <w:rsid w:val="00320B7C"/>
    <w:rsid w:val="0032118B"/>
    <w:rsid w:val="003211C1"/>
    <w:rsid w:val="003220D5"/>
    <w:rsid w:val="00322167"/>
    <w:rsid w:val="003221C1"/>
    <w:rsid w:val="0032289E"/>
    <w:rsid w:val="00322C9D"/>
    <w:rsid w:val="00322E61"/>
    <w:rsid w:val="0032305C"/>
    <w:rsid w:val="00324240"/>
    <w:rsid w:val="00324CDA"/>
    <w:rsid w:val="00325789"/>
    <w:rsid w:val="003267D6"/>
    <w:rsid w:val="00327174"/>
    <w:rsid w:val="00327519"/>
    <w:rsid w:val="0032752B"/>
    <w:rsid w:val="0033006B"/>
    <w:rsid w:val="00330FCD"/>
    <w:rsid w:val="00331149"/>
    <w:rsid w:val="0033172C"/>
    <w:rsid w:val="00331763"/>
    <w:rsid w:val="00332A17"/>
    <w:rsid w:val="00333799"/>
    <w:rsid w:val="00333DF0"/>
    <w:rsid w:val="003346F7"/>
    <w:rsid w:val="0033599C"/>
    <w:rsid w:val="003368BD"/>
    <w:rsid w:val="00336B23"/>
    <w:rsid w:val="003371CA"/>
    <w:rsid w:val="00337456"/>
    <w:rsid w:val="00341124"/>
    <w:rsid w:val="003415B3"/>
    <w:rsid w:val="0034186E"/>
    <w:rsid w:val="003423C8"/>
    <w:rsid w:val="0034271F"/>
    <w:rsid w:val="00342D71"/>
    <w:rsid w:val="00343BA5"/>
    <w:rsid w:val="00343C3D"/>
    <w:rsid w:val="00344131"/>
    <w:rsid w:val="00344960"/>
    <w:rsid w:val="00344A68"/>
    <w:rsid w:val="003451E4"/>
    <w:rsid w:val="00345948"/>
    <w:rsid w:val="003459B8"/>
    <w:rsid w:val="00345E69"/>
    <w:rsid w:val="003475D6"/>
    <w:rsid w:val="00350692"/>
    <w:rsid w:val="00351682"/>
    <w:rsid w:val="00351BE8"/>
    <w:rsid w:val="00351D55"/>
    <w:rsid w:val="003526A4"/>
    <w:rsid w:val="00352B19"/>
    <w:rsid w:val="00354F62"/>
    <w:rsid w:val="00355E93"/>
    <w:rsid w:val="00355FBE"/>
    <w:rsid w:val="00357D10"/>
    <w:rsid w:val="003609C4"/>
    <w:rsid w:val="0036133C"/>
    <w:rsid w:val="00361513"/>
    <w:rsid w:val="003616F7"/>
    <w:rsid w:val="003617B3"/>
    <w:rsid w:val="003619E5"/>
    <w:rsid w:val="00361F29"/>
    <w:rsid w:val="0036204E"/>
    <w:rsid w:val="003626A6"/>
    <w:rsid w:val="003635EE"/>
    <w:rsid w:val="003648E4"/>
    <w:rsid w:val="00364EBE"/>
    <w:rsid w:val="0036544F"/>
    <w:rsid w:val="00365838"/>
    <w:rsid w:val="00365F7F"/>
    <w:rsid w:val="00366581"/>
    <w:rsid w:val="00366F1A"/>
    <w:rsid w:val="00367C57"/>
    <w:rsid w:val="003718BE"/>
    <w:rsid w:val="00371E67"/>
    <w:rsid w:val="00372025"/>
    <w:rsid w:val="003721D6"/>
    <w:rsid w:val="003728A8"/>
    <w:rsid w:val="00372E38"/>
    <w:rsid w:val="003736D2"/>
    <w:rsid w:val="00373DCD"/>
    <w:rsid w:val="00373F2E"/>
    <w:rsid w:val="0037466D"/>
    <w:rsid w:val="00375B88"/>
    <w:rsid w:val="00375BBF"/>
    <w:rsid w:val="00376957"/>
    <w:rsid w:val="00376C0D"/>
    <w:rsid w:val="00376C27"/>
    <w:rsid w:val="00380356"/>
    <w:rsid w:val="0038064E"/>
    <w:rsid w:val="00380BD1"/>
    <w:rsid w:val="00380C2C"/>
    <w:rsid w:val="00380D4E"/>
    <w:rsid w:val="00381119"/>
    <w:rsid w:val="00381188"/>
    <w:rsid w:val="00381A8C"/>
    <w:rsid w:val="00381F86"/>
    <w:rsid w:val="003823D8"/>
    <w:rsid w:val="00384895"/>
    <w:rsid w:val="00384BC2"/>
    <w:rsid w:val="00384E81"/>
    <w:rsid w:val="00385409"/>
    <w:rsid w:val="0038670C"/>
    <w:rsid w:val="00386C4F"/>
    <w:rsid w:val="00387082"/>
    <w:rsid w:val="00387B54"/>
    <w:rsid w:val="00387D02"/>
    <w:rsid w:val="00387D49"/>
    <w:rsid w:val="003920BF"/>
    <w:rsid w:val="0039288F"/>
    <w:rsid w:val="00392F35"/>
    <w:rsid w:val="003933C0"/>
    <w:rsid w:val="00393449"/>
    <w:rsid w:val="00393554"/>
    <w:rsid w:val="003941E0"/>
    <w:rsid w:val="00395B7F"/>
    <w:rsid w:val="00395BC3"/>
    <w:rsid w:val="00395FBF"/>
    <w:rsid w:val="0039687B"/>
    <w:rsid w:val="00396F89"/>
    <w:rsid w:val="00397518"/>
    <w:rsid w:val="00397B86"/>
    <w:rsid w:val="003A0029"/>
    <w:rsid w:val="003A18CC"/>
    <w:rsid w:val="003A1C6A"/>
    <w:rsid w:val="003A2933"/>
    <w:rsid w:val="003A2BB3"/>
    <w:rsid w:val="003A2CD4"/>
    <w:rsid w:val="003A3361"/>
    <w:rsid w:val="003A33F1"/>
    <w:rsid w:val="003A4C44"/>
    <w:rsid w:val="003A56E5"/>
    <w:rsid w:val="003A6244"/>
    <w:rsid w:val="003A672F"/>
    <w:rsid w:val="003A74C7"/>
    <w:rsid w:val="003B02AD"/>
    <w:rsid w:val="003B04E8"/>
    <w:rsid w:val="003B05AA"/>
    <w:rsid w:val="003B1A33"/>
    <w:rsid w:val="003B2943"/>
    <w:rsid w:val="003B2F46"/>
    <w:rsid w:val="003B3525"/>
    <w:rsid w:val="003B3F0F"/>
    <w:rsid w:val="003B47CD"/>
    <w:rsid w:val="003B53D4"/>
    <w:rsid w:val="003B54A0"/>
    <w:rsid w:val="003B5547"/>
    <w:rsid w:val="003B5AE1"/>
    <w:rsid w:val="003B5D6B"/>
    <w:rsid w:val="003B5E15"/>
    <w:rsid w:val="003B79DE"/>
    <w:rsid w:val="003C038D"/>
    <w:rsid w:val="003C0A5E"/>
    <w:rsid w:val="003C0B4B"/>
    <w:rsid w:val="003C0BFE"/>
    <w:rsid w:val="003C1F19"/>
    <w:rsid w:val="003C26E1"/>
    <w:rsid w:val="003C3063"/>
    <w:rsid w:val="003C37B4"/>
    <w:rsid w:val="003C402A"/>
    <w:rsid w:val="003C43F1"/>
    <w:rsid w:val="003C6AF0"/>
    <w:rsid w:val="003C6E54"/>
    <w:rsid w:val="003C6EDB"/>
    <w:rsid w:val="003C6F64"/>
    <w:rsid w:val="003C6FB8"/>
    <w:rsid w:val="003C716B"/>
    <w:rsid w:val="003C754B"/>
    <w:rsid w:val="003C7A73"/>
    <w:rsid w:val="003C7B35"/>
    <w:rsid w:val="003D085C"/>
    <w:rsid w:val="003D0BD7"/>
    <w:rsid w:val="003D0D47"/>
    <w:rsid w:val="003D12B4"/>
    <w:rsid w:val="003D4269"/>
    <w:rsid w:val="003D44CE"/>
    <w:rsid w:val="003D5BF5"/>
    <w:rsid w:val="003D5DD6"/>
    <w:rsid w:val="003D61F4"/>
    <w:rsid w:val="003D63B0"/>
    <w:rsid w:val="003D68AD"/>
    <w:rsid w:val="003D6AAA"/>
    <w:rsid w:val="003D6B53"/>
    <w:rsid w:val="003D6CB3"/>
    <w:rsid w:val="003D6ED0"/>
    <w:rsid w:val="003D7E2A"/>
    <w:rsid w:val="003D7EE0"/>
    <w:rsid w:val="003E0B14"/>
    <w:rsid w:val="003E22FC"/>
    <w:rsid w:val="003E291C"/>
    <w:rsid w:val="003E2BBF"/>
    <w:rsid w:val="003E3018"/>
    <w:rsid w:val="003E38A2"/>
    <w:rsid w:val="003E3E70"/>
    <w:rsid w:val="003E4997"/>
    <w:rsid w:val="003E4AAF"/>
    <w:rsid w:val="003E4DDA"/>
    <w:rsid w:val="003E55EF"/>
    <w:rsid w:val="003E5A50"/>
    <w:rsid w:val="003E6F97"/>
    <w:rsid w:val="003E7161"/>
    <w:rsid w:val="003F0CBA"/>
    <w:rsid w:val="003F0EEC"/>
    <w:rsid w:val="003F1538"/>
    <w:rsid w:val="003F163B"/>
    <w:rsid w:val="003F20A1"/>
    <w:rsid w:val="003F34C2"/>
    <w:rsid w:val="003F3A62"/>
    <w:rsid w:val="003F404C"/>
    <w:rsid w:val="003F4181"/>
    <w:rsid w:val="003F45CE"/>
    <w:rsid w:val="003F554E"/>
    <w:rsid w:val="003F559A"/>
    <w:rsid w:val="003F6A6F"/>
    <w:rsid w:val="003F74E2"/>
    <w:rsid w:val="003F7DB2"/>
    <w:rsid w:val="0040047B"/>
    <w:rsid w:val="004005E6"/>
    <w:rsid w:val="00401941"/>
    <w:rsid w:val="00401C04"/>
    <w:rsid w:val="00401D85"/>
    <w:rsid w:val="00402F9A"/>
    <w:rsid w:val="00403410"/>
    <w:rsid w:val="00403DC0"/>
    <w:rsid w:val="004043FE"/>
    <w:rsid w:val="004049A2"/>
    <w:rsid w:val="00404B79"/>
    <w:rsid w:val="0040526B"/>
    <w:rsid w:val="004055CA"/>
    <w:rsid w:val="00405ACB"/>
    <w:rsid w:val="00405C8F"/>
    <w:rsid w:val="00405FCB"/>
    <w:rsid w:val="00407AD3"/>
    <w:rsid w:val="00407CFD"/>
    <w:rsid w:val="00407F8B"/>
    <w:rsid w:val="004101BF"/>
    <w:rsid w:val="00411240"/>
    <w:rsid w:val="004115A1"/>
    <w:rsid w:val="00411FAC"/>
    <w:rsid w:val="004129C2"/>
    <w:rsid w:val="00412BDC"/>
    <w:rsid w:val="0041338A"/>
    <w:rsid w:val="00413E72"/>
    <w:rsid w:val="004152EE"/>
    <w:rsid w:val="00415629"/>
    <w:rsid w:val="00415B5C"/>
    <w:rsid w:val="00417584"/>
    <w:rsid w:val="004176D2"/>
    <w:rsid w:val="00417A13"/>
    <w:rsid w:val="00420D78"/>
    <w:rsid w:val="004212B2"/>
    <w:rsid w:val="00421832"/>
    <w:rsid w:val="00421E2C"/>
    <w:rsid w:val="0042244D"/>
    <w:rsid w:val="00423882"/>
    <w:rsid w:val="00423B2A"/>
    <w:rsid w:val="004242F3"/>
    <w:rsid w:val="00424625"/>
    <w:rsid w:val="00424DD0"/>
    <w:rsid w:val="00425050"/>
    <w:rsid w:val="004253B2"/>
    <w:rsid w:val="00425558"/>
    <w:rsid w:val="00425D91"/>
    <w:rsid w:val="004264BA"/>
    <w:rsid w:val="00426697"/>
    <w:rsid w:val="004266BC"/>
    <w:rsid w:val="0042741B"/>
    <w:rsid w:val="0043063B"/>
    <w:rsid w:val="0043101F"/>
    <w:rsid w:val="004311D6"/>
    <w:rsid w:val="004320C8"/>
    <w:rsid w:val="00433145"/>
    <w:rsid w:val="00433397"/>
    <w:rsid w:val="00434287"/>
    <w:rsid w:val="004346F5"/>
    <w:rsid w:val="00436345"/>
    <w:rsid w:val="00436848"/>
    <w:rsid w:val="004372D8"/>
    <w:rsid w:val="004408B4"/>
    <w:rsid w:val="004424E1"/>
    <w:rsid w:val="0044271D"/>
    <w:rsid w:val="00442D20"/>
    <w:rsid w:val="00443E68"/>
    <w:rsid w:val="00444F29"/>
    <w:rsid w:val="00445F87"/>
    <w:rsid w:val="0044715F"/>
    <w:rsid w:val="00447DD2"/>
    <w:rsid w:val="004500BE"/>
    <w:rsid w:val="0045048F"/>
    <w:rsid w:val="00450B23"/>
    <w:rsid w:val="00450C47"/>
    <w:rsid w:val="00450F4D"/>
    <w:rsid w:val="0045144A"/>
    <w:rsid w:val="00451C99"/>
    <w:rsid w:val="00453268"/>
    <w:rsid w:val="004547DF"/>
    <w:rsid w:val="00454DC7"/>
    <w:rsid w:val="004555AD"/>
    <w:rsid w:val="00455985"/>
    <w:rsid w:val="0045754D"/>
    <w:rsid w:val="004576CA"/>
    <w:rsid w:val="00457B62"/>
    <w:rsid w:val="00457FBB"/>
    <w:rsid w:val="00460087"/>
    <w:rsid w:val="0046072F"/>
    <w:rsid w:val="00461365"/>
    <w:rsid w:val="00462734"/>
    <w:rsid w:val="00462D86"/>
    <w:rsid w:val="00463C80"/>
    <w:rsid w:val="00463DFB"/>
    <w:rsid w:val="00464025"/>
    <w:rsid w:val="0046446A"/>
    <w:rsid w:val="004645A0"/>
    <w:rsid w:val="004656A3"/>
    <w:rsid w:val="0046687F"/>
    <w:rsid w:val="004669E2"/>
    <w:rsid w:val="00466B96"/>
    <w:rsid w:val="00466BBD"/>
    <w:rsid w:val="00466D03"/>
    <w:rsid w:val="00466DDF"/>
    <w:rsid w:val="0046753F"/>
    <w:rsid w:val="004679E8"/>
    <w:rsid w:val="00470A53"/>
    <w:rsid w:val="00470A56"/>
    <w:rsid w:val="00470EB0"/>
    <w:rsid w:val="00471CE0"/>
    <w:rsid w:val="00471E91"/>
    <w:rsid w:val="0047230A"/>
    <w:rsid w:val="004725A9"/>
    <w:rsid w:val="0047266A"/>
    <w:rsid w:val="004726B0"/>
    <w:rsid w:val="00473292"/>
    <w:rsid w:val="0047408B"/>
    <w:rsid w:val="004758E8"/>
    <w:rsid w:val="00475CEC"/>
    <w:rsid w:val="00476BF1"/>
    <w:rsid w:val="00476FAF"/>
    <w:rsid w:val="00477795"/>
    <w:rsid w:val="00477C04"/>
    <w:rsid w:val="00477E62"/>
    <w:rsid w:val="00477FBC"/>
    <w:rsid w:val="004808B3"/>
    <w:rsid w:val="00481BFC"/>
    <w:rsid w:val="00482031"/>
    <w:rsid w:val="00482B62"/>
    <w:rsid w:val="004830A4"/>
    <w:rsid w:val="004837E4"/>
    <w:rsid w:val="0048445E"/>
    <w:rsid w:val="0048454C"/>
    <w:rsid w:val="00484A89"/>
    <w:rsid w:val="00485598"/>
    <w:rsid w:val="00485E21"/>
    <w:rsid w:val="00485F62"/>
    <w:rsid w:val="00486169"/>
    <w:rsid w:val="004867A9"/>
    <w:rsid w:val="004877CB"/>
    <w:rsid w:val="00487C4D"/>
    <w:rsid w:val="00490C08"/>
    <w:rsid w:val="00490E43"/>
    <w:rsid w:val="0049139F"/>
    <w:rsid w:val="00491D62"/>
    <w:rsid w:val="004924AB"/>
    <w:rsid w:val="0049312C"/>
    <w:rsid w:val="004938DA"/>
    <w:rsid w:val="0049409E"/>
    <w:rsid w:val="00494A40"/>
    <w:rsid w:val="00494B40"/>
    <w:rsid w:val="00494F1C"/>
    <w:rsid w:val="00495587"/>
    <w:rsid w:val="00495BB4"/>
    <w:rsid w:val="00497FB5"/>
    <w:rsid w:val="004A0313"/>
    <w:rsid w:val="004A132F"/>
    <w:rsid w:val="004A2239"/>
    <w:rsid w:val="004A2ADD"/>
    <w:rsid w:val="004A40D7"/>
    <w:rsid w:val="004A4185"/>
    <w:rsid w:val="004A42B2"/>
    <w:rsid w:val="004A4404"/>
    <w:rsid w:val="004A4445"/>
    <w:rsid w:val="004A4A43"/>
    <w:rsid w:val="004A591C"/>
    <w:rsid w:val="004A5F70"/>
    <w:rsid w:val="004A6402"/>
    <w:rsid w:val="004A687F"/>
    <w:rsid w:val="004A6F13"/>
    <w:rsid w:val="004B0A20"/>
    <w:rsid w:val="004B16D4"/>
    <w:rsid w:val="004B1A6A"/>
    <w:rsid w:val="004B21DD"/>
    <w:rsid w:val="004B2759"/>
    <w:rsid w:val="004B2F66"/>
    <w:rsid w:val="004B382B"/>
    <w:rsid w:val="004B39B8"/>
    <w:rsid w:val="004B39B9"/>
    <w:rsid w:val="004B4441"/>
    <w:rsid w:val="004B4A36"/>
    <w:rsid w:val="004B4F1E"/>
    <w:rsid w:val="004B57E1"/>
    <w:rsid w:val="004B6324"/>
    <w:rsid w:val="004B655B"/>
    <w:rsid w:val="004B6B0A"/>
    <w:rsid w:val="004B7B65"/>
    <w:rsid w:val="004B7C8E"/>
    <w:rsid w:val="004B7DE9"/>
    <w:rsid w:val="004C0266"/>
    <w:rsid w:val="004C14D5"/>
    <w:rsid w:val="004C1D01"/>
    <w:rsid w:val="004C2A75"/>
    <w:rsid w:val="004C45BE"/>
    <w:rsid w:val="004C4E3B"/>
    <w:rsid w:val="004C5D80"/>
    <w:rsid w:val="004C606A"/>
    <w:rsid w:val="004C653B"/>
    <w:rsid w:val="004C6A4B"/>
    <w:rsid w:val="004C6B87"/>
    <w:rsid w:val="004C6BE9"/>
    <w:rsid w:val="004C73FA"/>
    <w:rsid w:val="004C78F6"/>
    <w:rsid w:val="004C7F66"/>
    <w:rsid w:val="004D0A4D"/>
    <w:rsid w:val="004D0E92"/>
    <w:rsid w:val="004D156C"/>
    <w:rsid w:val="004D19A6"/>
    <w:rsid w:val="004D22EA"/>
    <w:rsid w:val="004D24A9"/>
    <w:rsid w:val="004D2EB3"/>
    <w:rsid w:val="004D3532"/>
    <w:rsid w:val="004D3730"/>
    <w:rsid w:val="004D5166"/>
    <w:rsid w:val="004D5459"/>
    <w:rsid w:val="004D60F6"/>
    <w:rsid w:val="004D66CA"/>
    <w:rsid w:val="004D7268"/>
    <w:rsid w:val="004D73A3"/>
    <w:rsid w:val="004E0671"/>
    <w:rsid w:val="004E11B1"/>
    <w:rsid w:val="004E18FC"/>
    <w:rsid w:val="004E1D3E"/>
    <w:rsid w:val="004E2904"/>
    <w:rsid w:val="004E2D63"/>
    <w:rsid w:val="004E2F76"/>
    <w:rsid w:val="004E39F3"/>
    <w:rsid w:val="004E41CD"/>
    <w:rsid w:val="004E4308"/>
    <w:rsid w:val="004E44E2"/>
    <w:rsid w:val="004E47EB"/>
    <w:rsid w:val="004E4843"/>
    <w:rsid w:val="004E543C"/>
    <w:rsid w:val="004E6AC3"/>
    <w:rsid w:val="004E6D09"/>
    <w:rsid w:val="004F0E09"/>
    <w:rsid w:val="004F1356"/>
    <w:rsid w:val="004F172F"/>
    <w:rsid w:val="004F27A3"/>
    <w:rsid w:val="004F2825"/>
    <w:rsid w:val="004F4214"/>
    <w:rsid w:val="004F449B"/>
    <w:rsid w:val="004F44AB"/>
    <w:rsid w:val="004F56A2"/>
    <w:rsid w:val="004F576B"/>
    <w:rsid w:val="004F5D35"/>
    <w:rsid w:val="004F5ED6"/>
    <w:rsid w:val="004F752C"/>
    <w:rsid w:val="004F7E94"/>
    <w:rsid w:val="005002CC"/>
    <w:rsid w:val="00500A2F"/>
    <w:rsid w:val="00502DBC"/>
    <w:rsid w:val="00503682"/>
    <w:rsid w:val="00503D9E"/>
    <w:rsid w:val="00504882"/>
    <w:rsid w:val="00504DC1"/>
    <w:rsid w:val="005051CF"/>
    <w:rsid w:val="005055EE"/>
    <w:rsid w:val="00505885"/>
    <w:rsid w:val="005059E1"/>
    <w:rsid w:val="00506129"/>
    <w:rsid w:val="00507361"/>
    <w:rsid w:val="00507BB4"/>
    <w:rsid w:val="00507D02"/>
    <w:rsid w:val="00507E86"/>
    <w:rsid w:val="00507F74"/>
    <w:rsid w:val="00507FA0"/>
    <w:rsid w:val="0051036D"/>
    <w:rsid w:val="00511563"/>
    <w:rsid w:val="00511A1A"/>
    <w:rsid w:val="00512406"/>
    <w:rsid w:val="00512E51"/>
    <w:rsid w:val="005146A3"/>
    <w:rsid w:val="005153EE"/>
    <w:rsid w:val="00515BB1"/>
    <w:rsid w:val="00515F54"/>
    <w:rsid w:val="005167AF"/>
    <w:rsid w:val="005167CC"/>
    <w:rsid w:val="005168A0"/>
    <w:rsid w:val="005178CF"/>
    <w:rsid w:val="005213EF"/>
    <w:rsid w:val="005217A8"/>
    <w:rsid w:val="00521C77"/>
    <w:rsid w:val="005229B8"/>
    <w:rsid w:val="00522DA5"/>
    <w:rsid w:val="00522F65"/>
    <w:rsid w:val="005232F2"/>
    <w:rsid w:val="005233D7"/>
    <w:rsid w:val="005245E6"/>
    <w:rsid w:val="00524677"/>
    <w:rsid w:val="005246F5"/>
    <w:rsid w:val="00525358"/>
    <w:rsid w:val="00525C0F"/>
    <w:rsid w:val="005267FD"/>
    <w:rsid w:val="00526DDB"/>
    <w:rsid w:val="00527313"/>
    <w:rsid w:val="00530603"/>
    <w:rsid w:val="00530DFA"/>
    <w:rsid w:val="00531D3A"/>
    <w:rsid w:val="0053206B"/>
    <w:rsid w:val="00532089"/>
    <w:rsid w:val="00532419"/>
    <w:rsid w:val="00532518"/>
    <w:rsid w:val="005335F6"/>
    <w:rsid w:val="00533ABF"/>
    <w:rsid w:val="00533E6C"/>
    <w:rsid w:val="00533E7C"/>
    <w:rsid w:val="00534108"/>
    <w:rsid w:val="0053414E"/>
    <w:rsid w:val="00534194"/>
    <w:rsid w:val="00534BD2"/>
    <w:rsid w:val="0053568D"/>
    <w:rsid w:val="00535A47"/>
    <w:rsid w:val="00536C0A"/>
    <w:rsid w:val="00536E68"/>
    <w:rsid w:val="00537F12"/>
    <w:rsid w:val="0054067A"/>
    <w:rsid w:val="00541646"/>
    <w:rsid w:val="005424A4"/>
    <w:rsid w:val="005424B8"/>
    <w:rsid w:val="00543373"/>
    <w:rsid w:val="0054343B"/>
    <w:rsid w:val="00543A46"/>
    <w:rsid w:val="00543D9E"/>
    <w:rsid w:val="0054565F"/>
    <w:rsid w:val="00545C04"/>
    <w:rsid w:val="005477CB"/>
    <w:rsid w:val="00550860"/>
    <w:rsid w:val="005512BC"/>
    <w:rsid w:val="005524F0"/>
    <w:rsid w:val="005533B5"/>
    <w:rsid w:val="00555705"/>
    <w:rsid w:val="00557B07"/>
    <w:rsid w:val="0056099C"/>
    <w:rsid w:val="00560D9E"/>
    <w:rsid w:val="00560DEB"/>
    <w:rsid w:val="005619EB"/>
    <w:rsid w:val="00561AD7"/>
    <w:rsid w:val="00562FCE"/>
    <w:rsid w:val="00563116"/>
    <w:rsid w:val="005639DF"/>
    <w:rsid w:val="005645CC"/>
    <w:rsid w:val="00565149"/>
    <w:rsid w:val="00566901"/>
    <w:rsid w:val="00566C9F"/>
    <w:rsid w:val="00567D55"/>
    <w:rsid w:val="00567E08"/>
    <w:rsid w:val="00570825"/>
    <w:rsid w:val="00570D4C"/>
    <w:rsid w:val="0057146C"/>
    <w:rsid w:val="00571AF9"/>
    <w:rsid w:val="00571F0D"/>
    <w:rsid w:val="005728B8"/>
    <w:rsid w:val="00572BE2"/>
    <w:rsid w:val="00573667"/>
    <w:rsid w:val="00573759"/>
    <w:rsid w:val="005737F3"/>
    <w:rsid w:val="00573ED0"/>
    <w:rsid w:val="005740E3"/>
    <w:rsid w:val="00574B4D"/>
    <w:rsid w:val="00575993"/>
    <w:rsid w:val="0057764E"/>
    <w:rsid w:val="00577A30"/>
    <w:rsid w:val="00580391"/>
    <w:rsid w:val="0058107A"/>
    <w:rsid w:val="005813B2"/>
    <w:rsid w:val="00581447"/>
    <w:rsid w:val="005814C8"/>
    <w:rsid w:val="005814ED"/>
    <w:rsid w:val="00582110"/>
    <w:rsid w:val="005822C6"/>
    <w:rsid w:val="005826A0"/>
    <w:rsid w:val="00582D94"/>
    <w:rsid w:val="00582DC1"/>
    <w:rsid w:val="00583D89"/>
    <w:rsid w:val="00584271"/>
    <w:rsid w:val="0058486D"/>
    <w:rsid w:val="00584FCD"/>
    <w:rsid w:val="00585077"/>
    <w:rsid w:val="00585459"/>
    <w:rsid w:val="005854E1"/>
    <w:rsid w:val="00585B57"/>
    <w:rsid w:val="00585F0B"/>
    <w:rsid w:val="00585FC0"/>
    <w:rsid w:val="00586FD9"/>
    <w:rsid w:val="005905BF"/>
    <w:rsid w:val="00591429"/>
    <w:rsid w:val="00592A6A"/>
    <w:rsid w:val="00592AC5"/>
    <w:rsid w:val="00592C54"/>
    <w:rsid w:val="00592E80"/>
    <w:rsid w:val="0059414A"/>
    <w:rsid w:val="00594628"/>
    <w:rsid w:val="005959CC"/>
    <w:rsid w:val="00595D75"/>
    <w:rsid w:val="005974D2"/>
    <w:rsid w:val="00597B71"/>
    <w:rsid w:val="005A0740"/>
    <w:rsid w:val="005A0B72"/>
    <w:rsid w:val="005A22ED"/>
    <w:rsid w:val="005A2E7A"/>
    <w:rsid w:val="005A3043"/>
    <w:rsid w:val="005A3673"/>
    <w:rsid w:val="005A4036"/>
    <w:rsid w:val="005A41FD"/>
    <w:rsid w:val="005A454B"/>
    <w:rsid w:val="005A4583"/>
    <w:rsid w:val="005A48B1"/>
    <w:rsid w:val="005A4EAF"/>
    <w:rsid w:val="005A5598"/>
    <w:rsid w:val="005A5C73"/>
    <w:rsid w:val="005A5DA1"/>
    <w:rsid w:val="005A61DE"/>
    <w:rsid w:val="005A71D8"/>
    <w:rsid w:val="005A758C"/>
    <w:rsid w:val="005A798F"/>
    <w:rsid w:val="005A7DF7"/>
    <w:rsid w:val="005B09D4"/>
    <w:rsid w:val="005B1F8D"/>
    <w:rsid w:val="005B281A"/>
    <w:rsid w:val="005B30FB"/>
    <w:rsid w:val="005B3100"/>
    <w:rsid w:val="005B3963"/>
    <w:rsid w:val="005B3B06"/>
    <w:rsid w:val="005B3D5C"/>
    <w:rsid w:val="005B51E6"/>
    <w:rsid w:val="005B524D"/>
    <w:rsid w:val="005B5A78"/>
    <w:rsid w:val="005B7586"/>
    <w:rsid w:val="005B789E"/>
    <w:rsid w:val="005C0D6D"/>
    <w:rsid w:val="005C12D8"/>
    <w:rsid w:val="005C14F6"/>
    <w:rsid w:val="005C3260"/>
    <w:rsid w:val="005C3B58"/>
    <w:rsid w:val="005C45B2"/>
    <w:rsid w:val="005C530C"/>
    <w:rsid w:val="005C54C6"/>
    <w:rsid w:val="005C580D"/>
    <w:rsid w:val="005C5AAD"/>
    <w:rsid w:val="005C5AF7"/>
    <w:rsid w:val="005C6649"/>
    <w:rsid w:val="005C69AA"/>
    <w:rsid w:val="005C7AB2"/>
    <w:rsid w:val="005C7C28"/>
    <w:rsid w:val="005D0111"/>
    <w:rsid w:val="005D03F0"/>
    <w:rsid w:val="005D37F7"/>
    <w:rsid w:val="005D3F82"/>
    <w:rsid w:val="005D4267"/>
    <w:rsid w:val="005D46E0"/>
    <w:rsid w:val="005D538C"/>
    <w:rsid w:val="005D5E60"/>
    <w:rsid w:val="005D6059"/>
    <w:rsid w:val="005D6497"/>
    <w:rsid w:val="005D67EA"/>
    <w:rsid w:val="005D7264"/>
    <w:rsid w:val="005D78D6"/>
    <w:rsid w:val="005D79CD"/>
    <w:rsid w:val="005E0292"/>
    <w:rsid w:val="005E10AB"/>
    <w:rsid w:val="005E143D"/>
    <w:rsid w:val="005E149A"/>
    <w:rsid w:val="005E1583"/>
    <w:rsid w:val="005E1AA0"/>
    <w:rsid w:val="005E25C4"/>
    <w:rsid w:val="005E41AB"/>
    <w:rsid w:val="005E42BE"/>
    <w:rsid w:val="005E442C"/>
    <w:rsid w:val="005E4D16"/>
    <w:rsid w:val="005E527D"/>
    <w:rsid w:val="005E616E"/>
    <w:rsid w:val="005F0ECD"/>
    <w:rsid w:val="005F1436"/>
    <w:rsid w:val="005F184A"/>
    <w:rsid w:val="005F22F7"/>
    <w:rsid w:val="005F2D8A"/>
    <w:rsid w:val="005F478F"/>
    <w:rsid w:val="005F4986"/>
    <w:rsid w:val="005F4C46"/>
    <w:rsid w:val="005F50D8"/>
    <w:rsid w:val="005F524B"/>
    <w:rsid w:val="005F5C30"/>
    <w:rsid w:val="005F6419"/>
    <w:rsid w:val="006005E1"/>
    <w:rsid w:val="0060138C"/>
    <w:rsid w:val="006015F2"/>
    <w:rsid w:val="00601DF8"/>
    <w:rsid w:val="0060213A"/>
    <w:rsid w:val="006035EA"/>
    <w:rsid w:val="00604968"/>
    <w:rsid w:val="00604B4D"/>
    <w:rsid w:val="00604EAC"/>
    <w:rsid w:val="006053D0"/>
    <w:rsid w:val="006059FC"/>
    <w:rsid w:val="0060686F"/>
    <w:rsid w:val="00606BD5"/>
    <w:rsid w:val="00610A0D"/>
    <w:rsid w:val="00613B0B"/>
    <w:rsid w:val="00613F1F"/>
    <w:rsid w:val="00615618"/>
    <w:rsid w:val="00615829"/>
    <w:rsid w:val="00615B7D"/>
    <w:rsid w:val="00615BC9"/>
    <w:rsid w:val="0061606A"/>
    <w:rsid w:val="00616AE0"/>
    <w:rsid w:val="006175FE"/>
    <w:rsid w:val="00617A46"/>
    <w:rsid w:val="00620463"/>
    <w:rsid w:val="006208AD"/>
    <w:rsid w:val="00620BBC"/>
    <w:rsid w:val="0062167B"/>
    <w:rsid w:val="0062204A"/>
    <w:rsid w:val="00622319"/>
    <w:rsid w:val="00622BD1"/>
    <w:rsid w:val="006243DF"/>
    <w:rsid w:val="0062575C"/>
    <w:rsid w:val="00626110"/>
    <w:rsid w:val="0063178D"/>
    <w:rsid w:val="00631AF9"/>
    <w:rsid w:val="00631F3E"/>
    <w:rsid w:val="00632180"/>
    <w:rsid w:val="00632402"/>
    <w:rsid w:val="006324F5"/>
    <w:rsid w:val="00632B58"/>
    <w:rsid w:val="00632F14"/>
    <w:rsid w:val="00633736"/>
    <w:rsid w:val="006338F6"/>
    <w:rsid w:val="006338FD"/>
    <w:rsid w:val="00634291"/>
    <w:rsid w:val="006346E5"/>
    <w:rsid w:val="0063531C"/>
    <w:rsid w:val="0063547C"/>
    <w:rsid w:val="00635858"/>
    <w:rsid w:val="00635B7E"/>
    <w:rsid w:val="00636614"/>
    <w:rsid w:val="00636697"/>
    <w:rsid w:val="006367E1"/>
    <w:rsid w:val="00637BC8"/>
    <w:rsid w:val="00637ED0"/>
    <w:rsid w:val="0064193B"/>
    <w:rsid w:val="00641F46"/>
    <w:rsid w:val="00643713"/>
    <w:rsid w:val="00644150"/>
    <w:rsid w:val="00644B83"/>
    <w:rsid w:val="00644CB1"/>
    <w:rsid w:val="00644DDD"/>
    <w:rsid w:val="00644E36"/>
    <w:rsid w:val="006460AA"/>
    <w:rsid w:val="006469CD"/>
    <w:rsid w:val="00646F70"/>
    <w:rsid w:val="0064705A"/>
    <w:rsid w:val="006516E0"/>
    <w:rsid w:val="00651C00"/>
    <w:rsid w:val="00651C5C"/>
    <w:rsid w:val="006533FA"/>
    <w:rsid w:val="00653832"/>
    <w:rsid w:val="00653FD1"/>
    <w:rsid w:val="00654CD2"/>
    <w:rsid w:val="00654EBD"/>
    <w:rsid w:val="00655EF4"/>
    <w:rsid w:val="006570E4"/>
    <w:rsid w:val="00657291"/>
    <w:rsid w:val="006572DD"/>
    <w:rsid w:val="006603EC"/>
    <w:rsid w:val="00660C4B"/>
    <w:rsid w:val="00661108"/>
    <w:rsid w:val="00661F22"/>
    <w:rsid w:val="00662162"/>
    <w:rsid w:val="00662B93"/>
    <w:rsid w:val="00662E84"/>
    <w:rsid w:val="00662F46"/>
    <w:rsid w:val="0066429A"/>
    <w:rsid w:val="00664572"/>
    <w:rsid w:val="006647F3"/>
    <w:rsid w:val="00664AA9"/>
    <w:rsid w:val="00665535"/>
    <w:rsid w:val="0066575A"/>
    <w:rsid w:val="00665845"/>
    <w:rsid w:val="00665C97"/>
    <w:rsid w:val="00666B83"/>
    <w:rsid w:val="00670A49"/>
    <w:rsid w:val="00670D9F"/>
    <w:rsid w:val="00671240"/>
    <w:rsid w:val="006719CA"/>
    <w:rsid w:val="00673DAC"/>
    <w:rsid w:val="006744A3"/>
    <w:rsid w:val="006749CA"/>
    <w:rsid w:val="00674B71"/>
    <w:rsid w:val="0067521E"/>
    <w:rsid w:val="00675709"/>
    <w:rsid w:val="00675EFF"/>
    <w:rsid w:val="006762B4"/>
    <w:rsid w:val="00676351"/>
    <w:rsid w:val="006763ED"/>
    <w:rsid w:val="0067750B"/>
    <w:rsid w:val="0068167A"/>
    <w:rsid w:val="006823D1"/>
    <w:rsid w:val="00682B4F"/>
    <w:rsid w:val="006832DB"/>
    <w:rsid w:val="006839F2"/>
    <w:rsid w:val="00684572"/>
    <w:rsid w:val="00685FB1"/>
    <w:rsid w:val="00686C82"/>
    <w:rsid w:val="00686E22"/>
    <w:rsid w:val="00686FC8"/>
    <w:rsid w:val="00687C8E"/>
    <w:rsid w:val="00690ADC"/>
    <w:rsid w:val="00691041"/>
    <w:rsid w:val="0069117D"/>
    <w:rsid w:val="00691485"/>
    <w:rsid w:val="006927D5"/>
    <w:rsid w:val="00692DC1"/>
    <w:rsid w:val="00692DEF"/>
    <w:rsid w:val="006933E5"/>
    <w:rsid w:val="006940E0"/>
    <w:rsid w:val="006947B7"/>
    <w:rsid w:val="00695385"/>
    <w:rsid w:val="00695F69"/>
    <w:rsid w:val="0069601D"/>
    <w:rsid w:val="00696075"/>
    <w:rsid w:val="00696408"/>
    <w:rsid w:val="00697C3F"/>
    <w:rsid w:val="00697C9E"/>
    <w:rsid w:val="006A0BC7"/>
    <w:rsid w:val="006A0C52"/>
    <w:rsid w:val="006A19DE"/>
    <w:rsid w:val="006A3017"/>
    <w:rsid w:val="006A40FF"/>
    <w:rsid w:val="006A4325"/>
    <w:rsid w:val="006A4CE8"/>
    <w:rsid w:val="006A4E25"/>
    <w:rsid w:val="006A5969"/>
    <w:rsid w:val="006A5DE3"/>
    <w:rsid w:val="006A6944"/>
    <w:rsid w:val="006A6977"/>
    <w:rsid w:val="006A7925"/>
    <w:rsid w:val="006A7A19"/>
    <w:rsid w:val="006A7CB0"/>
    <w:rsid w:val="006B0BEB"/>
    <w:rsid w:val="006B2353"/>
    <w:rsid w:val="006B2EFE"/>
    <w:rsid w:val="006B310B"/>
    <w:rsid w:val="006B3120"/>
    <w:rsid w:val="006B3EE1"/>
    <w:rsid w:val="006B4050"/>
    <w:rsid w:val="006B41D3"/>
    <w:rsid w:val="006B4DED"/>
    <w:rsid w:val="006B4E17"/>
    <w:rsid w:val="006B6BA2"/>
    <w:rsid w:val="006B6BDD"/>
    <w:rsid w:val="006B72C6"/>
    <w:rsid w:val="006C16EA"/>
    <w:rsid w:val="006C1ECE"/>
    <w:rsid w:val="006C203B"/>
    <w:rsid w:val="006C23AB"/>
    <w:rsid w:val="006C324B"/>
    <w:rsid w:val="006C4990"/>
    <w:rsid w:val="006C5A22"/>
    <w:rsid w:val="006C611C"/>
    <w:rsid w:val="006C77C7"/>
    <w:rsid w:val="006C78C7"/>
    <w:rsid w:val="006D15EF"/>
    <w:rsid w:val="006D164D"/>
    <w:rsid w:val="006D1ACF"/>
    <w:rsid w:val="006D2C02"/>
    <w:rsid w:val="006D30F4"/>
    <w:rsid w:val="006D4A0F"/>
    <w:rsid w:val="006D5604"/>
    <w:rsid w:val="006D57F2"/>
    <w:rsid w:val="006D5ABD"/>
    <w:rsid w:val="006D5ED4"/>
    <w:rsid w:val="006D5F2C"/>
    <w:rsid w:val="006D6266"/>
    <w:rsid w:val="006D7F3B"/>
    <w:rsid w:val="006D7F44"/>
    <w:rsid w:val="006E00B7"/>
    <w:rsid w:val="006E23BE"/>
    <w:rsid w:val="006E2543"/>
    <w:rsid w:val="006E2C33"/>
    <w:rsid w:val="006E2E19"/>
    <w:rsid w:val="006E33FC"/>
    <w:rsid w:val="006E3A1A"/>
    <w:rsid w:val="006E43E7"/>
    <w:rsid w:val="006E4449"/>
    <w:rsid w:val="006E6A9C"/>
    <w:rsid w:val="006F2549"/>
    <w:rsid w:val="006F25A4"/>
    <w:rsid w:val="006F25D9"/>
    <w:rsid w:val="006F298C"/>
    <w:rsid w:val="006F2B80"/>
    <w:rsid w:val="006F35E2"/>
    <w:rsid w:val="006F3783"/>
    <w:rsid w:val="006F3EB8"/>
    <w:rsid w:val="006F4DB9"/>
    <w:rsid w:val="006F5977"/>
    <w:rsid w:val="006F5CD9"/>
    <w:rsid w:val="006F62B7"/>
    <w:rsid w:val="006F66B2"/>
    <w:rsid w:val="006F6817"/>
    <w:rsid w:val="006F70C6"/>
    <w:rsid w:val="006F759F"/>
    <w:rsid w:val="006F7EE3"/>
    <w:rsid w:val="00701261"/>
    <w:rsid w:val="007016B2"/>
    <w:rsid w:val="007018EF"/>
    <w:rsid w:val="00701DBE"/>
    <w:rsid w:val="007039B0"/>
    <w:rsid w:val="00703A05"/>
    <w:rsid w:val="00703CAC"/>
    <w:rsid w:val="007044E7"/>
    <w:rsid w:val="0070451C"/>
    <w:rsid w:val="0070495E"/>
    <w:rsid w:val="0070525C"/>
    <w:rsid w:val="007052DC"/>
    <w:rsid w:val="00705B73"/>
    <w:rsid w:val="007067B2"/>
    <w:rsid w:val="007067F4"/>
    <w:rsid w:val="007073D6"/>
    <w:rsid w:val="0071006E"/>
    <w:rsid w:val="007100AE"/>
    <w:rsid w:val="00710A43"/>
    <w:rsid w:val="0071190A"/>
    <w:rsid w:val="00711D1C"/>
    <w:rsid w:val="00711FA6"/>
    <w:rsid w:val="007128A8"/>
    <w:rsid w:val="00712F3E"/>
    <w:rsid w:val="007157A9"/>
    <w:rsid w:val="0071591D"/>
    <w:rsid w:val="007166F2"/>
    <w:rsid w:val="007204D4"/>
    <w:rsid w:val="00720C72"/>
    <w:rsid w:val="007213F1"/>
    <w:rsid w:val="00721597"/>
    <w:rsid w:val="0072181D"/>
    <w:rsid w:val="00721F74"/>
    <w:rsid w:val="00722297"/>
    <w:rsid w:val="007236F2"/>
    <w:rsid w:val="00723971"/>
    <w:rsid w:val="00723BCB"/>
    <w:rsid w:val="00724BD8"/>
    <w:rsid w:val="00725DBB"/>
    <w:rsid w:val="00726555"/>
    <w:rsid w:val="00726B91"/>
    <w:rsid w:val="00726CE5"/>
    <w:rsid w:val="00726FCE"/>
    <w:rsid w:val="007272C4"/>
    <w:rsid w:val="007278D8"/>
    <w:rsid w:val="00727A26"/>
    <w:rsid w:val="00730B04"/>
    <w:rsid w:val="00730E56"/>
    <w:rsid w:val="00731837"/>
    <w:rsid w:val="00731BB9"/>
    <w:rsid w:val="00732EEE"/>
    <w:rsid w:val="007330AA"/>
    <w:rsid w:val="007335A6"/>
    <w:rsid w:val="007343D7"/>
    <w:rsid w:val="00734AC3"/>
    <w:rsid w:val="0073506C"/>
    <w:rsid w:val="00736196"/>
    <w:rsid w:val="00736A4A"/>
    <w:rsid w:val="00737423"/>
    <w:rsid w:val="007377BB"/>
    <w:rsid w:val="00737DB0"/>
    <w:rsid w:val="00740EA0"/>
    <w:rsid w:val="00741889"/>
    <w:rsid w:val="007419FD"/>
    <w:rsid w:val="00741AEE"/>
    <w:rsid w:val="00742B89"/>
    <w:rsid w:val="007445B7"/>
    <w:rsid w:val="0074561C"/>
    <w:rsid w:val="007460C9"/>
    <w:rsid w:val="00746158"/>
    <w:rsid w:val="007473EE"/>
    <w:rsid w:val="00747D1D"/>
    <w:rsid w:val="00750014"/>
    <w:rsid w:val="007501C0"/>
    <w:rsid w:val="00752435"/>
    <w:rsid w:val="0075309C"/>
    <w:rsid w:val="007536F6"/>
    <w:rsid w:val="0075506A"/>
    <w:rsid w:val="007552E1"/>
    <w:rsid w:val="00755A0B"/>
    <w:rsid w:val="00755C21"/>
    <w:rsid w:val="00756074"/>
    <w:rsid w:val="007560DF"/>
    <w:rsid w:val="007563E6"/>
    <w:rsid w:val="0075673D"/>
    <w:rsid w:val="00756D88"/>
    <w:rsid w:val="007577B3"/>
    <w:rsid w:val="0076047A"/>
    <w:rsid w:val="00760D5E"/>
    <w:rsid w:val="007613C8"/>
    <w:rsid w:val="00761447"/>
    <w:rsid w:val="00761481"/>
    <w:rsid w:val="007614D7"/>
    <w:rsid w:val="00762216"/>
    <w:rsid w:val="007622F8"/>
    <w:rsid w:val="00763236"/>
    <w:rsid w:val="00763AB4"/>
    <w:rsid w:val="00763BC3"/>
    <w:rsid w:val="00763D0B"/>
    <w:rsid w:val="00763DC1"/>
    <w:rsid w:val="00764161"/>
    <w:rsid w:val="00764911"/>
    <w:rsid w:val="00764921"/>
    <w:rsid w:val="00764EA6"/>
    <w:rsid w:val="00765D86"/>
    <w:rsid w:val="00765E5F"/>
    <w:rsid w:val="007661A6"/>
    <w:rsid w:val="00766413"/>
    <w:rsid w:val="00766B4C"/>
    <w:rsid w:val="007679EC"/>
    <w:rsid w:val="00767A64"/>
    <w:rsid w:val="00770427"/>
    <w:rsid w:val="00771054"/>
    <w:rsid w:val="00772110"/>
    <w:rsid w:val="007728B1"/>
    <w:rsid w:val="007737CD"/>
    <w:rsid w:val="007744A7"/>
    <w:rsid w:val="007759AC"/>
    <w:rsid w:val="00775B0E"/>
    <w:rsid w:val="00775E44"/>
    <w:rsid w:val="007772CA"/>
    <w:rsid w:val="0078092E"/>
    <w:rsid w:val="00780E01"/>
    <w:rsid w:val="00780E75"/>
    <w:rsid w:val="0078163E"/>
    <w:rsid w:val="00781A61"/>
    <w:rsid w:val="00781D1E"/>
    <w:rsid w:val="00781F10"/>
    <w:rsid w:val="00782149"/>
    <w:rsid w:val="00782C76"/>
    <w:rsid w:val="00784F31"/>
    <w:rsid w:val="00785971"/>
    <w:rsid w:val="00790043"/>
    <w:rsid w:val="007906EE"/>
    <w:rsid w:val="00790736"/>
    <w:rsid w:val="0079093C"/>
    <w:rsid w:val="00790AFF"/>
    <w:rsid w:val="00792130"/>
    <w:rsid w:val="007923BD"/>
    <w:rsid w:val="00792FD6"/>
    <w:rsid w:val="00793A58"/>
    <w:rsid w:val="007942BB"/>
    <w:rsid w:val="00794F08"/>
    <w:rsid w:val="00795AF0"/>
    <w:rsid w:val="00795C39"/>
    <w:rsid w:val="00795C72"/>
    <w:rsid w:val="007961B9"/>
    <w:rsid w:val="00796523"/>
    <w:rsid w:val="0079655D"/>
    <w:rsid w:val="00796BA1"/>
    <w:rsid w:val="007970CF"/>
    <w:rsid w:val="00797203"/>
    <w:rsid w:val="00797472"/>
    <w:rsid w:val="007A025E"/>
    <w:rsid w:val="007A0389"/>
    <w:rsid w:val="007A0876"/>
    <w:rsid w:val="007A1A92"/>
    <w:rsid w:val="007A29BD"/>
    <w:rsid w:val="007A342D"/>
    <w:rsid w:val="007A42A2"/>
    <w:rsid w:val="007A4BCE"/>
    <w:rsid w:val="007A4C34"/>
    <w:rsid w:val="007A4CBC"/>
    <w:rsid w:val="007A56C4"/>
    <w:rsid w:val="007A5A24"/>
    <w:rsid w:val="007A6CA8"/>
    <w:rsid w:val="007A6E9E"/>
    <w:rsid w:val="007A755F"/>
    <w:rsid w:val="007B00DB"/>
    <w:rsid w:val="007B0133"/>
    <w:rsid w:val="007B0473"/>
    <w:rsid w:val="007B1874"/>
    <w:rsid w:val="007B18B2"/>
    <w:rsid w:val="007B3ECB"/>
    <w:rsid w:val="007B4FAC"/>
    <w:rsid w:val="007B6433"/>
    <w:rsid w:val="007B6C75"/>
    <w:rsid w:val="007B6E53"/>
    <w:rsid w:val="007B70F7"/>
    <w:rsid w:val="007B7305"/>
    <w:rsid w:val="007B7A18"/>
    <w:rsid w:val="007B7DBB"/>
    <w:rsid w:val="007C0C47"/>
    <w:rsid w:val="007C0CE7"/>
    <w:rsid w:val="007C140D"/>
    <w:rsid w:val="007C18AB"/>
    <w:rsid w:val="007C267D"/>
    <w:rsid w:val="007C37E8"/>
    <w:rsid w:val="007C440B"/>
    <w:rsid w:val="007C46CD"/>
    <w:rsid w:val="007C5387"/>
    <w:rsid w:val="007C5FCD"/>
    <w:rsid w:val="007C6FA8"/>
    <w:rsid w:val="007D0E96"/>
    <w:rsid w:val="007D2024"/>
    <w:rsid w:val="007D24D3"/>
    <w:rsid w:val="007D252E"/>
    <w:rsid w:val="007D29AA"/>
    <w:rsid w:val="007D2F3F"/>
    <w:rsid w:val="007D3DC3"/>
    <w:rsid w:val="007D3E67"/>
    <w:rsid w:val="007D46F3"/>
    <w:rsid w:val="007D52C8"/>
    <w:rsid w:val="007D5B4A"/>
    <w:rsid w:val="007D6295"/>
    <w:rsid w:val="007D64F4"/>
    <w:rsid w:val="007D6E0B"/>
    <w:rsid w:val="007D6F59"/>
    <w:rsid w:val="007D71E5"/>
    <w:rsid w:val="007D7714"/>
    <w:rsid w:val="007D7E87"/>
    <w:rsid w:val="007E0E0E"/>
    <w:rsid w:val="007E10E2"/>
    <w:rsid w:val="007E1172"/>
    <w:rsid w:val="007E1414"/>
    <w:rsid w:val="007E1503"/>
    <w:rsid w:val="007E1732"/>
    <w:rsid w:val="007E1A73"/>
    <w:rsid w:val="007E225B"/>
    <w:rsid w:val="007E2898"/>
    <w:rsid w:val="007E3578"/>
    <w:rsid w:val="007E39AE"/>
    <w:rsid w:val="007E3B97"/>
    <w:rsid w:val="007E4481"/>
    <w:rsid w:val="007E5084"/>
    <w:rsid w:val="007E5148"/>
    <w:rsid w:val="007E5DAE"/>
    <w:rsid w:val="007E629E"/>
    <w:rsid w:val="007E694C"/>
    <w:rsid w:val="007E6B56"/>
    <w:rsid w:val="007E6C49"/>
    <w:rsid w:val="007E71E9"/>
    <w:rsid w:val="007E730D"/>
    <w:rsid w:val="007E771F"/>
    <w:rsid w:val="007E7E91"/>
    <w:rsid w:val="007F086E"/>
    <w:rsid w:val="007F0BC3"/>
    <w:rsid w:val="007F0BEB"/>
    <w:rsid w:val="007F0C46"/>
    <w:rsid w:val="007F1495"/>
    <w:rsid w:val="007F1CDB"/>
    <w:rsid w:val="007F34A6"/>
    <w:rsid w:val="007F3856"/>
    <w:rsid w:val="007F51DC"/>
    <w:rsid w:val="007F554B"/>
    <w:rsid w:val="007F5DE7"/>
    <w:rsid w:val="007F6039"/>
    <w:rsid w:val="007F679A"/>
    <w:rsid w:val="007F7D45"/>
    <w:rsid w:val="00801912"/>
    <w:rsid w:val="00801C88"/>
    <w:rsid w:val="0080267C"/>
    <w:rsid w:val="008036C7"/>
    <w:rsid w:val="0080430D"/>
    <w:rsid w:val="00804E40"/>
    <w:rsid w:val="00804E7F"/>
    <w:rsid w:val="008052EA"/>
    <w:rsid w:val="00805D26"/>
    <w:rsid w:val="008071CA"/>
    <w:rsid w:val="008100BC"/>
    <w:rsid w:val="00810123"/>
    <w:rsid w:val="00810A23"/>
    <w:rsid w:val="00810C43"/>
    <w:rsid w:val="0081143E"/>
    <w:rsid w:val="00811804"/>
    <w:rsid w:val="00811933"/>
    <w:rsid w:val="00812EF9"/>
    <w:rsid w:val="008138F6"/>
    <w:rsid w:val="00813BEE"/>
    <w:rsid w:val="00813CA1"/>
    <w:rsid w:val="00814437"/>
    <w:rsid w:val="00815779"/>
    <w:rsid w:val="008159C2"/>
    <w:rsid w:val="00815D29"/>
    <w:rsid w:val="00815F5D"/>
    <w:rsid w:val="00817EA7"/>
    <w:rsid w:val="008200E7"/>
    <w:rsid w:val="00821322"/>
    <w:rsid w:val="008215DF"/>
    <w:rsid w:val="008226BE"/>
    <w:rsid w:val="00822C83"/>
    <w:rsid w:val="008233D0"/>
    <w:rsid w:val="0082592C"/>
    <w:rsid w:val="00825BEC"/>
    <w:rsid w:val="00826714"/>
    <w:rsid w:val="00827A3A"/>
    <w:rsid w:val="00831EB7"/>
    <w:rsid w:val="0083200B"/>
    <w:rsid w:val="008320ED"/>
    <w:rsid w:val="00832B3C"/>
    <w:rsid w:val="00832E9E"/>
    <w:rsid w:val="0083335E"/>
    <w:rsid w:val="00833509"/>
    <w:rsid w:val="0083389B"/>
    <w:rsid w:val="00834007"/>
    <w:rsid w:val="0083488E"/>
    <w:rsid w:val="0083785E"/>
    <w:rsid w:val="00842143"/>
    <w:rsid w:val="0084226D"/>
    <w:rsid w:val="00842E5A"/>
    <w:rsid w:val="0084317E"/>
    <w:rsid w:val="00843FCF"/>
    <w:rsid w:val="0084404A"/>
    <w:rsid w:val="0084423A"/>
    <w:rsid w:val="00844286"/>
    <w:rsid w:val="0084494A"/>
    <w:rsid w:val="0084670B"/>
    <w:rsid w:val="008468F6"/>
    <w:rsid w:val="008474BA"/>
    <w:rsid w:val="00847F95"/>
    <w:rsid w:val="008501A0"/>
    <w:rsid w:val="008509E5"/>
    <w:rsid w:val="00850A93"/>
    <w:rsid w:val="00851205"/>
    <w:rsid w:val="00851481"/>
    <w:rsid w:val="008516C2"/>
    <w:rsid w:val="00851CF5"/>
    <w:rsid w:val="00851E2D"/>
    <w:rsid w:val="00852B8A"/>
    <w:rsid w:val="00852C44"/>
    <w:rsid w:val="0085344E"/>
    <w:rsid w:val="0085381E"/>
    <w:rsid w:val="00855AB8"/>
    <w:rsid w:val="0085634D"/>
    <w:rsid w:val="008565DD"/>
    <w:rsid w:val="00860064"/>
    <w:rsid w:val="008609F5"/>
    <w:rsid w:val="00860EEC"/>
    <w:rsid w:val="008628A1"/>
    <w:rsid w:val="00862D92"/>
    <w:rsid w:val="00863767"/>
    <w:rsid w:val="008641B4"/>
    <w:rsid w:val="00864D78"/>
    <w:rsid w:val="00865408"/>
    <w:rsid w:val="00865567"/>
    <w:rsid w:val="00865723"/>
    <w:rsid w:val="00865BA5"/>
    <w:rsid w:val="00867BE8"/>
    <w:rsid w:val="0087034F"/>
    <w:rsid w:val="0087085F"/>
    <w:rsid w:val="00870BD9"/>
    <w:rsid w:val="00870E3B"/>
    <w:rsid w:val="00871418"/>
    <w:rsid w:val="0087149C"/>
    <w:rsid w:val="00871CF6"/>
    <w:rsid w:val="00871EA8"/>
    <w:rsid w:val="0087239D"/>
    <w:rsid w:val="00873EC5"/>
    <w:rsid w:val="00873FE7"/>
    <w:rsid w:val="00874BF1"/>
    <w:rsid w:val="00875271"/>
    <w:rsid w:val="00875B59"/>
    <w:rsid w:val="00875D97"/>
    <w:rsid w:val="0087600F"/>
    <w:rsid w:val="00876E28"/>
    <w:rsid w:val="00876EC4"/>
    <w:rsid w:val="00877174"/>
    <w:rsid w:val="00877373"/>
    <w:rsid w:val="00877671"/>
    <w:rsid w:val="008776D2"/>
    <w:rsid w:val="00877A6B"/>
    <w:rsid w:val="008806DA"/>
    <w:rsid w:val="008809C2"/>
    <w:rsid w:val="00880D34"/>
    <w:rsid w:val="00881D74"/>
    <w:rsid w:val="00882995"/>
    <w:rsid w:val="00882FC9"/>
    <w:rsid w:val="00882FE8"/>
    <w:rsid w:val="008837A7"/>
    <w:rsid w:val="00883BE1"/>
    <w:rsid w:val="00883CF0"/>
    <w:rsid w:val="00883E0C"/>
    <w:rsid w:val="008844C6"/>
    <w:rsid w:val="00884BEC"/>
    <w:rsid w:val="008851AA"/>
    <w:rsid w:val="008856C0"/>
    <w:rsid w:val="00885E02"/>
    <w:rsid w:val="00886A02"/>
    <w:rsid w:val="00886A6D"/>
    <w:rsid w:val="00890562"/>
    <w:rsid w:val="008906E1"/>
    <w:rsid w:val="0089098B"/>
    <w:rsid w:val="00890DDB"/>
    <w:rsid w:val="00892E93"/>
    <w:rsid w:val="008939EF"/>
    <w:rsid w:val="00893B77"/>
    <w:rsid w:val="00894028"/>
    <w:rsid w:val="00894440"/>
    <w:rsid w:val="0089456C"/>
    <w:rsid w:val="0089457F"/>
    <w:rsid w:val="008947E3"/>
    <w:rsid w:val="00894DD1"/>
    <w:rsid w:val="008950EB"/>
    <w:rsid w:val="00896739"/>
    <w:rsid w:val="00896846"/>
    <w:rsid w:val="008A0556"/>
    <w:rsid w:val="008A15FF"/>
    <w:rsid w:val="008A18FB"/>
    <w:rsid w:val="008A2099"/>
    <w:rsid w:val="008A226E"/>
    <w:rsid w:val="008A2AC3"/>
    <w:rsid w:val="008A2DD7"/>
    <w:rsid w:val="008A34DA"/>
    <w:rsid w:val="008A3957"/>
    <w:rsid w:val="008A3BDD"/>
    <w:rsid w:val="008A4019"/>
    <w:rsid w:val="008A4841"/>
    <w:rsid w:val="008A4E34"/>
    <w:rsid w:val="008A5317"/>
    <w:rsid w:val="008A5C14"/>
    <w:rsid w:val="008A5CFA"/>
    <w:rsid w:val="008A6F5C"/>
    <w:rsid w:val="008A7504"/>
    <w:rsid w:val="008B104F"/>
    <w:rsid w:val="008B1294"/>
    <w:rsid w:val="008B2221"/>
    <w:rsid w:val="008B2916"/>
    <w:rsid w:val="008B3934"/>
    <w:rsid w:val="008B3DD3"/>
    <w:rsid w:val="008B49B8"/>
    <w:rsid w:val="008B4DAC"/>
    <w:rsid w:val="008B58D3"/>
    <w:rsid w:val="008B6D95"/>
    <w:rsid w:val="008B6EC3"/>
    <w:rsid w:val="008B6ED1"/>
    <w:rsid w:val="008B719D"/>
    <w:rsid w:val="008B746C"/>
    <w:rsid w:val="008C0A88"/>
    <w:rsid w:val="008C1116"/>
    <w:rsid w:val="008C1953"/>
    <w:rsid w:val="008C19DA"/>
    <w:rsid w:val="008C1BCA"/>
    <w:rsid w:val="008C1F65"/>
    <w:rsid w:val="008C26C5"/>
    <w:rsid w:val="008C39B8"/>
    <w:rsid w:val="008C3FA8"/>
    <w:rsid w:val="008C404D"/>
    <w:rsid w:val="008C4892"/>
    <w:rsid w:val="008C4A3A"/>
    <w:rsid w:val="008C58C0"/>
    <w:rsid w:val="008C5D23"/>
    <w:rsid w:val="008C5F71"/>
    <w:rsid w:val="008C618A"/>
    <w:rsid w:val="008C6C10"/>
    <w:rsid w:val="008C6CF1"/>
    <w:rsid w:val="008D0039"/>
    <w:rsid w:val="008D0404"/>
    <w:rsid w:val="008D0B0E"/>
    <w:rsid w:val="008D1512"/>
    <w:rsid w:val="008D1921"/>
    <w:rsid w:val="008D1D21"/>
    <w:rsid w:val="008D264F"/>
    <w:rsid w:val="008D3BDE"/>
    <w:rsid w:val="008D421F"/>
    <w:rsid w:val="008D4678"/>
    <w:rsid w:val="008D4789"/>
    <w:rsid w:val="008D4C85"/>
    <w:rsid w:val="008D4D2A"/>
    <w:rsid w:val="008D52D0"/>
    <w:rsid w:val="008D540B"/>
    <w:rsid w:val="008D5600"/>
    <w:rsid w:val="008D6228"/>
    <w:rsid w:val="008D6479"/>
    <w:rsid w:val="008D66ED"/>
    <w:rsid w:val="008D695D"/>
    <w:rsid w:val="008E0151"/>
    <w:rsid w:val="008E03D4"/>
    <w:rsid w:val="008E0D90"/>
    <w:rsid w:val="008E252D"/>
    <w:rsid w:val="008E25D5"/>
    <w:rsid w:val="008E274F"/>
    <w:rsid w:val="008E2DE2"/>
    <w:rsid w:val="008E3190"/>
    <w:rsid w:val="008E34D9"/>
    <w:rsid w:val="008E40B0"/>
    <w:rsid w:val="008E41DD"/>
    <w:rsid w:val="008E425E"/>
    <w:rsid w:val="008E4724"/>
    <w:rsid w:val="008E4AAB"/>
    <w:rsid w:val="008E5BB5"/>
    <w:rsid w:val="008E7BEC"/>
    <w:rsid w:val="008F009E"/>
    <w:rsid w:val="008F052B"/>
    <w:rsid w:val="008F1471"/>
    <w:rsid w:val="008F1C9B"/>
    <w:rsid w:val="008F1E3C"/>
    <w:rsid w:val="008F2787"/>
    <w:rsid w:val="008F328D"/>
    <w:rsid w:val="008F36AA"/>
    <w:rsid w:val="008F4C18"/>
    <w:rsid w:val="008F5118"/>
    <w:rsid w:val="008F5922"/>
    <w:rsid w:val="008F674B"/>
    <w:rsid w:val="008F6E5A"/>
    <w:rsid w:val="008F753C"/>
    <w:rsid w:val="008F75CA"/>
    <w:rsid w:val="008F789D"/>
    <w:rsid w:val="00900E10"/>
    <w:rsid w:val="0090179B"/>
    <w:rsid w:val="00901CC4"/>
    <w:rsid w:val="00902560"/>
    <w:rsid w:val="00902DE0"/>
    <w:rsid w:val="00905CCF"/>
    <w:rsid w:val="009063B9"/>
    <w:rsid w:val="009064B2"/>
    <w:rsid w:val="00906D04"/>
    <w:rsid w:val="00907F34"/>
    <w:rsid w:val="0091004C"/>
    <w:rsid w:val="0091013A"/>
    <w:rsid w:val="009109F7"/>
    <w:rsid w:val="00911EBA"/>
    <w:rsid w:val="009124BF"/>
    <w:rsid w:val="00912C19"/>
    <w:rsid w:val="00912D48"/>
    <w:rsid w:val="00914551"/>
    <w:rsid w:val="0091629B"/>
    <w:rsid w:val="00916429"/>
    <w:rsid w:val="0091739A"/>
    <w:rsid w:val="00917855"/>
    <w:rsid w:val="009209B1"/>
    <w:rsid w:val="00920C37"/>
    <w:rsid w:val="00921177"/>
    <w:rsid w:val="0092128F"/>
    <w:rsid w:val="00921FFB"/>
    <w:rsid w:val="00922191"/>
    <w:rsid w:val="009223BE"/>
    <w:rsid w:val="0092345C"/>
    <w:rsid w:val="00923A77"/>
    <w:rsid w:val="00923B5D"/>
    <w:rsid w:val="00924129"/>
    <w:rsid w:val="00924759"/>
    <w:rsid w:val="00926454"/>
    <w:rsid w:val="00926A1B"/>
    <w:rsid w:val="00926F64"/>
    <w:rsid w:val="00927664"/>
    <w:rsid w:val="009279D6"/>
    <w:rsid w:val="00931CAE"/>
    <w:rsid w:val="00932809"/>
    <w:rsid w:val="00933A07"/>
    <w:rsid w:val="00933D6F"/>
    <w:rsid w:val="009347C0"/>
    <w:rsid w:val="00935762"/>
    <w:rsid w:val="00935967"/>
    <w:rsid w:val="00936947"/>
    <w:rsid w:val="00937752"/>
    <w:rsid w:val="00937E2C"/>
    <w:rsid w:val="009405C7"/>
    <w:rsid w:val="00940A74"/>
    <w:rsid w:val="00941E06"/>
    <w:rsid w:val="00942189"/>
    <w:rsid w:val="00943119"/>
    <w:rsid w:val="00943AC6"/>
    <w:rsid w:val="00943D97"/>
    <w:rsid w:val="00944E60"/>
    <w:rsid w:val="0094582E"/>
    <w:rsid w:val="00945CE5"/>
    <w:rsid w:val="00946271"/>
    <w:rsid w:val="00946427"/>
    <w:rsid w:val="00946770"/>
    <w:rsid w:val="00946976"/>
    <w:rsid w:val="009471CC"/>
    <w:rsid w:val="009471D7"/>
    <w:rsid w:val="00947957"/>
    <w:rsid w:val="00947A0E"/>
    <w:rsid w:val="009508A4"/>
    <w:rsid w:val="00950A5A"/>
    <w:rsid w:val="009510AD"/>
    <w:rsid w:val="00951A0F"/>
    <w:rsid w:val="009522C0"/>
    <w:rsid w:val="00953042"/>
    <w:rsid w:val="0095350C"/>
    <w:rsid w:val="00953628"/>
    <w:rsid w:val="00953981"/>
    <w:rsid w:val="00954027"/>
    <w:rsid w:val="009540AD"/>
    <w:rsid w:val="00955450"/>
    <w:rsid w:val="009561DA"/>
    <w:rsid w:val="009572B1"/>
    <w:rsid w:val="00957EC0"/>
    <w:rsid w:val="00960366"/>
    <w:rsid w:val="00960ECF"/>
    <w:rsid w:val="00961600"/>
    <w:rsid w:val="00962D37"/>
    <w:rsid w:val="00963511"/>
    <w:rsid w:val="0096427B"/>
    <w:rsid w:val="009642DB"/>
    <w:rsid w:val="0096473A"/>
    <w:rsid w:val="009662A1"/>
    <w:rsid w:val="009672A6"/>
    <w:rsid w:val="00967DF7"/>
    <w:rsid w:val="0097026E"/>
    <w:rsid w:val="00970E46"/>
    <w:rsid w:val="00970F3F"/>
    <w:rsid w:val="00972534"/>
    <w:rsid w:val="00972808"/>
    <w:rsid w:val="009728E8"/>
    <w:rsid w:val="00972DF4"/>
    <w:rsid w:val="009739E5"/>
    <w:rsid w:val="00973B5E"/>
    <w:rsid w:val="009744A4"/>
    <w:rsid w:val="00974D3A"/>
    <w:rsid w:val="00975D10"/>
    <w:rsid w:val="00975DB6"/>
    <w:rsid w:val="00976023"/>
    <w:rsid w:val="00980B28"/>
    <w:rsid w:val="00983504"/>
    <w:rsid w:val="00983AC2"/>
    <w:rsid w:val="00984074"/>
    <w:rsid w:val="009846C5"/>
    <w:rsid w:val="0098535A"/>
    <w:rsid w:val="00986822"/>
    <w:rsid w:val="009869FC"/>
    <w:rsid w:val="00986DD0"/>
    <w:rsid w:val="00986FAD"/>
    <w:rsid w:val="009870E2"/>
    <w:rsid w:val="00987732"/>
    <w:rsid w:val="0098775C"/>
    <w:rsid w:val="009900F2"/>
    <w:rsid w:val="009903F3"/>
    <w:rsid w:val="009904E0"/>
    <w:rsid w:val="0099078B"/>
    <w:rsid w:val="00990C17"/>
    <w:rsid w:val="009923ED"/>
    <w:rsid w:val="00992B3C"/>
    <w:rsid w:val="00994567"/>
    <w:rsid w:val="0099478C"/>
    <w:rsid w:val="00995545"/>
    <w:rsid w:val="00995F1A"/>
    <w:rsid w:val="00996BD2"/>
    <w:rsid w:val="00996EC5"/>
    <w:rsid w:val="00996EF4"/>
    <w:rsid w:val="00997C98"/>
    <w:rsid w:val="009A1211"/>
    <w:rsid w:val="009A1763"/>
    <w:rsid w:val="009A1D71"/>
    <w:rsid w:val="009A2452"/>
    <w:rsid w:val="009A28E8"/>
    <w:rsid w:val="009A323F"/>
    <w:rsid w:val="009A4102"/>
    <w:rsid w:val="009A4421"/>
    <w:rsid w:val="009A4789"/>
    <w:rsid w:val="009A511F"/>
    <w:rsid w:val="009A61B0"/>
    <w:rsid w:val="009A6C82"/>
    <w:rsid w:val="009A6D1F"/>
    <w:rsid w:val="009A6E66"/>
    <w:rsid w:val="009A7D62"/>
    <w:rsid w:val="009B0A1E"/>
    <w:rsid w:val="009B162A"/>
    <w:rsid w:val="009B2840"/>
    <w:rsid w:val="009B34B7"/>
    <w:rsid w:val="009B48D0"/>
    <w:rsid w:val="009B5781"/>
    <w:rsid w:val="009B5E53"/>
    <w:rsid w:val="009B5E56"/>
    <w:rsid w:val="009B716C"/>
    <w:rsid w:val="009B72B9"/>
    <w:rsid w:val="009B72F2"/>
    <w:rsid w:val="009B79E3"/>
    <w:rsid w:val="009B7C25"/>
    <w:rsid w:val="009B7C9A"/>
    <w:rsid w:val="009C049B"/>
    <w:rsid w:val="009C14AF"/>
    <w:rsid w:val="009C1D0A"/>
    <w:rsid w:val="009C36E2"/>
    <w:rsid w:val="009C44B9"/>
    <w:rsid w:val="009C48B8"/>
    <w:rsid w:val="009C4C54"/>
    <w:rsid w:val="009C4C9C"/>
    <w:rsid w:val="009C5365"/>
    <w:rsid w:val="009C62E4"/>
    <w:rsid w:val="009C639D"/>
    <w:rsid w:val="009C6AC4"/>
    <w:rsid w:val="009C6ED4"/>
    <w:rsid w:val="009C7552"/>
    <w:rsid w:val="009C7556"/>
    <w:rsid w:val="009D0004"/>
    <w:rsid w:val="009D0444"/>
    <w:rsid w:val="009D1210"/>
    <w:rsid w:val="009D17E6"/>
    <w:rsid w:val="009D2BF1"/>
    <w:rsid w:val="009D3829"/>
    <w:rsid w:val="009D3CA9"/>
    <w:rsid w:val="009D433B"/>
    <w:rsid w:val="009D4D0E"/>
    <w:rsid w:val="009D54A9"/>
    <w:rsid w:val="009D5D3C"/>
    <w:rsid w:val="009D5DF2"/>
    <w:rsid w:val="009D7234"/>
    <w:rsid w:val="009D7700"/>
    <w:rsid w:val="009D773D"/>
    <w:rsid w:val="009D7754"/>
    <w:rsid w:val="009E0609"/>
    <w:rsid w:val="009E0F23"/>
    <w:rsid w:val="009E0F26"/>
    <w:rsid w:val="009E1D9E"/>
    <w:rsid w:val="009E1DEA"/>
    <w:rsid w:val="009E24DF"/>
    <w:rsid w:val="009E29A5"/>
    <w:rsid w:val="009E3784"/>
    <w:rsid w:val="009E39A7"/>
    <w:rsid w:val="009E4067"/>
    <w:rsid w:val="009E47D8"/>
    <w:rsid w:val="009E55BC"/>
    <w:rsid w:val="009E6041"/>
    <w:rsid w:val="009E66A4"/>
    <w:rsid w:val="009E6C74"/>
    <w:rsid w:val="009E7588"/>
    <w:rsid w:val="009E7ECB"/>
    <w:rsid w:val="009F0D3E"/>
    <w:rsid w:val="009F0E16"/>
    <w:rsid w:val="009F12C2"/>
    <w:rsid w:val="009F2130"/>
    <w:rsid w:val="009F5AED"/>
    <w:rsid w:val="009F5BAE"/>
    <w:rsid w:val="009F6389"/>
    <w:rsid w:val="009F63B8"/>
    <w:rsid w:val="009F6EF5"/>
    <w:rsid w:val="009F7F83"/>
    <w:rsid w:val="00A00C50"/>
    <w:rsid w:val="00A01C8F"/>
    <w:rsid w:val="00A022A4"/>
    <w:rsid w:val="00A026CC"/>
    <w:rsid w:val="00A02924"/>
    <w:rsid w:val="00A02BAE"/>
    <w:rsid w:val="00A0382A"/>
    <w:rsid w:val="00A05FC5"/>
    <w:rsid w:val="00A06672"/>
    <w:rsid w:val="00A0683D"/>
    <w:rsid w:val="00A068F9"/>
    <w:rsid w:val="00A06905"/>
    <w:rsid w:val="00A06DB7"/>
    <w:rsid w:val="00A071BF"/>
    <w:rsid w:val="00A072E9"/>
    <w:rsid w:val="00A07621"/>
    <w:rsid w:val="00A10523"/>
    <w:rsid w:val="00A10B00"/>
    <w:rsid w:val="00A12D88"/>
    <w:rsid w:val="00A12EEC"/>
    <w:rsid w:val="00A13441"/>
    <w:rsid w:val="00A135F6"/>
    <w:rsid w:val="00A13663"/>
    <w:rsid w:val="00A1440E"/>
    <w:rsid w:val="00A1483F"/>
    <w:rsid w:val="00A14954"/>
    <w:rsid w:val="00A14B5E"/>
    <w:rsid w:val="00A157DB"/>
    <w:rsid w:val="00A165FA"/>
    <w:rsid w:val="00A16B00"/>
    <w:rsid w:val="00A17002"/>
    <w:rsid w:val="00A17B0F"/>
    <w:rsid w:val="00A17FCC"/>
    <w:rsid w:val="00A20589"/>
    <w:rsid w:val="00A21132"/>
    <w:rsid w:val="00A22D1A"/>
    <w:rsid w:val="00A22FB0"/>
    <w:rsid w:val="00A2307D"/>
    <w:rsid w:val="00A237E7"/>
    <w:rsid w:val="00A23B00"/>
    <w:rsid w:val="00A23CB3"/>
    <w:rsid w:val="00A246DE"/>
    <w:rsid w:val="00A248B7"/>
    <w:rsid w:val="00A24D30"/>
    <w:rsid w:val="00A2521C"/>
    <w:rsid w:val="00A25747"/>
    <w:rsid w:val="00A25785"/>
    <w:rsid w:val="00A25EA9"/>
    <w:rsid w:val="00A276CD"/>
    <w:rsid w:val="00A30DFC"/>
    <w:rsid w:val="00A31118"/>
    <w:rsid w:val="00A31A8E"/>
    <w:rsid w:val="00A34326"/>
    <w:rsid w:val="00A34E24"/>
    <w:rsid w:val="00A3523B"/>
    <w:rsid w:val="00A36CE6"/>
    <w:rsid w:val="00A370D0"/>
    <w:rsid w:val="00A3716D"/>
    <w:rsid w:val="00A377B7"/>
    <w:rsid w:val="00A37D06"/>
    <w:rsid w:val="00A37DE6"/>
    <w:rsid w:val="00A37E7B"/>
    <w:rsid w:val="00A4006A"/>
    <w:rsid w:val="00A405A6"/>
    <w:rsid w:val="00A413A1"/>
    <w:rsid w:val="00A41A16"/>
    <w:rsid w:val="00A41EAA"/>
    <w:rsid w:val="00A42042"/>
    <w:rsid w:val="00A42A41"/>
    <w:rsid w:val="00A42E2C"/>
    <w:rsid w:val="00A42F55"/>
    <w:rsid w:val="00A436E6"/>
    <w:rsid w:val="00A43A86"/>
    <w:rsid w:val="00A447CD"/>
    <w:rsid w:val="00A45017"/>
    <w:rsid w:val="00A45DE1"/>
    <w:rsid w:val="00A461B9"/>
    <w:rsid w:val="00A4629C"/>
    <w:rsid w:val="00A4632A"/>
    <w:rsid w:val="00A464BB"/>
    <w:rsid w:val="00A46F7E"/>
    <w:rsid w:val="00A515A9"/>
    <w:rsid w:val="00A5192B"/>
    <w:rsid w:val="00A51E78"/>
    <w:rsid w:val="00A529A2"/>
    <w:rsid w:val="00A52CAF"/>
    <w:rsid w:val="00A52CB6"/>
    <w:rsid w:val="00A53841"/>
    <w:rsid w:val="00A54FFC"/>
    <w:rsid w:val="00A56452"/>
    <w:rsid w:val="00A56735"/>
    <w:rsid w:val="00A567DD"/>
    <w:rsid w:val="00A56F35"/>
    <w:rsid w:val="00A60779"/>
    <w:rsid w:val="00A609BA"/>
    <w:rsid w:val="00A60B00"/>
    <w:rsid w:val="00A633C7"/>
    <w:rsid w:val="00A6522A"/>
    <w:rsid w:val="00A65463"/>
    <w:rsid w:val="00A6572C"/>
    <w:rsid w:val="00A65A00"/>
    <w:rsid w:val="00A6640B"/>
    <w:rsid w:val="00A671F8"/>
    <w:rsid w:val="00A67E5D"/>
    <w:rsid w:val="00A704F2"/>
    <w:rsid w:val="00A709F1"/>
    <w:rsid w:val="00A7145F"/>
    <w:rsid w:val="00A71BFF"/>
    <w:rsid w:val="00A71E57"/>
    <w:rsid w:val="00A733E5"/>
    <w:rsid w:val="00A74882"/>
    <w:rsid w:val="00A74CA7"/>
    <w:rsid w:val="00A75C82"/>
    <w:rsid w:val="00A76580"/>
    <w:rsid w:val="00A76D56"/>
    <w:rsid w:val="00A76E38"/>
    <w:rsid w:val="00A76F1C"/>
    <w:rsid w:val="00A771FB"/>
    <w:rsid w:val="00A80C5C"/>
    <w:rsid w:val="00A80F36"/>
    <w:rsid w:val="00A813D8"/>
    <w:rsid w:val="00A82601"/>
    <w:rsid w:val="00A8337E"/>
    <w:rsid w:val="00A835B0"/>
    <w:rsid w:val="00A83909"/>
    <w:rsid w:val="00A83B6C"/>
    <w:rsid w:val="00A83CE7"/>
    <w:rsid w:val="00A83D11"/>
    <w:rsid w:val="00A852A7"/>
    <w:rsid w:val="00A85631"/>
    <w:rsid w:val="00A85EB5"/>
    <w:rsid w:val="00A85FEB"/>
    <w:rsid w:val="00A865EC"/>
    <w:rsid w:val="00A86A9C"/>
    <w:rsid w:val="00A8780E"/>
    <w:rsid w:val="00A900F1"/>
    <w:rsid w:val="00A90139"/>
    <w:rsid w:val="00A918C5"/>
    <w:rsid w:val="00A919AD"/>
    <w:rsid w:val="00A922EF"/>
    <w:rsid w:val="00A9300D"/>
    <w:rsid w:val="00A930B7"/>
    <w:rsid w:val="00A931A3"/>
    <w:rsid w:val="00A953FB"/>
    <w:rsid w:val="00A95886"/>
    <w:rsid w:val="00A959E9"/>
    <w:rsid w:val="00A96257"/>
    <w:rsid w:val="00A97022"/>
    <w:rsid w:val="00A97768"/>
    <w:rsid w:val="00AA00E3"/>
    <w:rsid w:val="00AA084C"/>
    <w:rsid w:val="00AA093E"/>
    <w:rsid w:val="00AA112B"/>
    <w:rsid w:val="00AA1865"/>
    <w:rsid w:val="00AA1EED"/>
    <w:rsid w:val="00AA2E07"/>
    <w:rsid w:val="00AA2E80"/>
    <w:rsid w:val="00AA3CEB"/>
    <w:rsid w:val="00AA4661"/>
    <w:rsid w:val="00AA53CB"/>
    <w:rsid w:val="00AA60E5"/>
    <w:rsid w:val="00AA6872"/>
    <w:rsid w:val="00AB21C0"/>
    <w:rsid w:val="00AB2B94"/>
    <w:rsid w:val="00AB461B"/>
    <w:rsid w:val="00AB57C5"/>
    <w:rsid w:val="00AB62CD"/>
    <w:rsid w:val="00AB6431"/>
    <w:rsid w:val="00AB657F"/>
    <w:rsid w:val="00AB77CE"/>
    <w:rsid w:val="00AB7D1F"/>
    <w:rsid w:val="00AC03BB"/>
    <w:rsid w:val="00AC090C"/>
    <w:rsid w:val="00AC2449"/>
    <w:rsid w:val="00AC36FF"/>
    <w:rsid w:val="00AC3A15"/>
    <w:rsid w:val="00AC438C"/>
    <w:rsid w:val="00AC4808"/>
    <w:rsid w:val="00AC49EA"/>
    <w:rsid w:val="00AC4BD9"/>
    <w:rsid w:val="00AC6193"/>
    <w:rsid w:val="00AC706F"/>
    <w:rsid w:val="00AC71BF"/>
    <w:rsid w:val="00AD0725"/>
    <w:rsid w:val="00AD11E5"/>
    <w:rsid w:val="00AD141D"/>
    <w:rsid w:val="00AD15F3"/>
    <w:rsid w:val="00AD18BB"/>
    <w:rsid w:val="00AD29D8"/>
    <w:rsid w:val="00AD3AA9"/>
    <w:rsid w:val="00AD51D8"/>
    <w:rsid w:val="00AD5354"/>
    <w:rsid w:val="00AD5475"/>
    <w:rsid w:val="00AD548D"/>
    <w:rsid w:val="00AD5892"/>
    <w:rsid w:val="00AD5E1E"/>
    <w:rsid w:val="00AD67B5"/>
    <w:rsid w:val="00AD6820"/>
    <w:rsid w:val="00AD6E18"/>
    <w:rsid w:val="00AD7426"/>
    <w:rsid w:val="00AD74F8"/>
    <w:rsid w:val="00AD762B"/>
    <w:rsid w:val="00AD7725"/>
    <w:rsid w:val="00AD7A43"/>
    <w:rsid w:val="00AD7D39"/>
    <w:rsid w:val="00AE006E"/>
    <w:rsid w:val="00AE1D0E"/>
    <w:rsid w:val="00AE1EBF"/>
    <w:rsid w:val="00AE238B"/>
    <w:rsid w:val="00AE243A"/>
    <w:rsid w:val="00AE4DBB"/>
    <w:rsid w:val="00AE5AD3"/>
    <w:rsid w:val="00AE5CA4"/>
    <w:rsid w:val="00AE626C"/>
    <w:rsid w:val="00AE67F5"/>
    <w:rsid w:val="00AF178B"/>
    <w:rsid w:val="00AF3136"/>
    <w:rsid w:val="00AF3B27"/>
    <w:rsid w:val="00AF3D06"/>
    <w:rsid w:val="00AF43D4"/>
    <w:rsid w:val="00AF44A5"/>
    <w:rsid w:val="00AF5017"/>
    <w:rsid w:val="00AF530D"/>
    <w:rsid w:val="00AF6CDE"/>
    <w:rsid w:val="00AF713F"/>
    <w:rsid w:val="00AF71A0"/>
    <w:rsid w:val="00B00628"/>
    <w:rsid w:val="00B009B6"/>
    <w:rsid w:val="00B01348"/>
    <w:rsid w:val="00B01D51"/>
    <w:rsid w:val="00B01FBB"/>
    <w:rsid w:val="00B026A7"/>
    <w:rsid w:val="00B0376D"/>
    <w:rsid w:val="00B037DF"/>
    <w:rsid w:val="00B04AD0"/>
    <w:rsid w:val="00B04CF7"/>
    <w:rsid w:val="00B04F3F"/>
    <w:rsid w:val="00B05564"/>
    <w:rsid w:val="00B0587F"/>
    <w:rsid w:val="00B0591D"/>
    <w:rsid w:val="00B06B47"/>
    <w:rsid w:val="00B06FAA"/>
    <w:rsid w:val="00B10A93"/>
    <w:rsid w:val="00B11B80"/>
    <w:rsid w:val="00B1225B"/>
    <w:rsid w:val="00B13464"/>
    <w:rsid w:val="00B13E07"/>
    <w:rsid w:val="00B13E7B"/>
    <w:rsid w:val="00B14B87"/>
    <w:rsid w:val="00B15069"/>
    <w:rsid w:val="00B153E6"/>
    <w:rsid w:val="00B16F9F"/>
    <w:rsid w:val="00B172A6"/>
    <w:rsid w:val="00B17FFC"/>
    <w:rsid w:val="00B2055F"/>
    <w:rsid w:val="00B20949"/>
    <w:rsid w:val="00B20B09"/>
    <w:rsid w:val="00B218E8"/>
    <w:rsid w:val="00B2315F"/>
    <w:rsid w:val="00B2348A"/>
    <w:rsid w:val="00B236C2"/>
    <w:rsid w:val="00B23776"/>
    <w:rsid w:val="00B23BD2"/>
    <w:rsid w:val="00B25541"/>
    <w:rsid w:val="00B25575"/>
    <w:rsid w:val="00B25FF1"/>
    <w:rsid w:val="00B26592"/>
    <w:rsid w:val="00B26B6C"/>
    <w:rsid w:val="00B2727E"/>
    <w:rsid w:val="00B2759A"/>
    <w:rsid w:val="00B27983"/>
    <w:rsid w:val="00B309B3"/>
    <w:rsid w:val="00B30A96"/>
    <w:rsid w:val="00B30CA8"/>
    <w:rsid w:val="00B3110F"/>
    <w:rsid w:val="00B3199E"/>
    <w:rsid w:val="00B31A55"/>
    <w:rsid w:val="00B32A92"/>
    <w:rsid w:val="00B33092"/>
    <w:rsid w:val="00B330D9"/>
    <w:rsid w:val="00B33DCD"/>
    <w:rsid w:val="00B34D02"/>
    <w:rsid w:val="00B34F8F"/>
    <w:rsid w:val="00B363F7"/>
    <w:rsid w:val="00B37544"/>
    <w:rsid w:val="00B40135"/>
    <w:rsid w:val="00B40176"/>
    <w:rsid w:val="00B41C09"/>
    <w:rsid w:val="00B42801"/>
    <w:rsid w:val="00B4286D"/>
    <w:rsid w:val="00B428E7"/>
    <w:rsid w:val="00B42CA0"/>
    <w:rsid w:val="00B43353"/>
    <w:rsid w:val="00B43436"/>
    <w:rsid w:val="00B44B02"/>
    <w:rsid w:val="00B44F2C"/>
    <w:rsid w:val="00B45760"/>
    <w:rsid w:val="00B470C8"/>
    <w:rsid w:val="00B47351"/>
    <w:rsid w:val="00B476C6"/>
    <w:rsid w:val="00B504AD"/>
    <w:rsid w:val="00B50AF3"/>
    <w:rsid w:val="00B51527"/>
    <w:rsid w:val="00B51AAA"/>
    <w:rsid w:val="00B51EE9"/>
    <w:rsid w:val="00B5288A"/>
    <w:rsid w:val="00B529BF"/>
    <w:rsid w:val="00B52ACD"/>
    <w:rsid w:val="00B534D5"/>
    <w:rsid w:val="00B542BA"/>
    <w:rsid w:val="00B54417"/>
    <w:rsid w:val="00B54A94"/>
    <w:rsid w:val="00B54EF7"/>
    <w:rsid w:val="00B555F7"/>
    <w:rsid w:val="00B55C7D"/>
    <w:rsid w:val="00B55D4C"/>
    <w:rsid w:val="00B56055"/>
    <w:rsid w:val="00B570A5"/>
    <w:rsid w:val="00B60104"/>
    <w:rsid w:val="00B606B1"/>
    <w:rsid w:val="00B60A10"/>
    <w:rsid w:val="00B61E97"/>
    <w:rsid w:val="00B62165"/>
    <w:rsid w:val="00B6226A"/>
    <w:rsid w:val="00B62D52"/>
    <w:rsid w:val="00B63106"/>
    <w:rsid w:val="00B63785"/>
    <w:rsid w:val="00B63D28"/>
    <w:rsid w:val="00B6468A"/>
    <w:rsid w:val="00B64F3F"/>
    <w:rsid w:val="00B6510E"/>
    <w:rsid w:val="00B65D09"/>
    <w:rsid w:val="00B6627A"/>
    <w:rsid w:val="00B66514"/>
    <w:rsid w:val="00B67463"/>
    <w:rsid w:val="00B67A73"/>
    <w:rsid w:val="00B701D8"/>
    <w:rsid w:val="00B70BC0"/>
    <w:rsid w:val="00B716B6"/>
    <w:rsid w:val="00B72C82"/>
    <w:rsid w:val="00B75180"/>
    <w:rsid w:val="00B75519"/>
    <w:rsid w:val="00B757C3"/>
    <w:rsid w:val="00B75B83"/>
    <w:rsid w:val="00B76998"/>
    <w:rsid w:val="00B80643"/>
    <w:rsid w:val="00B80C68"/>
    <w:rsid w:val="00B80CAE"/>
    <w:rsid w:val="00B8169B"/>
    <w:rsid w:val="00B81BA4"/>
    <w:rsid w:val="00B829E6"/>
    <w:rsid w:val="00B833F7"/>
    <w:rsid w:val="00B83DA2"/>
    <w:rsid w:val="00B83E1D"/>
    <w:rsid w:val="00B8465B"/>
    <w:rsid w:val="00B85741"/>
    <w:rsid w:val="00B85B28"/>
    <w:rsid w:val="00B8693B"/>
    <w:rsid w:val="00B86954"/>
    <w:rsid w:val="00B87700"/>
    <w:rsid w:val="00B9092B"/>
    <w:rsid w:val="00B9093D"/>
    <w:rsid w:val="00B92607"/>
    <w:rsid w:val="00B92715"/>
    <w:rsid w:val="00B92D18"/>
    <w:rsid w:val="00B92F28"/>
    <w:rsid w:val="00B93892"/>
    <w:rsid w:val="00B942F9"/>
    <w:rsid w:val="00B96473"/>
    <w:rsid w:val="00B96FD3"/>
    <w:rsid w:val="00B97043"/>
    <w:rsid w:val="00B97955"/>
    <w:rsid w:val="00B97968"/>
    <w:rsid w:val="00B97A96"/>
    <w:rsid w:val="00BA0396"/>
    <w:rsid w:val="00BA0F46"/>
    <w:rsid w:val="00BA1B5F"/>
    <w:rsid w:val="00BA2152"/>
    <w:rsid w:val="00BA23CD"/>
    <w:rsid w:val="00BA2678"/>
    <w:rsid w:val="00BA3A8F"/>
    <w:rsid w:val="00BA3B5A"/>
    <w:rsid w:val="00BA3D34"/>
    <w:rsid w:val="00BA4761"/>
    <w:rsid w:val="00BA4E29"/>
    <w:rsid w:val="00BA5800"/>
    <w:rsid w:val="00BA5DAE"/>
    <w:rsid w:val="00BA6357"/>
    <w:rsid w:val="00BA6E38"/>
    <w:rsid w:val="00BA758D"/>
    <w:rsid w:val="00BA7FA7"/>
    <w:rsid w:val="00BA7FD2"/>
    <w:rsid w:val="00BB0A3F"/>
    <w:rsid w:val="00BB18BA"/>
    <w:rsid w:val="00BB31BA"/>
    <w:rsid w:val="00BB3775"/>
    <w:rsid w:val="00BB3863"/>
    <w:rsid w:val="00BB4528"/>
    <w:rsid w:val="00BB47D7"/>
    <w:rsid w:val="00BB5941"/>
    <w:rsid w:val="00BB6242"/>
    <w:rsid w:val="00BB6769"/>
    <w:rsid w:val="00BB6AED"/>
    <w:rsid w:val="00BB6B4C"/>
    <w:rsid w:val="00BB6EC1"/>
    <w:rsid w:val="00BB7560"/>
    <w:rsid w:val="00BB77D6"/>
    <w:rsid w:val="00BB7A7B"/>
    <w:rsid w:val="00BC0BAD"/>
    <w:rsid w:val="00BC1D8C"/>
    <w:rsid w:val="00BC1E60"/>
    <w:rsid w:val="00BC282F"/>
    <w:rsid w:val="00BC4306"/>
    <w:rsid w:val="00BC4AB8"/>
    <w:rsid w:val="00BC4E1A"/>
    <w:rsid w:val="00BC514E"/>
    <w:rsid w:val="00BC6C3A"/>
    <w:rsid w:val="00BC727F"/>
    <w:rsid w:val="00BC7325"/>
    <w:rsid w:val="00BD01F1"/>
    <w:rsid w:val="00BD0664"/>
    <w:rsid w:val="00BD07D6"/>
    <w:rsid w:val="00BD1B7F"/>
    <w:rsid w:val="00BD2360"/>
    <w:rsid w:val="00BD30B5"/>
    <w:rsid w:val="00BD31E0"/>
    <w:rsid w:val="00BD3636"/>
    <w:rsid w:val="00BD3A2A"/>
    <w:rsid w:val="00BD43F5"/>
    <w:rsid w:val="00BD4BE3"/>
    <w:rsid w:val="00BD52EF"/>
    <w:rsid w:val="00BD6E7E"/>
    <w:rsid w:val="00BD7794"/>
    <w:rsid w:val="00BE0012"/>
    <w:rsid w:val="00BE0646"/>
    <w:rsid w:val="00BE0C10"/>
    <w:rsid w:val="00BE0CF8"/>
    <w:rsid w:val="00BE0E0B"/>
    <w:rsid w:val="00BE0E52"/>
    <w:rsid w:val="00BE11D4"/>
    <w:rsid w:val="00BE2375"/>
    <w:rsid w:val="00BE260F"/>
    <w:rsid w:val="00BE294B"/>
    <w:rsid w:val="00BE327A"/>
    <w:rsid w:val="00BE33CD"/>
    <w:rsid w:val="00BE33F5"/>
    <w:rsid w:val="00BE48C4"/>
    <w:rsid w:val="00BE5CE1"/>
    <w:rsid w:val="00BE5F66"/>
    <w:rsid w:val="00BE5FE5"/>
    <w:rsid w:val="00BE6C1C"/>
    <w:rsid w:val="00BE721F"/>
    <w:rsid w:val="00BE7FE4"/>
    <w:rsid w:val="00BF0160"/>
    <w:rsid w:val="00BF06DC"/>
    <w:rsid w:val="00BF0AD5"/>
    <w:rsid w:val="00BF147E"/>
    <w:rsid w:val="00BF1E62"/>
    <w:rsid w:val="00BF280D"/>
    <w:rsid w:val="00BF2F84"/>
    <w:rsid w:val="00BF3391"/>
    <w:rsid w:val="00BF66EF"/>
    <w:rsid w:val="00BF73BD"/>
    <w:rsid w:val="00BF7B00"/>
    <w:rsid w:val="00C00A44"/>
    <w:rsid w:val="00C02357"/>
    <w:rsid w:val="00C028B7"/>
    <w:rsid w:val="00C02D97"/>
    <w:rsid w:val="00C02DFB"/>
    <w:rsid w:val="00C03DB1"/>
    <w:rsid w:val="00C040DB"/>
    <w:rsid w:val="00C04142"/>
    <w:rsid w:val="00C05E9B"/>
    <w:rsid w:val="00C07238"/>
    <w:rsid w:val="00C11F44"/>
    <w:rsid w:val="00C127A8"/>
    <w:rsid w:val="00C130D3"/>
    <w:rsid w:val="00C14DF2"/>
    <w:rsid w:val="00C14E9A"/>
    <w:rsid w:val="00C14EE5"/>
    <w:rsid w:val="00C15001"/>
    <w:rsid w:val="00C15240"/>
    <w:rsid w:val="00C15C75"/>
    <w:rsid w:val="00C15F6A"/>
    <w:rsid w:val="00C16080"/>
    <w:rsid w:val="00C16131"/>
    <w:rsid w:val="00C16506"/>
    <w:rsid w:val="00C17298"/>
    <w:rsid w:val="00C17BB7"/>
    <w:rsid w:val="00C17C82"/>
    <w:rsid w:val="00C20119"/>
    <w:rsid w:val="00C2067A"/>
    <w:rsid w:val="00C2082B"/>
    <w:rsid w:val="00C20C38"/>
    <w:rsid w:val="00C2220C"/>
    <w:rsid w:val="00C2233E"/>
    <w:rsid w:val="00C22FA0"/>
    <w:rsid w:val="00C23D36"/>
    <w:rsid w:val="00C25AFF"/>
    <w:rsid w:val="00C25B7D"/>
    <w:rsid w:val="00C25B94"/>
    <w:rsid w:val="00C25D5C"/>
    <w:rsid w:val="00C25E4A"/>
    <w:rsid w:val="00C260A2"/>
    <w:rsid w:val="00C26158"/>
    <w:rsid w:val="00C271B2"/>
    <w:rsid w:val="00C278B5"/>
    <w:rsid w:val="00C27D27"/>
    <w:rsid w:val="00C30473"/>
    <w:rsid w:val="00C305D8"/>
    <w:rsid w:val="00C30BF6"/>
    <w:rsid w:val="00C31302"/>
    <w:rsid w:val="00C31ABF"/>
    <w:rsid w:val="00C321B5"/>
    <w:rsid w:val="00C328E8"/>
    <w:rsid w:val="00C32A05"/>
    <w:rsid w:val="00C35023"/>
    <w:rsid w:val="00C3512D"/>
    <w:rsid w:val="00C356F5"/>
    <w:rsid w:val="00C35A57"/>
    <w:rsid w:val="00C36453"/>
    <w:rsid w:val="00C365CC"/>
    <w:rsid w:val="00C369DD"/>
    <w:rsid w:val="00C36A4D"/>
    <w:rsid w:val="00C36C2E"/>
    <w:rsid w:val="00C37255"/>
    <w:rsid w:val="00C3736E"/>
    <w:rsid w:val="00C37ACA"/>
    <w:rsid w:val="00C4196D"/>
    <w:rsid w:val="00C427C8"/>
    <w:rsid w:val="00C441DE"/>
    <w:rsid w:val="00C44EBF"/>
    <w:rsid w:val="00C452D6"/>
    <w:rsid w:val="00C4559B"/>
    <w:rsid w:val="00C45B41"/>
    <w:rsid w:val="00C5009E"/>
    <w:rsid w:val="00C5011D"/>
    <w:rsid w:val="00C510E5"/>
    <w:rsid w:val="00C51D11"/>
    <w:rsid w:val="00C522D8"/>
    <w:rsid w:val="00C52DD4"/>
    <w:rsid w:val="00C53318"/>
    <w:rsid w:val="00C54904"/>
    <w:rsid w:val="00C54E65"/>
    <w:rsid w:val="00C55F69"/>
    <w:rsid w:val="00C56763"/>
    <w:rsid w:val="00C56A02"/>
    <w:rsid w:val="00C60083"/>
    <w:rsid w:val="00C600FB"/>
    <w:rsid w:val="00C606B4"/>
    <w:rsid w:val="00C61004"/>
    <w:rsid w:val="00C61604"/>
    <w:rsid w:val="00C61A98"/>
    <w:rsid w:val="00C61CF7"/>
    <w:rsid w:val="00C6209A"/>
    <w:rsid w:val="00C6355B"/>
    <w:rsid w:val="00C64E53"/>
    <w:rsid w:val="00C65447"/>
    <w:rsid w:val="00C660D9"/>
    <w:rsid w:val="00C6660A"/>
    <w:rsid w:val="00C67736"/>
    <w:rsid w:val="00C67998"/>
    <w:rsid w:val="00C70944"/>
    <w:rsid w:val="00C70BB3"/>
    <w:rsid w:val="00C70EB9"/>
    <w:rsid w:val="00C71C86"/>
    <w:rsid w:val="00C72FAD"/>
    <w:rsid w:val="00C7386E"/>
    <w:rsid w:val="00C74BA9"/>
    <w:rsid w:val="00C74BD6"/>
    <w:rsid w:val="00C76B20"/>
    <w:rsid w:val="00C76D00"/>
    <w:rsid w:val="00C76FC3"/>
    <w:rsid w:val="00C773E9"/>
    <w:rsid w:val="00C77A45"/>
    <w:rsid w:val="00C81E8C"/>
    <w:rsid w:val="00C823EC"/>
    <w:rsid w:val="00C82682"/>
    <w:rsid w:val="00C832B4"/>
    <w:rsid w:val="00C833DA"/>
    <w:rsid w:val="00C84763"/>
    <w:rsid w:val="00C8492F"/>
    <w:rsid w:val="00C84F8B"/>
    <w:rsid w:val="00C85726"/>
    <w:rsid w:val="00C85C81"/>
    <w:rsid w:val="00C85F52"/>
    <w:rsid w:val="00C873A9"/>
    <w:rsid w:val="00C879D2"/>
    <w:rsid w:val="00C901A1"/>
    <w:rsid w:val="00C9214C"/>
    <w:rsid w:val="00C921B5"/>
    <w:rsid w:val="00C9309F"/>
    <w:rsid w:val="00C93261"/>
    <w:rsid w:val="00C9331E"/>
    <w:rsid w:val="00C9346D"/>
    <w:rsid w:val="00C9437D"/>
    <w:rsid w:val="00C9438D"/>
    <w:rsid w:val="00C94A9D"/>
    <w:rsid w:val="00C94CBF"/>
    <w:rsid w:val="00C94D89"/>
    <w:rsid w:val="00C9588E"/>
    <w:rsid w:val="00C962A3"/>
    <w:rsid w:val="00C97176"/>
    <w:rsid w:val="00C973EC"/>
    <w:rsid w:val="00C9746A"/>
    <w:rsid w:val="00C97FDD"/>
    <w:rsid w:val="00CA0029"/>
    <w:rsid w:val="00CA0A90"/>
    <w:rsid w:val="00CA19B9"/>
    <w:rsid w:val="00CA1B8F"/>
    <w:rsid w:val="00CA2A25"/>
    <w:rsid w:val="00CA3567"/>
    <w:rsid w:val="00CA390B"/>
    <w:rsid w:val="00CA4030"/>
    <w:rsid w:val="00CA41B4"/>
    <w:rsid w:val="00CA4B83"/>
    <w:rsid w:val="00CA4CB9"/>
    <w:rsid w:val="00CA5F6D"/>
    <w:rsid w:val="00CA6FD3"/>
    <w:rsid w:val="00CA769B"/>
    <w:rsid w:val="00CA78F7"/>
    <w:rsid w:val="00CB0587"/>
    <w:rsid w:val="00CB15E9"/>
    <w:rsid w:val="00CB1F1E"/>
    <w:rsid w:val="00CB23FD"/>
    <w:rsid w:val="00CB323F"/>
    <w:rsid w:val="00CB3278"/>
    <w:rsid w:val="00CB4439"/>
    <w:rsid w:val="00CB4E74"/>
    <w:rsid w:val="00CB53B3"/>
    <w:rsid w:val="00CB54C1"/>
    <w:rsid w:val="00CB5F1F"/>
    <w:rsid w:val="00CB6C6C"/>
    <w:rsid w:val="00CB7021"/>
    <w:rsid w:val="00CC0841"/>
    <w:rsid w:val="00CC2565"/>
    <w:rsid w:val="00CC2F57"/>
    <w:rsid w:val="00CC4629"/>
    <w:rsid w:val="00CC544C"/>
    <w:rsid w:val="00CC65DC"/>
    <w:rsid w:val="00CC6CF1"/>
    <w:rsid w:val="00CC7C65"/>
    <w:rsid w:val="00CC7D74"/>
    <w:rsid w:val="00CD03D3"/>
    <w:rsid w:val="00CD0C7B"/>
    <w:rsid w:val="00CD12A4"/>
    <w:rsid w:val="00CD13C4"/>
    <w:rsid w:val="00CD1BE4"/>
    <w:rsid w:val="00CD1EA5"/>
    <w:rsid w:val="00CD29FA"/>
    <w:rsid w:val="00CD2CC7"/>
    <w:rsid w:val="00CD2D5E"/>
    <w:rsid w:val="00CD3322"/>
    <w:rsid w:val="00CD34EE"/>
    <w:rsid w:val="00CD47AB"/>
    <w:rsid w:val="00CD4B1F"/>
    <w:rsid w:val="00CD53C1"/>
    <w:rsid w:val="00CD56A3"/>
    <w:rsid w:val="00CD56BB"/>
    <w:rsid w:val="00CD58B0"/>
    <w:rsid w:val="00CD5E5D"/>
    <w:rsid w:val="00CD654F"/>
    <w:rsid w:val="00CD7248"/>
    <w:rsid w:val="00CD7E81"/>
    <w:rsid w:val="00CE0295"/>
    <w:rsid w:val="00CE19B7"/>
    <w:rsid w:val="00CE257D"/>
    <w:rsid w:val="00CE2774"/>
    <w:rsid w:val="00CE3396"/>
    <w:rsid w:val="00CE41DF"/>
    <w:rsid w:val="00CE642D"/>
    <w:rsid w:val="00CE675C"/>
    <w:rsid w:val="00CE6DE1"/>
    <w:rsid w:val="00CE741C"/>
    <w:rsid w:val="00CF10ED"/>
    <w:rsid w:val="00CF18EA"/>
    <w:rsid w:val="00CF29B1"/>
    <w:rsid w:val="00CF38D5"/>
    <w:rsid w:val="00CF3D68"/>
    <w:rsid w:val="00CF3EC0"/>
    <w:rsid w:val="00CF3EE9"/>
    <w:rsid w:val="00CF43D7"/>
    <w:rsid w:val="00CF4ACE"/>
    <w:rsid w:val="00CF5058"/>
    <w:rsid w:val="00CF6223"/>
    <w:rsid w:val="00CF68A0"/>
    <w:rsid w:val="00CF7741"/>
    <w:rsid w:val="00D005F0"/>
    <w:rsid w:val="00D0099F"/>
    <w:rsid w:val="00D00C36"/>
    <w:rsid w:val="00D00C95"/>
    <w:rsid w:val="00D00E96"/>
    <w:rsid w:val="00D02079"/>
    <w:rsid w:val="00D020B3"/>
    <w:rsid w:val="00D024DA"/>
    <w:rsid w:val="00D038C5"/>
    <w:rsid w:val="00D03C15"/>
    <w:rsid w:val="00D04485"/>
    <w:rsid w:val="00D04EAB"/>
    <w:rsid w:val="00D05DA4"/>
    <w:rsid w:val="00D060AC"/>
    <w:rsid w:val="00D06C6F"/>
    <w:rsid w:val="00D075E8"/>
    <w:rsid w:val="00D07A58"/>
    <w:rsid w:val="00D07D89"/>
    <w:rsid w:val="00D1046A"/>
    <w:rsid w:val="00D104D5"/>
    <w:rsid w:val="00D10CDA"/>
    <w:rsid w:val="00D113B2"/>
    <w:rsid w:val="00D11B1B"/>
    <w:rsid w:val="00D12541"/>
    <w:rsid w:val="00D14AE9"/>
    <w:rsid w:val="00D14F71"/>
    <w:rsid w:val="00D15150"/>
    <w:rsid w:val="00D15180"/>
    <w:rsid w:val="00D15728"/>
    <w:rsid w:val="00D15DBC"/>
    <w:rsid w:val="00D16D17"/>
    <w:rsid w:val="00D171D8"/>
    <w:rsid w:val="00D17209"/>
    <w:rsid w:val="00D215EF"/>
    <w:rsid w:val="00D2357D"/>
    <w:rsid w:val="00D23A83"/>
    <w:rsid w:val="00D24298"/>
    <w:rsid w:val="00D24352"/>
    <w:rsid w:val="00D252E4"/>
    <w:rsid w:val="00D26294"/>
    <w:rsid w:val="00D26750"/>
    <w:rsid w:val="00D270BA"/>
    <w:rsid w:val="00D27128"/>
    <w:rsid w:val="00D27464"/>
    <w:rsid w:val="00D27951"/>
    <w:rsid w:val="00D27ABB"/>
    <w:rsid w:val="00D31204"/>
    <w:rsid w:val="00D3269B"/>
    <w:rsid w:val="00D32C05"/>
    <w:rsid w:val="00D3322F"/>
    <w:rsid w:val="00D3372E"/>
    <w:rsid w:val="00D337F2"/>
    <w:rsid w:val="00D33B3F"/>
    <w:rsid w:val="00D3421B"/>
    <w:rsid w:val="00D34492"/>
    <w:rsid w:val="00D34504"/>
    <w:rsid w:val="00D34DED"/>
    <w:rsid w:val="00D34F1A"/>
    <w:rsid w:val="00D35870"/>
    <w:rsid w:val="00D36E79"/>
    <w:rsid w:val="00D37BB4"/>
    <w:rsid w:val="00D40955"/>
    <w:rsid w:val="00D40B2C"/>
    <w:rsid w:val="00D417E6"/>
    <w:rsid w:val="00D41D30"/>
    <w:rsid w:val="00D42440"/>
    <w:rsid w:val="00D42F53"/>
    <w:rsid w:val="00D45794"/>
    <w:rsid w:val="00D45982"/>
    <w:rsid w:val="00D46403"/>
    <w:rsid w:val="00D4667F"/>
    <w:rsid w:val="00D4679C"/>
    <w:rsid w:val="00D46B58"/>
    <w:rsid w:val="00D46D7F"/>
    <w:rsid w:val="00D46FFD"/>
    <w:rsid w:val="00D47423"/>
    <w:rsid w:val="00D47AD4"/>
    <w:rsid w:val="00D47D03"/>
    <w:rsid w:val="00D47E51"/>
    <w:rsid w:val="00D50276"/>
    <w:rsid w:val="00D50569"/>
    <w:rsid w:val="00D50679"/>
    <w:rsid w:val="00D50DAA"/>
    <w:rsid w:val="00D51A2C"/>
    <w:rsid w:val="00D51C8D"/>
    <w:rsid w:val="00D51CE1"/>
    <w:rsid w:val="00D52722"/>
    <w:rsid w:val="00D52E40"/>
    <w:rsid w:val="00D549DD"/>
    <w:rsid w:val="00D54CDF"/>
    <w:rsid w:val="00D5552B"/>
    <w:rsid w:val="00D56A1C"/>
    <w:rsid w:val="00D56FF8"/>
    <w:rsid w:val="00D57244"/>
    <w:rsid w:val="00D57727"/>
    <w:rsid w:val="00D57AC2"/>
    <w:rsid w:val="00D57E77"/>
    <w:rsid w:val="00D61EB5"/>
    <w:rsid w:val="00D62248"/>
    <w:rsid w:val="00D622E7"/>
    <w:rsid w:val="00D625A2"/>
    <w:rsid w:val="00D628AF"/>
    <w:rsid w:val="00D62DA1"/>
    <w:rsid w:val="00D63063"/>
    <w:rsid w:val="00D634C9"/>
    <w:rsid w:val="00D6461C"/>
    <w:rsid w:val="00D64C3D"/>
    <w:rsid w:val="00D65734"/>
    <w:rsid w:val="00D65739"/>
    <w:rsid w:val="00D6691B"/>
    <w:rsid w:val="00D6765E"/>
    <w:rsid w:val="00D67A9B"/>
    <w:rsid w:val="00D67D3B"/>
    <w:rsid w:val="00D7186F"/>
    <w:rsid w:val="00D71CBC"/>
    <w:rsid w:val="00D7210B"/>
    <w:rsid w:val="00D72128"/>
    <w:rsid w:val="00D72915"/>
    <w:rsid w:val="00D72C73"/>
    <w:rsid w:val="00D73341"/>
    <w:rsid w:val="00D735CD"/>
    <w:rsid w:val="00D74907"/>
    <w:rsid w:val="00D74CC6"/>
    <w:rsid w:val="00D75112"/>
    <w:rsid w:val="00D75B75"/>
    <w:rsid w:val="00D7619F"/>
    <w:rsid w:val="00D7627D"/>
    <w:rsid w:val="00D763F3"/>
    <w:rsid w:val="00D76535"/>
    <w:rsid w:val="00D76827"/>
    <w:rsid w:val="00D77150"/>
    <w:rsid w:val="00D77295"/>
    <w:rsid w:val="00D77A08"/>
    <w:rsid w:val="00D80555"/>
    <w:rsid w:val="00D80AB6"/>
    <w:rsid w:val="00D80F32"/>
    <w:rsid w:val="00D820FD"/>
    <w:rsid w:val="00D823BE"/>
    <w:rsid w:val="00D82941"/>
    <w:rsid w:val="00D82AF7"/>
    <w:rsid w:val="00D839A8"/>
    <w:rsid w:val="00D83FA0"/>
    <w:rsid w:val="00D842FD"/>
    <w:rsid w:val="00D846DF"/>
    <w:rsid w:val="00D851A4"/>
    <w:rsid w:val="00D85526"/>
    <w:rsid w:val="00D8646C"/>
    <w:rsid w:val="00D86D18"/>
    <w:rsid w:val="00D86F5D"/>
    <w:rsid w:val="00D908D2"/>
    <w:rsid w:val="00D9095A"/>
    <w:rsid w:val="00D90F8D"/>
    <w:rsid w:val="00D91159"/>
    <w:rsid w:val="00D924D5"/>
    <w:rsid w:val="00D92CA1"/>
    <w:rsid w:val="00D938BF"/>
    <w:rsid w:val="00D94528"/>
    <w:rsid w:val="00D94F33"/>
    <w:rsid w:val="00D9576D"/>
    <w:rsid w:val="00D95CE5"/>
    <w:rsid w:val="00D96103"/>
    <w:rsid w:val="00D96B1D"/>
    <w:rsid w:val="00D974E0"/>
    <w:rsid w:val="00DA1082"/>
    <w:rsid w:val="00DA2928"/>
    <w:rsid w:val="00DA3770"/>
    <w:rsid w:val="00DA483C"/>
    <w:rsid w:val="00DA4A3C"/>
    <w:rsid w:val="00DA61E2"/>
    <w:rsid w:val="00DA7022"/>
    <w:rsid w:val="00DA734C"/>
    <w:rsid w:val="00DA74C5"/>
    <w:rsid w:val="00DA77AE"/>
    <w:rsid w:val="00DA7D6F"/>
    <w:rsid w:val="00DA7DD8"/>
    <w:rsid w:val="00DB03B5"/>
    <w:rsid w:val="00DB03E3"/>
    <w:rsid w:val="00DB0ACF"/>
    <w:rsid w:val="00DB0D99"/>
    <w:rsid w:val="00DB10B5"/>
    <w:rsid w:val="00DB1386"/>
    <w:rsid w:val="00DB17D9"/>
    <w:rsid w:val="00DB1843"/>
    <w:rsid w:val="00DB2677"/>
    <w:rsid w:val="00DB2DBF"/>
    <w:rsid w:val="00DB2FE0"/>
    <w:rsid w:val="00DB3080"/>
    <w:rsid w:val="00DB311F"/>
    <w:rsid w:val="00DB34D3"/>
    <w:rsid w:val="00DB643A"/>
    <w:rsid w:val="00DB7054"/>
    <w:rsid w:val="00DB7EDD"/>
    <w:rsid w:val="00DC0E55"/>
    <w:rsid w:val="00DC0F0E"/>
    <w:rsid w:val="00DC140D"/>
    <w:rsid w:val="00DC1728"/>
    <w:rsid w:val="00DC266D"/>
    <w:rsid w:val="00DC2A2A"/>
    <w:rsid w:val="00DC3B37"/>
    <w:rsid w:val="00DC3CDA"/>
    <w:rsid w:val="00DC4E6A"/>
    <w:rsid w:val="00DC5054"/>
    <w:rsid w:val="00DC5E95"/>
    <w:rsid w:val="00DC5ED1"/>
    <w:rsid w:val="00DC6034"/>
    <w:rsid w:val="00DC62A9"/>
    <w:rsid w:val="00DC67E9"/>
    <w:rsid w:val="00DC6904"/>
    <w:rsid w:val="00DC714C"/>
    <w:rsid w:val="00DC7794"/>
    <w:rsid w:val="00DC7A8D"/>
    <w:rsid w:val="00DC7A93"/>
    <w:rsid w:val="00DC7D49"/>
    <w:rsid w:val="00DD1655"/>
    <w:rsid w:val="00DD18A1"/>
    <w:rsid w:val="00DD18EB"/>
    <w:rsid w:val="00DD1C24"/>
    <w:rsid w:val="00DD1D74"/>
    <w:rsid w:val="00DD328A"/>
    <w:rsid w:val="00DD3886"/>
    <w:rsid w:val="00DD3B38"/>
    <w:rsid w:val="00DD3C83"/>
    <w:rsid w:val="00DD49C1"/>
    <w:rsid w:val="00DD4AF5"/>
    <w:rsid w:val="00DD5955"/>
    <w:rsid w:val="00DD5C44"/>
    <w:rsid w:val="00DD6833"/>
    <w:rsid w:val="00DD6E46"/>
    <w:rsid w:val="00DD7244"/>
    <w:rsid w:val="00DD7338"/>
    <w:rsid w:val="00DD7722"/>
    <w:rsid w:val="00DD7A8D"/>
    <w:rsid w:val="00DD7FCB"/>
    <w:rsid w:val="00DD7FED"/>
    <w:rsid w:val="00DE0567"/>
    <w:rsid w:val="00DE0BD2"/>
    <w:rsid w:val="00DE0BDE"/>
    <w:rsid w:val="00DE1915"/>
    <w:rsid w:val="00DE1E4C"/>
    <w:rsid w:val="00DE2099"/>
    <w:rsid w:val="00DE2398"/>
    <w:rsid w:val="00DE23D4"/>
    <w:rsid w:val="00DE31FD"/>
    <w:rsid w:val="00DE3283"/>
    <w:rsid w:val="00DE3587"/>
    <w:rsid w:val="00DE3AAB"/>
    <w:rsid w:val="00DE4142"/>
    <w:rsid w:val="00DE4459"/>
    <w:rsid w:val="00DE45EA"/>
    <w:rsid w:val="00DE4807"/>
    <w:rsid w:val="00DE4C45"/>
    <w:rsid w:val="00DE4CF2"/>
    <w:rsid w:val="00DE4EB3"/>
    <w:rsid w:val="00DE5510"/>
    <w:rsid w:val="00DE5700"/>
    <w:rsid w:val="00DE6321"/>
    <w:rsid w:val="00DE6482"/>
    <w:rsid w:val="00DE64A3"/>
    <w:rsid w:val="00DE7372"/>
    <w:rsid w:val="00DF005A"/>
    <w:rsid w:val="00DF1A0A"/>
    <w:rsid w:val="00DF1D07"/>
    <w:rsid w:val="00DF3CC1"/>
    <w:rsid w:val="00DF4551"/>
    <w:rsid w:val="00DF59C9"/>
    <w:rsid w:val="00DF62BD"/>
    <w:rsid w:val="00DF62CA"/>
    <w:rsid w:val="00DF66D2"/>
    <w:rsid w:val="00DF6792"/>
    <w:rsid w:val="00DF681F"/>
    <w:rsid w:val="00DF6B06"/>
    <w:rsid w:val="00DF7EC6"/>
    <w:rsid w:val="00E00521"/>
    <w:rsid w:val="00E00C9B"/>
    <w:rsid w:val="00E01B58"/>
    <w:rsid w:val="00E02864"/>
    <w:rsid w:val="00E02D01"/>
    <w:rsid w:val="00E03339"/>
    <w:rsid w:val="00E03C43"/>
    <w:rsid w:val="00E03C91"/>
    <w:rsid w:val="00E03DAB"/>
    <w:rsid w:val="00E0418F"/>
    <w:rsid w:val="00E04844"/>
    <w:rsid w:val="00E05585"/>
    <w:rsid w:val="00E05C6B"/>
    <w:rsid w:val="00E05F03"/>
    <w:rsid w:val="00E0612D"/>
    <w:rsid w:val="00E06291"/>
    <w:rsid w:val="00E0714A"/>
    <w:rsid w:val="00E079BD"/>
    <w:rsid w:val="00E07D05"/>
    <w:rsid w:val="00E10103"/>
    <w:rsid w:val="00E10199"/>
    <w:rsid w:val="00E10A0D"/>
    <w:rsid w:val="00E10EEE"/>
    <w:rsid w:val="00E11415"/>
    <w:rsid w:val="00E1198C"/>
    <w:rsid w:val="00E11A4F"/>
    <w:rsid w:val="00E11BE0"/>
    <w:rsid w:val="00E1209F"/>
    <w:rsid w:val="00E12378"/>
    <w:rsid w:val="00E125D3"/>
    <w:rsid w:val="00E12DC4"/>
    <w:rsid w:val="00E14CAE"/>
    <w:rsid w:val="00E15AEB"/>
    <w:rsid w:val="00E162CC"/>
    <w:rsid w:val="00E1661D"/>
    <w:rsid w:val="00E169E4"/>
    <w:rsid w:val="00E16CCA"/>
    <w:rsid w:val="00E17819"/>
    <w:rsid w:val="00E1788A"/>
    <w:rsid w:val="00E2048F"/>
    <w:rsid w:val="00E21427"/>
    <w:rsid w:val="00E21C37"/>
    <w:rsid w:val="00E221F6"/>
    <w:rsid w:val="00E22B2B"/>
    <w:rsid w:val="00E22F6B"/>
    <w:rsid w:val="00E23034"/>
    <w:rsid w:val="00E23B23"/>
    <w:rsid w:val="00E245B5"/>
    <w:rsid w:val="00E25220"/>
    <w:rsid w:val="00E25A31"/>
    <w:rsid w:val="00E2660A"/>
    <w:rsid w:val="00E27873"/>
    <w:rsid w:val="00E30271"/>
    <w:rsid w:val="00E314D7"/>
    <w:rsid w:val="00E31619"/>
    <w:rsid w:val="00E320B1"/>
    <w:rsid w:val="00E32156"/>
    <w:rsid w:val="00E331B0"/>
    <w:rsid w:val="00E3336D"/>
    <w:rsid w:val="00E33CAA"/>
    <w:rsid w:val="00E33D84"/>
    <w:rsid w:val="00E34262"/>
    <w:rsid w:val="00E35094"/>
    <w:rsid w:val="00E3510E"/>
    <w:rsid w:val="00E35BB6"/>
    <w:rsid w:val="00E35DBA"/>
    <w:rsid w:val="00E36137"/>
    <w:rsid w:val="00E369EF"/>
    <w:rsid w:val="00E36E61"/>
    <w:rsid w:val="00E37B44"/>
    <w:rsid w:val="00E4115B"/>
    <w:rsid w:val="00E4225A"/>
    <w:rsid w:val="00E423F4"/>
    <w:rsid w:val="00E4256B"/>
    <w:rsid w:val="00E43B78"/>
    <w:rsid w:val="00E441D5"/>
    <w:rsid w:val="00E451D5"/>
    <w:rsid w:val="00E45976"/>
    <w:rsid w:val="00E47724"/>
    <w:rsid w:val="00E501A5"/>
    <w:rsid w:val="00E503AE"/>
    <w:rsid w:val="00E50D40"/>
    <w:rsid w:val="00E51FBA"/>
    <w:rsid w:val="00E52196"/>
    <w:rsid w:val="00E52750"/>
    <w:rsid w:val="00E52BAE"/>
    <w:rsid w:val="00E53143"/>
    <w:rsid w:val="00E53BFD"/>
    <w:rsid w:val="00E53CA2"/>
    <w:rsid w:val="00E53FE0"/>
    <w:rsid w:val="00E54BE6"/>
    <w:rsid w:val="00E55289"/>
    <w:rsid w:val="00E55C1B"/>
    <w:rsid w:val="00E55E88"/>
    <w:rsid w:val="00E561EF"/>
    <w:rsid w:val="00E56BD8"/>
    <w:rsid w:val="00E56FF4"/>
    <w:rsid w:val="00E60343"/>
    <w:rsid w:val="00E6060A"/>
    <w:rsid w:val="00E6063A"/>
    <w:rsid w:val="00E62406"/>
    <w:rsid w:val="00E62E67"/>
    <w:rsid w:val="00E635E0"/>
    <w:rsid w:val="00E6457A"/>
    <w:rsid w:val="00E6554A"/>
    <w:rsid w:val="00E658E2"/>
    <w:rsid w:val="00E65BF7"/>
    <w:rsid w:val="00E65D12"/>
    <w:rsid w:val="00E66C0F"/>
    <w:rsid w:val="00E67378"/>
    <w:rsid w:val="00E674DB"/>
    <w:rsid w:val="00E67E2C"/>
    <w:rsid w:val="00E67E3A"/>
    <w:rsid w:val="00E70678"/>
    <w:rsid w:val="00E70DB5"/>
    <w:rsid w:val="00E71CE8"/>
    <w:rsid w:val="00E71F5F"/>
    <w:rsid w:val="00E720FA"/>
    <w:rsid w:val="00E7212A"/>
    <w:rsid w:val="00E72543"/>
    <w:rsid w:val="00E73868"/>
    <w:rsid w:val="00E73A34"/>
    <w:rsid w:val="00E75CD5"/>
    <w:rsid w:val="00E75EB2"/>
    <w:rsid w:val="00E7638C"/>
    <w:rsid w:val="00E77089"/>
    <w:rsid w:val="00E80695"/>
    <w:rsid w:val="00E80A29"/>
    <w:rsid w:val="00E80C4F"/>
    <w:rsid w:val="00E80F76"/>
    <w:rsid w:val="00E8170B"/>
    <w:rsid w:val="00E81DB8"/>
    <w:rsid w:val="00E81DFE"/>
    <w:rsid w:val="00E81F98"/>
    <w:rsid w:val="00E820B0"/>
    <w:rsid w:val="00E821C4"/>
    <w:rsid w:val="00E822D4"/>
    <w:rsid w:val="00E824DA"/>
    <w:rsid w:val="00E82B4C"/>
    <w:rsid w:val="00E831C1"/>
    <w:rsid w:val="00E8325D"/>
    <w:rsid w:val="00E83DD0"/>
    <w:rsid w:val="00E8404D"/>
    <w:rsid w:val="00E840BD"/>
    <w:rsid w:val="00E848ED"/>
    <w:rsid w:val="00E84D42"/>
    <w:rsid w:val="00E84E02"/>
    <w:rsid w:val="00E85080"/>
    <w:rsid w:val="00E87ECC"/>
    <w:rsid w:val="00E9063A"/>
    <w:rsid w:val="00E922A7"/>
    <w:rsid w:val="00E9287C"/>
    <w:rsid w:val="00E92D42"/>
    <w:rsid w:val="00E9335C"/>
    <w:rsid w:val="00E94316"/>
    <w:rsid w:val="00E945E2"/>
    <w:rsid w:val="00E94BAB"/>
    <w:rsid w:val="00E950CA"/>
    <w:rsid w:val="00E95927"/>
    <w:rsid w:val="00E9657A"/>
    <w:rsid w:val="00E966AC"/>
    <w:rsid w:val="00E96967"/>
    <w:rsid w:val="00E975B6"/>
    <w:rsid w:val="00E97749"/>
    <w:rsid w:val="00E97A2A"/>
    <w:rsid w:val="00EA0061"/>
    <w:rsid w:val="00EA06A0"/>
    <w:rsid w:val="00EA12C0"/>
    <w:rsid w:val="00EA12E9"/>
    <w:rsid w:val="00EA20AD"/>
    <w:rsid w:val="00EA22FF"/>
    <w:rsid w:val="00EA239C"/>
    <w:rsid w:val="00EA2556"/>
    <w:rsid w:val="00EA2806"/>
    <w:rsid w:val="00EA3AFC"/>
    <w:rsid w:val="00EA4915"/>
    <w:rsid w:val="00EA4F8C"/>
    <w:rsid w:val="00EA4FF5"/>
    <w:rsid w:val="00EA523F"/>
    <w:rsid w:val="00EA54FC"/>
    <w:rsid w:val="00EA5502"/>
    <w:rsid w:val="00EA57CA"/>
    <w:rsid w:val="00EA6B5F"/>
    <w:rsid w:val="00EA7FB9"/>
    <w:rsid w:val="00EB1D46"/>
    <w:rsid w:val="00EB1D98"/>
    <w:rsid w:val="00EB25BE"/>
    <w:rsid w:val="00EB2A69"/>
    <w:rsid w:val="00EB2CC9"/>
    <w:rsid w:val="00EB3D62"/>
    <w:rsid w:val="00EB580E"/>
    <w:rsid w:val="00EB5EEE"/>
    <w:rsid w:val="00EB6709"/>
    <w:rsid w:val="00EB6DF2"/>
    <w:rsid w:val="00EC000E"/>
    <w:rsid w:val="00EC082C"/>
    <w:rsid w:val="00EC09E3"/>
    <w:rsid w:val="00EC0DF4"/>
    <w:rsid w:val="00EC0ED1"/>
    <w:rsid w:val="00EC11F2"/>
    <w:rsid w:val="00EC1A34"/>
    <w:rsid w:val="00EC1EA4"/>
    <w:rsid w:val="00EC24F4"/>
    <w:rsid w:val="00EC2860"/>
    <w:rsid w:val="00EC2B2A"/>
    <w:rsid w:val="00EC321B"/>
    <w:rsid w:val="00EC3C71"/>
    <w:rsid w:val="00EC4526"/>
    <w:rsid w:val="00EC47E4"/>
    <w:rsid w:val="00EC4EB6"/>
    <w:rsid w:val="00EC5937"/>
    <w:rsid w:val="00ED08AD"/>
    <w:rsid w:val="00ED0A2B"/>
    <w:rsid w:val="00ED100D"/>
    <w:rsid w:val="00ED1021"/>
    <w:rsid w:val="00ED1E44"/>
    <w:rsid w:val="00ED333D"/>
    <w:rsid w:val="00ED3627"/>
    <w:rsid w:val="00ED3C62"/>
    <w:rsid w:val="00ED4E8C"/>
    <w:rsid w:val="00ED5283"/>
    <w:rsid w:val="00ED75F3"/>
    <w:rsid w:val="00EE0F88"/>
    <w:rsid w:val="00EE2496"/>
    <w:rsid w:val="00EE3A62"/>
    <w:rsid w:val="00EE3CD6"/>
    <w:rsid w:val="00EE6708"/>
    <w:rsid w:val="00EE7056"/>
    <w:rsid w:val="00EE7857"/>
    <w:rsid w:val="00EE7EA9"/>
    <w:rsid w:val="00EF0A3D"/>
    <w:rsid w:val="00EF12E3"/>
    <w:rsid w:val="00EF192A"/>
    <w:rsid w:val="00EF24D6"/>
    <w:rsid w:val="00EF2D29"/>
    <w:rsid w:val="00EF4A76"/>
    <w:rsid w:val="00EF4E8D"/>
    <w:rsid w:val="00EF5096"/>
    <w:rsid w:val="00EF55A5"/>
    <w:rsid w:val="00EF5BD9"/>
    <w:rsid w:val="00EF5FC6"/>
    <w:rsid w:val="00EF6A49"/>
    <w:rsid w:val="00EF7C5E"/>
    <w:rsid w:val="00F00179"/>
    <w:rsid w:val="00F005A6"/>
    <w:rsid w:val="00F00847"/>
    <w:rsid w:val="00F009A8"/>
    <w:rsid w:val="00F03CEB"/>
    <w:rsid w:val="00F0418B"/>
    <w:rsid w:val="00F04C74"/>
    <w:rsid w:val="00F06800"/>
    <w:rsid w:val="00F068DB"/>
    <w:rsid w:val="00F069BA"/>
    <w:rsid w:val="00F06A96"/>
    <w:rsid w:val="00F07AE6"/>
    <w:rsid w:val="00F07F06"/>
    <w:rsid w:val="00F1166F"/>
    <w:rsid w:val="00F125C6"/>
    <w:rsid w:val="00F12A4B"/>
    <w:rsid w:val="00F130D1"/>
    <w:rsid w:val="00F148E1"/>
    <w:rsid w:val="00F15BF7"/>
    <w:rsid w:val="00F15E51"/>
    <w:rsid w:val="00F16C21"/>
    <w:rsid w:val="00F17F6A"/>
    <w:rsid w:val="00F206DF"/>
    <w:rsid w:val="00F207C0"/>
    <w:rsid w:val="00F2128C"/>
    <w:rsid w:val="00F2180C"/>
    <w:rsid w:val="00F21AD1"/>
    <w:rsid w:val="00F22197"/>
    <w:rsid w:val="00F238EA"/>
    <w:rsid w:val="00F24312"/>
    <w:rsid w:val="00F24391"/>
    <w:rsid w:val="00F24D49"/>
    <w:rsid w:val="00F24DD0"/>
    <w:rsid w:val="00F24F34"/>
    <w:rsid w:val="00F25568"/>
    <w:rsid w:val="00F257B8"/>
    <w:rsid w:val="00F27C2A"/>
    <w:rsid w:val="00F302E2"/>
    <w:rsid w:val="00F30358"/>
    <w:rsid w:val="00F30EB4"/>
    <w:rsid w:val="00F30EDC"/>
    <w:rsid w:val="00F31FE6"/>
    <w:rsid w:val="00F32212"/>
    <w:rsid w:val="00F33363"/>
    <w:rsid w:val="00F33959"/>
    <w:rsid w:val="00F33AC3"/>
    <w:rsid w:val="00F342A6"/>
    <w:rsid w:val="00F34AD9"/>
    <w:rsid w:val="00F35C86"/>
    <w:rsid w:val="00F35C8B"/>
    <w:rsid w:val="00F35D99"/>
    <w:rsid w:val="00F37091"/>
    <w:rsid w:val="00F379D6"/>
    <w:rsid w:val="00F404EF"/>
    <w:rsid w:val="00F407DD"/>
    <w:rsid w:val="00F40890"/>
    <w:rsid w:val="00F40C47"/>
    <w:rsid w:val="00F41561"/>
    <w:rsid w:val="00F429DE"/>
    <w:rsid w:val="00F4324B"/>
    <w:rsid w:val="00F4357A"/>
    <w:rsid w:val="00F44464"/>
    <w:rsid w:val="00F44B82"/>
    <w:rsid w:val="00F4506A"/>
    <w:rsid w:val="00F464CD"/>
    <w:rsid w:val="00F46F59"/>
    <w:rsid w:val="00F470E5"/>
    <w:rsid w:val="00F5063C"/>
    <w:rsid w:val="00F51510"/>
    <w:rsid w:val="00F53252"/>
    <w:rsid w:val="00F53288"/>
    <w:rsid w:val="00F53D94"/>
    <w:rsid w:val="00F545F1"/>
    <w:rsid w:val="00F5462E"/>
    <w:rsid w:val="00F54850"/>
    <w:rsid w:val="00F54C6C"/>
    <w:rsid w:val="00F55129"/>
    <w:rsid w:val="00F551B7"/>
    <w:rsid w:val="00F5563A"/>
    <w:rsid w:val="00F55A9F"/>
    <w:rsid w:val="00F55AA1"/>
    <w:rsid w:val="00F562FF"/>
    <w:rsid w:val="00F56757"/>
    <w:rsid w:val="00F5706F"/>
    <w:rsid w:val="00F57645"/>
    <w:rsid w:val="00F57C09"/>
    <w:rsid w:val="00F602FC"/>
    <w:rsid w:val="00F607B0"/>
    <w:rsid w:val="00F6137F"/>
    <w:rsid w:val="00F615E1"/>
    <w:rsid w:val="00F616EB"/>
    <w:rsid w:val="00F62E02"/>
    <w:rsid w:val="00F62E3D"/>
    <w:rsid w:val="00F632BC"/>
    <w:rsid w:val="00F6370C"/>
    <w:rsid w:val="00F63B01"/>
    <w:rsid w:val="00F63E37"/>
    <w:rsid w:val="00F64E63"/>
    <w:rsid w:val="00F65099"/>
    <w:rsid w:val="00F6510B"/>
    <w:rsid w:val="00F6695C"/>
    <w:rsid w:val="00F66CF2"/>
    <w:rsid w:val="00F7159F"/>
    <w:rsid w:val="00F71943"/>
    <w:rsid w:val="00F720FD"/>
    <w:rsid w:val="00F72177"/>
    <w:rsid w:val="00F721BA"/>
    <w:rsid w:val="00F72335"/>
    <w:rsid w:val="00F7365A"/>
    <w:rsid w:val="00F74154"/>
    <w:rsid w:val="00F74622"/>
    <w:rsid w:val="00F7506D"/>
    <w:rsid w:val="00F7548B"/>
    <w:rsid w:val="00F75659"/>
    <w:rsid w:val="00F75AE4"/>
    <w:rsid w:val="00F76192"/>
    <w:rsid w:val="00F766AC"/>
    <w:rsid w:val="00F77136"/>
    <w:rsid w:val="00F8078C"/>
    <w:rsid w:val="00F807BD"/>
    <w:rsid w:val="00F8116E"/>
    <w:rsid w:val="00F8193D"/>
    <w:rsid w:val="00F81BE2"/>
    <w:rsid w:val="00F8206D"/>
    <w:rsid w:val="00F8237B"/>
    <w:rsid w:val="00F83650"/>
    <w:rsid w:val="00F83C9C"/>
    <w:rsid w:val="00F83CA9"/>
    <w:rsid w:val="00F83D82"/>
    <w:rsid w:val="00F84DF5"/>
    <w:rsid w:val="00F8577F"/>
    <w:rsid w:val="00F858BF"/>
    <w:rsid w:val="00F86C17"/>
    <w:rsid w:val="00F870DD"/>
    <w:rsid w:val="00F871EB"/>
    <w:rsid w:val="00F8731B"/>
    <w:rsid w:val="00F90159"/>
    <w:rsid w:val="00F901BE"/>
    <w:rsid w:val="00F90521"/>
    <w:rsid w:val="00F90610"/>
    <w:rsid w:val="00F916B3"/>
    <w:rsid w:val="00F93858"/>
    <w:rsid w:val="00F93C77"/>
    <w:rsid w:val="00F9401D"/>
    <w:rsid w:val="00F94095"/>
    <w:rsid w:val="00F95AFF"/>
    <w:rsid w:val="00F96243"/>
    <w:rsid w:val="00F96251"/>
    <w:rsid w:val="00F9631E"/>
    <w:rsid w:val="00F96412"/>
    <w:rsid w:val="00F96836"/>
    <w:rsid w:val="00F96BB3"/>
    <w:rsid w:val="00F97AB2"/>
    <w:rsid w:val="00F97D47"/>
    <w:rsid w:val="00F97E57"/>
    <w:rsid w:val="00F97FF8"/>
    <w:rsid w:val="00FA01AA"/>
    <w:rsid w:val="00FA16B4"/>
    <w:rsid w:val="00FA1D6D"/>
    <w:rsid w:val="00FA2380"/>
    <w:rsid w:val="00FA24BA"/>
    <w:rsid w:val="00FA2A61"/>
    <w:rsid w:val="00FA2C20"/>
    <w:rsid w:val="00FA3819"/>
    <w:rsid w:val="00FA4069"/>
    <w:rsid w:val="00FA42B7"/>
    <w:rsid w:val="00FA4ABF"/>
    <w:rsid w:val="00FA4F35"/>
    <w:rsid w:val="00FA65E2"/>
    <w:rsid w:val="00FA6BF1"/>
    <w:rsid w:val="00FA711E"/>
    <w:rsid w:val="00FB04CA"/>
    <w:rsid w:val="00FB05F8"/>
    <w:rsid w:val="00FB0984"/>
    <w:rsid w:val="00FB14E3"/>
    <w:rsid w:val="00FB1A81"/>
    <w:rsid w:val="00FB1FF5"/>
    <w:rsid w:val="00FB2017"/>
    <w:rsid w:val="00FB2DB2"/>
    <w:rsid w:val="00FB3131"/>
    <w:rsid w:val="00FB36D5"/>
    <w:rsid w:val="00FB39E8"/>
    <w:rsid w:val="00FB3BB9"/>
    <w:rsid w:val="00FB3E78"/>
    <w:rsid w:val="00FB503D"/>
    <w:rsid w:val="00FB52F0"/>
    <w:rsid w:val="00FB5D79"/>
    <w:rsid w:val="00FB5DF6"/>
    <w:rsid w:val="00FB6C56"/>
    <w:rsid w:val="00FB7BDB"/>
    <w:rsid w:val="00FB7C71"/>
    <w:rsid w:val="00FC03B6"/>
    <w:rsid w:val="00FC0986"/>
    <w:rsid w:val="00FC18E0"/>
    <w:rsid w:val="00FC23AE"/>
    <w:rsid w:val="00FC3F94"/>
    <w:rsid w:val="00FC4F37"/>
    <w:rsid w:val="00FC52A7"/>
    <w:rsid w:val="00FC626B"/>
    <w:rsid w:val="00FC660B"/>
    <w:rsid w:val="00FC6CCF"/>
    <w:rsid w:val="00FC6F6B"/>
    <w:rsid w:val="00FC76A3"/>
    <w:rsid w:val="00FD0231"/>
    <w:rsid w:val="00FD0AED"/>
    <w:rsid w:val="00FD0F5A"/>
    <w:rsid w:val="00FD1166"/>
    <w:rsid w:val="00FD118A"/>
    <w:rsid w:val="00FD13AD"/>
    <w:rsid w:val="00FD1560"/>
    <w:rsid w:val="00FD1598"/>
    <w:rsid w:val="00FD1D99"/>
    <w:rsid w:val="00FD2305"/>
    <w:rsid w:val="00FD28DE"/>
    <w:rsid w:val="00FD31DF"/>
    <w:rsid w:val="00FD353C"/>
    <w:rsid w:val="00FD38AE"/>
    <w:rsid w:val="00FD38B4"/>
    <w:rsid w:val="00FD446A"/>
    <w:rsid w:val="00FD4DD9"/>
    <w:rsid w:val="00FD516E"/>
    <w:rsid w:val="00FD51AE"/>
    <w:rsid w:val="00FD728D"/>
    <w:rsid w:val="00FD74C4"/>
    <w:rsid w:val="00FD7DFC"/>
    <w:rsid w:val="00FD7F75"/>
    <w:rsid w:val="00FE0088"/>
    <w:rsid w:val="00FE0773"/>
    <w:rsid w:val="00FE102E"/>
    <w:rsid w:val="00FE126C"/>
    <w:rsid w:val="00FE1583"/>
    <w:rsid w:val="00FE1814"/>
    <w:rsid w:val="00FE2716"/>
    <w:rsid w:val="00FE3B01"/>
    <w:rsid w:val="00FE3EBC"/>
    <w:rsid w:val="00FE5727"/>
    <w:rsid w:val="00FE5DE4"/>
    <w:rsid w:val="00FE5EFE"/>
    <w:rsid w:val="00FE6276"/>
    <w:rsid w:val="00FE66F1"/>
    <w:rsid w:val="00FE6C25"/>
    <w:rsid w:val="00FE7296"/>
    <w:rsid w:val="00FE72D6"/>
    <w:rsid w:val="00FF00EA"/>
    <w:rsid w:val="00FF0D34"/>
    <w:rsid w:val="00FF1409"/>
    <w:rsid w:val="00FF1B24"/>
    <w:rsid w:val="00FF1E46"/>
    <w:rsid w:val="00FF279D"/>
    <w:rsid w:val="00FF36BD"/>
    <w:rsid w:val="00FF3815"/>
    <w:rsid w:val="00FF391B"/>
    <w:rsid w:val="00FF3EC1"/>
    <w:rsid w:val="00FF4347"/>
    <w:rsid w:val="00FF44D0"/>
    <w:rsid w:val="00FF4F9F"/>
    <w:rsid w:val="00FF57D6"/>
    <w:rsid w:val="00FF5A09"/>
    <w:rsid w:val="00FF5BF6"/>
    <w:rsid w:val="00FF5CC5"/>
    <w:rsid w:val="00FF6D4A"/>
    <w:rsid w:val="00FF76C1"/>
    <w:rsid w:val="00FF7DF0"/>
    <w:rsid w:val="1BCABAC3"/>
    <w:rsid w:val="1D9CACE3"/>
    <w:rsid w:val="73E683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B7F2C"/>
  <w15:chartTrackingRefBased/>
  <w15:docId w15:val="{5C97888C-55D9-4C73-BDD3-DC1C93A75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6E38"/>
    <w:pPr>
      <w:spacing w:line="276" w:lineRule="auto"/>
    </w:pPr>
    <w:rPr>
      <w:sz w:val="22"/>
      <w:szCs w:val="22"/>
      <w:lang w:val="it-IT"/>
    </w:rPr>
  </w:style>
  <w:style w:type="paragraph" w:styleId="1">
    <w:name w:val="heading 1"/>
    <w:aliases w:val="Title 1"/>
    <w:next w:val="Articlenormaltextfirstparagraph"/>
    <w:link w:val="1Char"/>
    <w:uiPriority w:val="9"/>
    <w:qFormat/>
    <w:rsid w:val="00C72FAD"/>
    <w:pPr>
      <w:pBdr>
        <w:bottom w:val="single" w:sz="4" w:space="4" w:color="17365D"/>
      </w:pBdr>
      <w:spacing w:before="400" w:after="120"/>
      <w:outlineLvl w:val="0"/>
    </w:pPr>
    <w:rPr>
      <w:rFonts w:ascii="Arial Nova" w:hAnsi="Arial Nova" w:cs="Arial"/>
      <w:b/>
      <w:bCs/>
      <w:color w:val="1B8ABC"/>
      <w:sz w:val="28"/>
      <w:szCs w:val="22"/>
    </w:rPr>
  </w:style>
  <w:style w:type="paragraph" w:styleId="2">
    <w:name w:val="heading 2"/>
    <w:aliases w:val="Title 2"/>
    <w:next w:val="Articlenormaltextfirstparagraph"/>
    <w:link w:val="2Char"/>
    <w:uiPriority w:val="9"/>
    <w:unhideWhenUsed/>
    <w:qFormat/>
    <w:rsid w:val="00C72FAD"/>
    <w:pPr>
      <w:spacing w:before="360" w:after="60"/>
      <w:outlineLvl w:val="1"/>
    </w:pPr>
    <w:rPr>
      <w:rFonts w:ascii="Arial Nova" w:eastAsia="Times New Roman" w:hAnsi="Arial Nova" w:cs="Arial"/>
      <w:b/>
      <w:bCs/>
    </w:rPr>
  </w:style>
  <w:style w:type="paragraph" w:styleId="3">
    <w:name w:val="heading 3"/>
    <w:aliases w:val="Title 3"/>
    <w:basedOn w:val="a"/>
    <w:next w:val="a"/>
    <w:link w:val="3Char"/>
    <w:uiPriority w:val="9"/>
    <w:unhideWhenUsed/>
    <w:qFormat/>
    <w:rsid w:val="00482031"/>
    <w:pPr>
      <w:keepNext/>
      <w:keepLines/>
      <w:spacing w:before="240"/>
      <w:outlineLvl w:val="2"/>
    </w:pPr>
    <w:rPr>
      <w:rFonts w:ascii="Arial Nova" w:eastAsiaTheme="majorEastAsia" w:hAnsi="Arial Nova" w:cs="Arial"/>
      <w:i/>
      <w:iCs/>
      <w:sz w:val="20"/>
      <w:szCs w:val="20"/>
      <w:lang w:val="en-US"/>
    </w:rPr>
  </w:style>
  <w:style w:type="paragraph" w:styleId="4">
    <w:name w:val="heading 4"/>
    <w:basedOn w:val="a"/>
    <w:next w:val="a"/>
    <w:link w:val="4Char"/>
    <w:uiPriority w:val="9"/>
    <w:semiHidden/>
    <w:unhideWhenUsed/>
    <w:qFormat/>
    <w:rsid w:val="00B25575"/>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B25575"/>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Char"/>
    <w:uiPriority w:val="9"/>
    <w:semiHidden/>
    <w:unhideWhenUsed/>
    <w:qFormat/>
    <w:rsid w:val="00B25575"/>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Char"/>
    <w:uiPriority w:val="9"/>
    <w:semiHidden/>
    <w:unhideWhenUsed/>
    <w:qFormat/>
    <w:rsid w:val="00B25575"/>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Char"/>
    <w:uiPriority w:val="9"/>
    <w:semiHidden/>
    <w:unhideWhenUsed/>
    <w:qFormat/>
    <w:rsid w:val="00B2557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B255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096"/>
    <w:pPr>
      <w:tabs>
        <w:tab w:val="center" w:pos="4536"/>
        <w:tab w:val="right" w:pos="9072"/>
      </w:tabs>
      <w:spacing w:line="240" w:lineRule="auto"/>
    </w:pPr>
  </w:style>
  <w:style w:type="character" w:customStyle="1" w:styleId="Char">
    <w:name w:val="Κεφαλίδα Char"/>
    <w:basedOn w:val="a0"/>
    <w:link w:val="a3"/>
    <w:uiPriority w:val="99"/>
    <w:rsid w:val="00272096"/>
    <w:rPr>
      <w:sz w:val="22"/>
      <w:szCs w:val="22"/>
      <w:lang w:val="it-IT"/>
    </w:rPr>
  </w:style>
  <w:style w:type="paragraph" w:styleId="a4">
    <w:name w:val="footer"/>
    <w:basedOn w:val="a"/>
    <w:link w:val="Char0"/>
    <w:uiPriority w:val="99"/>
    <w:unhideWhenUsed/>
    <w:rsid w:val="00C321B5"/>
    <w:pPr>
      <w:tabs>
        <w:tab w:val="center" w:pos="4819"/>
        <w:tab w:val="right" w:pos="9638"/>
      </w:tabs>
      <w:spacing w:line="240" w:lineRule="auto"/>
      <w:jc w:val="both"/>
    </w:pPr>
    <w:rPr>
      <w:rFonts w:ascii="Arial" w:hAnsi="Arial" w:cs="Arial"/>
      <w:noProof/>
      <w:sz w:val="18"/>
      <w:szCs w:val="18"/>
      <w:lang w:eastAsia="it-IT"/>
    </w:rPr>
  </w:style>
  <w:style w:type="character" w:customStyle="1" w:styleId="Char0">
    <w:name w:val="Υποσέλιδο Char"/>
    <w:basedOn w:val="a0"/>
    <w:link w:val="a4"/>
    <w:uiPriority w:val="99"/>
    <w:rsid w:val="00C321B5"/>
    <w:rPr>
      <w:rFonts w:ascii="Arial" w:hAnsi="Arial" w:cs="Arial"/>
      <w:noProof/>
      <w:sz w:val="18"/>
      <w:szCs w:val="18"/>
      <w:lang w:val="it-IT" w:eastAsia="it-IT"/>
    </w:rPr>
  </w:style>
  <w:style w:type="paragraph" w:styleId="a5">
    <w:name w:val="Balloon Text"/>
    <w:basedOn w:val="a"/>
    <w:link w:val="Char1"/>
    <w:uiPriority w:val="99"/>
    <w:semiHidden/>
    <w:unhideWhenUsed/>
    <w:rsid w:val="002D07B2"/>
    <w:pPr>
      <w:spacing w:line="240" w:lineRule="auto"/>
    </w:pPr>
    <w:rPr>
      <w:rFonts w:ascii="Tahoma" w:hAnsi="Tahoma" w:cs="Tahoma"/>
      <w:sz w:val="16"/>
      <w:szCs w:val="16"/>
    </w:rPr>
  </w:style>
  <w:style w:type="character" w:customStyle="1" w:styleId="Char1">
    <w:name w:val="Κείμενο πλαισίου Char"/>
    <w:link w:val="a5"/>
    <w:uiPriority w:val="99"/>
    <w:semiHidden/>
    <w:rsid w:val="002D07B2"/>
    <w:rPr>
      <w:rFonts w:ascii="Tahoma" w:hAnsi="Tahoma" w:cs="Tahoma"/>
      <w:sz w:val="16"/>
      <w:szCs w:val="16"/>
    </w:rPr>
  </w:style>
  <w:style w:type="paragraph" w:styleId="a6">
    <w:name w:val="Body Text Indent"/>
    <w:basedOn w:val="a"/>
    <w:link w:val="Char2"/>
    <w:semiHidden/>
    <w:rsid w:val="009572B1"/>
    <w:pPr>
      <w:spacing w:line="240" w:lineRule="auto"/>
      <w:ind w:firstLine="245"/>
      <w:jc w:val="both"/>
    </w:pPr>
    <w:rPr>
      <w:rFonts w:ascii="Times New Roman" w:eastAsia="Malgun Gothic" w:hAnsi="Times New Roman"/>
      <w:spacing w:val="6"/>
      <w:szCs w:val="20"/>
      <w:lang w:val="en-US"/>
    </w:rPr>
  </w:style>
  <w:style w:type="character" w:customStyle="1" w:styleId="Char2">
    <w:name w:val="Σώμα κείμενου με εσοχή Char"/>
    <w:link w:val="a6"/>
    <w:semiHidden/>
    <w:rsid w:val="009572B1"/>
    <w:rPr>
      <w:rFonts w:ascii="Times New Roman" w:eastAsia="Malgun Gothic" w:hAnsi="Times New Roman" w:cs="Times New Roman"/>
      <w:spacing w:val="6"/>
      <w:szCs w:val="20"/>
      <w:lang w:val="en-US"/>
    </w:rPr>
  </w:style>
  <w:style w:type="paragraph" w:customStyle="1" w:styleId="AbstractText">
    <w:name w:val="Abstract Text"/>
    <w:basedOn w:val="a"/>
    <w:link w:val="AbstractTextCarattere"/>
    <w:qFormat/>
    <w:rsid w:val="007213F1"/>
    <w:pPr>
      <w:ind w:right="28"/>
      <w:jc w:val="both"/>
    </w:pPr>
    <w:rPr>
      <w:rFonts w:ascii="Times New Roman" w:hAnsi="Times New Roman"/>
      <w:sz w:val="20"/>
      <w:szCs w:val="20"/>
      <w:lang w:val="en-US"/>
    </w:rPr>
  </w:style>
  <w:style w:type="paragraph" w:customStyle="1" w:styleId="AbstractTitle">
    <w:name w:val="Abstract Title"/>
    <w:link w:val="AbstractTitleCarattere"/>
    <w:qFormat/>
    <w:rsid w:val="00A918C5"/>
    <w:pPr>
      <w:spacing w:after="120"/>
    </w:pPr>
    <w:rPr>
      <w:rFonts w:ascii="Arial Nova Cond" w:hAnsi="Arial Nova Cond" w:cs="Arial"/>
      <w:b/>
      <w:bCs/>
      <w:sz w:val="22"/>
    </w:rPr>
  </w:style>
  <w:style w:type="character" w:customStyle="1" w:styleId="AbstractTextCarattere">
    <w:name w:val="Abstract Text Carattere"/>
    <w:link w:val="AbstractText"/>
    <w:rsid w:val="007213F1"/>
    <w:rPr>
      <w:rFonts w:ascii="Times New Roman" w:hAnsi="Times New Roman"/>
    </w:rPr>
  </w:style>
  <w:style w:type="paragraph" w:customStyle="1" w:styleId="ArticleTitle">
    <w:name w:val="Article Title"/>
    <w:basedOn w:val="a"/>
    <w:link w:val="ArticleTitleCarattere"/>
    <w:qFormat/>
    <w:rsid w:val="00963511"/>
    <w:pPr>
      <w:suppressAutoHyphens/>
      <w:spacing w:before="240" w:after="240" w:line="240" w:lineRule="auto"/>
    </w:pPr>
    <w:rPr>
      <w:rFonts w:ascii="Arial Nova Cond" w:hAnsi="Arial Nova Cond" w:cstheme="minorHAnsi"/>
      <w:b/>
      <w:bCs/>
      <w:sz w:val="36"/>
      <w:szCs w:val="32"/>
      <w:lang w:val="en-US" w:eastAsia="zh-CN"/>
    </w:rPr>
  </w:style>
  <w:style w:type="character" w:customStyle="1" w:styleId="AbstractTitleCarattere">
    <w:name w:val="Abstract Title Carattere"/>
    <w:link w:val="AbstractTitle"/>
    <w:rsid w:val="00A918C5"/>
    <w:rPr>
      <w:rFonts w:ascii="Arial Nova Cond" w:hAnsi="Arial Nova Cond" w:cs="Arial"/>
      <w:b/>
      <w:bCs/>
      <w:sz w:val="22"/>
    </w:rPr>
  </w:style>
  <w:style w:type="character" w:customStyle="1" w:styleId="ArticleTitleCarattere">
    <w:name w:val="Article Title Carattere"/>
    <w:link w:val="ArticleTitle"/>
    <w:rsid w:val="00963511"/>
    <w:rPr>
      <w:rFonts w:ascii="Arial Nova Cond" w:hAnsi="Arial Nova Cond" w:cstheme="minorHAnsi"/>
      <w:b/>
      <w:bCs/>
      <w:sz w:val="36"/>
      <w:szCs w:val="32"/>
      <w:lang w:eastAsia="zh-CN"/>
    </w:rPr>
  </w:style>
  <w:style w:type="paragraph" w:customStyle="1" w:styleId="Footnotes">
    <w:name w:val="Footnotes"/>
    <w:basedOn w:val="a"/>
    <w:link w:val="FootnotesCarattere"/>
    <w:uiPriority w:val="99"/>
    <w:qFormat/>
    <w:rsid w:val="00BA23CD"/>
    <w:pPr>
      <w:numPr>
        <w:numId w:val="2"/>
      </w:numPr>
      <w:overflowPunct w:val="0"/>
      <w:autoSpaceDE w:val="0"/>
      <w:autoSpaceDN w:val="0"/>
      <w:adjustRightInd w:val="0"/>
      <w:snapToGrid w:val="0"/>
      <w:spacing w:line="240" w:lineRule="auto"/>
      <w:ind w:left="357" w:hanging="357"/>
      <w:jc w:val="both"/>
      <w:textAlignment w:val="baseline"/>
    </w:pPr>
    <w:rPr>
      <w:rFonts w:ascii="Times New Roman" w:eastAsia="Batang" w:hAnsi="Times New Roman"/>
      <w:sz w:val="20"/>
      <w:szCs w:val="20"/>
      <w:lang w:val="en-US" w:eastAsia="ko-KR"/>
    </w:rPr>
  </w:style>
  <w:style w:type="numbering" w:customStyle="1" w:styleId="Style1">
    <w:name w:val="Style1"/>
    <w:uiPriority w:val="99"/>
    <w:rsid w:val="00562FCE"/>
    <w:pPr>
      <w:numPr>
        <w:numId w:val="3"/>
      </w:numPr>
    </w:pPr>
  </w:style>
  <w:style w:type="character" w:customStyle="1" w:styleId="FootnotesCarattere">
    <w:name w:val="Footnotes Carattere"/>
    <w:link w:val="Footnotes"/>
    <w:uiPriority w:val="99"/>
    <w:rsid w:val="006059FC"/>
    <w:rPr>
      <w:rFonts w:ascii="Times New Roman" w:eastAsia="Batang" w:hAnsi="Times New Roman"/>
      <w:lang w:eastAsia="ko-KR"/>
    </w:rPr>
  </w:style>
  <w:style w:type="paragraph" w:customStyle="1" w:styleId="Articlenormaltextfirstparagraph">
    <w:name w:val="Article normal text first paragraph"/>
    <w:basedOn w:val="a"/>
    <w:next w:val="Articlenormaltext"/>
    <w:link w:val="ArticlenormaltextfirstparagraphChar"/>
    <w:qFormat/>
    <w:rsid w:val="00AF3136"/>
    <w:pPr>
      <w:autoSpaceDE w:val="0"/>
      <w:autoSpaceDN w:val="0"/>
      <w:adjustRightInd w:val="0"/>
      <w:spacing w:line="264" w:lineRule="auto"/>
      <w:jc w:val="both"/>
    </w:pPr>
    <w:rPr>
      <w:rFonts w:ascii="Times New Roman" w:hAnsi="Times New Roman"/>
      <w:spacing w:val="4"/>
      <w:szCs w:val="20"/>
      <w:lang w:val="en-US"/>
    </w:rPr>
  </w:style>
  <w:style w:type="paragraph" w:customStyle="1" w:styleId="Figurecaption">
    <w:name w:val="Figure caption"/>
    <w:basedOn w:val="Articlenormaltextfirstparagraph"/>
    <w:next w:val="Articlenormaltext"/>
    <w:qFormat/>
    <w:rsid w:val="00581447"/>
    <w:pPr>
      <w:numPr>
        <w:numId w:val="4"/>
      </w:numPr>
      <w:tabs>
        <w:tab w:val="left" w:pos="851"/>
      </w:tabs>
      <w:spacing w:before="120" w:after="360"/>
      <w:ind w:left="0" w:firstLine="0"/>
    </w:pPr>
    <w:rPr>
      <w:rFonts w:ascii="Arial" w:hAnsi="Arial" w:cs="Arial"/>
      <w:sz w:val="18"/>
      <w:szCs w:val="18"/>
    </w:rPr>
  </w:style>
  <w:style w:type="character" w:customStyle="1" w:styleId="ArticlenormaltextfirstparagraphChar">
    <w:name w:val="Article normal text first paragraph Char"/>
    <w:link w:val="Articlenormaltextfirstparagraph"/>
    <w:rsid w:val="00AF3136"/>
    <w:rPr>
      <w:rFonts w:ascii="Times New Roman" w:hAnsi="Times New Roman"/>
      <w:spacing w:val="4"/>
      <w:sz w:val="22"/>
    </w:rPr>
  </w:style>
  <w:style w:type="paragraph" w:customStyle="1" w:styleId="Tablecaption">
    <w:name w:val="Table caption"/>
    <w:next w:val="Articlenormaltext"/>
    <w:qFormat/>
    <w:rsid w:val="00581447"/>
    <w:pPr>
      <w:numPr>
        <w:numId w:val="5"/>
      </w:numPr>
      <w:tabs>
        <w:tab w:val="left" w:pos="0"/>
      </w:tabs>
      <w:spacing w:after="120"/>
    </w:pPr>
    <w:rPr>
      <w:rFonts w:ascii="Arial" w:hAnsi="Arial" w:cs="Arial"/>
      <w:sz w:val="18"/>
      <w:szCs w:val="18"/>
    </w:rPr>
  </w:style>
  <w:style w:type="paragraph" w:customStyle="1" w:styleId="Bulletlist">
    <w:name w:val="Bullet list"/>
    <w:basedOn w:val="Articlenormaltextfirstparagraph"/>
    <w:qFormat/>
    <w:rsid w:val="002C707C"/>
    <w:pPr>
      <w:numPr>
        <w:numId w:val="6"/>
      </w:numPr>
      <w:spacing w:after="180"/>
      <w:ind w:left="357" w:hanging="357"/>
      <w:contextualSpacing/>
    </w:pPr>
    <w:rPr>
      <w:lang w:val="en-GB"/>
    </w:rPr>
  </w:style>
  <w:style w:type="table" w:styleId="a7">
    <w:name w:val="Table Grid"/>
    <w:basedOn w:val="a1"/>
    <w:uiPriority w:val="39"/>
    <w:rsid w:val="00FB7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Επικεφαλίδα 2 Char"/>
    <w:aliases w:val="Title 2 Char"/>
    <w:link w:val="2"/>
    <w:uiPriority w:val="9"/>
    <w:rsid w:val="00C72FAD"/>
    <w:rPr>
      <w:rFonts w:ascii="Arial Nova" w:eastAsia="Times New Roman" w:hAnsi="Arial Nova" w:cs="Arial"/>
      <w:b/>
      <w:bCs/>
    </w:rPr>
  </w:style>
  <w:style w:type="paragraph" w:customStyle="1" w:styleId="Articlenormaltext">
    <w:name w:val="Article normal text"/>
    <w:qFormat/>
    <w:rsid w:val="00AF3136"/>
    <w:pPr>
      <w:spacing w:line="264" w:lineRule="auto"/>
      <w:ind w:firstLine="284"/>
      <w:jc w:val="both"/>
    </w:pPr>
    <w:rPr>
      <w:rFonts w:ascii="Times New Roman" w:hAnsi="Times New Roman"/>
      <w:spacing w:val="4"/>
      <w:sz w:val="22"/>
    </w:rPr>
  </w:style>
  <w:style w:type="character" w:customStyle="1" w:styleId="1Char">
    <w:name w:val="Επικεφαλίδα 1 Char"/>
    <w:aliases w:val="Title 1 Char"/>
    <w:basedOn w:val="a0"/>
    <w:link w:val="1"/>
    <w:uiPriority w:val="9"/>
    <w:rsid w:val="00C72FAD"/>
    <w:rPr>
      <w:rFonts w:ascii="Arial Nova" w:hAnsi="Arial Nova" w:cs="Arial"/>
      <w:b/>
      <w:bCs/>
      <w:color w:val="1B8ABC"/>
      <w:sz w:val="28"/>
      <w:szCs w:val="22"/>
    </w:rPr>
  </w:style>
  <w:style w:type="character" w:customStyle="1" w:styleId="3Char">
    <w:name w:val="Επικεφαλίδα 3 Char"/>
    <w:aliases w:val="Title 3 Char"/>
    <w:basedOn w:val="a0"/>
    <w:link w:val="3"/>
    <w:uiPriority w:val="9"/>
    <w:rsid w:val="00482031"/>
    <w:rPr>
      <w:rFonts w:ascii="Arial Nova" w:eastAsiaTheme="majorEastAsia" w:hAnsi="Arial Nova" w:cs="Arial"/>
      <w:i/>
      <w:iCs/>
    </w:rPr>
  </w:style>
  <w:style w:type="character" w:customStyle="1" w:styleId="4Char">
    <w:name w:val="Επικεφαλίδα 4 Char"/>
    <w:basedOn w:val="a0"/>
    <w:link w:val="4"/>
    <w:uiPriority w:val="9"/>
    <w:semiHidden/>
    <w:rsid w:val="00B25575"/>
    <w:rPr>
      <w:rFonts w:asciiTheme="majorHAnsi" w:eastAsiaTheme="majorEastAsia" w:hAnsiTheme="majorHAnsi" w:cstheme="majorBidi"/>
      <w:i/>
      <w:iCs/>
      <w:color w:val="2E74B5" w:themeColor="accent1" w:themeShade="BF"/>
      <w:sz w:val="22"/>
      <w:szCs w:val="22"/>
      <w:lang w:val="it-IT"/>
    </w:rPr>
  </w:style>
  <w:style w:type="character" w:customStyle="1" w:styleId="5Char">
    <w:name w:val="Επικεφαλίδα 5 Char"/>
    <w:basedOn w:val="a0"/>
    <w:link w:val="5"/>
    <w:uiPriority w:val="9"/>
    <w:semiHidden/>
    <w:rsid w:val="00B25575"/>
    <w:rPr>
      <w:rFonts w:asciiTheme="majorHAnsi" w:eastAsiaTheme="majorEastAsia" w:hAnsiTheme="majorHAnsi" w:cstheme="majorBidi"/>
      <w:color w:val="2E74B5" w:themeColor="accent1" w:themeShade="BF"/>
      <w:sz w:val="22"/>
      <w:szCs w:val="22"/>
      <w:lang w:val="it-IT"/>
    </w:rPr>
  </w:style>
  <w:style w:type="character" w:customStyle="1" w:styleId="6Char">
    <w:name w:val="Επικεφαλίδα 6 Char"/>
    <w:basedOn w:val="a0"/>
    <w:link w:val="6"/>
    <w:uiPriority w:val="9"/>
    <w:semiHidden/>
    <w:rsid w:val="00B25575"/>
    <w:rPr>
      <w:rFonts w:asciiTheme="majorHAnsi" w:eastAsiaTheme="majorEastAsia" w:hAnsiTheme="majorHAnsi" w:cstheme="majorBidi"/>
      <w:color w:val="1F4D78" w:themeColor="accent1" w:themeShade="7F"/>
      <w:sz w:val="22"/>
      <w:szCs w:val="22"/>
      <w:lang w:val="it-IT"/>
    </w:rPr>
  </w:style>
  <w:style w:type="character" w:customStyle="1" w:styleId="7Char">
    <w:name w:val="Επικεφαλίδα 7 Char"/>
    <w:basedOn w:val="a0"/>
    <w:link w:val="7"/>
    <w:uiPriority w:val="9"/>
    <w:semiHidden/>
    <w:rsid w:val="00B25575"/>
    <w:rPr>
      <w:rFonts w:asciiTheme="majorHAnsi" w:eastAsiaTheme="majorEastAsia" w:hAnsiTheme="majorHAnsi" w:cstheme="majorBidi"/>
      <w:i/>
      <w:iCs/>
      <w:color w:val="1F4D78" w:themeColor="accent1" w:themeShade="7F"/>
      <w:sz w:val="22"/>
      <w:szCs w:val="22"/>
      <w:lang w:val="it-IT"/>
    </w:rPr>
  </w:style>
  <w:style w:type="character" w:customStyle="1" w:styleId="8Char">
    <w:name w:val="Επικεφαλίδα 8 Char"/>
    <w:basedOn w:val="a0"/>
    <w:link w:val="8"/>
    <w:uiPriority w:val="9"/>
    <w:semiHidden/>
    <w:rsid w:val="00B25575"/>
    <w:rPr>
      <w:rFonts w:asciiTheme="majorHAnsi" w:eastAsiaTheme="majorEastAsia" w:hAnsiTheme="majorHAnsi" w:cstheme="majorBidi"/>
      <w:color w:val="272727" w:themeColor="text1" w:themeTint="D8"/>
      <w:sz w:val="21"/>
      <w:szCs w:val="21"/>
      <w:lang w:val="it-IT"/>
    </w:rPr>
  </w:style>
  <w:style w:type="character" w:customStyle="1" w:styleId="9Char">
    <w:name w:val="Επικεφαλίδα 9 Char"/>
    <w:basedOn w:val="a0"/>
    <w:link w:val="9"/>
    <w:uiPriority w:val="9"/>
    <w:semiHidden/>
    <w:rsid w:val="00B25575"/>
    <w:rPr>
      <w:rFonts w:asciiTheme="majorHAnsi" w:eastAsiaTheme="majorEastAsia" w:hAnsiTheme="majorHAnsi" w:cstheme="majorBidi"/>
      <w:i/>
      <w:iCs/>
      <w:color w:val="272727" w:themeColor="text1" w:themeTint="D8"/>
      <w:sz w:val="21"/>
      <w:szCs w:val="21"/>
      <w:lang w:val="it-IT"/>
    </w:rPr>
  </w:style>
  <w:style w:type="character" w:styleId="a8">
    <w:name w:val="annotation reference"/>
    <w:basedOn w:val="a0"/>
    <w:uiPriority w:val="99"/>
    <w:semiHidden/>
    <w:unhideWhenUsed/>
    <w:rsid w:val="00485598"/>
    <w:rPr>
      <w:sz w:val="16"/>
      <w:szCs w:val="16"/>
    </w:rPr>
  </w:style>
  <w:style w:type="paragraph" w:styleId="a9">
    <w:name w:val="annotation text"/>
    <w:basedOn w:val="a"/>
    <w:link w:val="Char3"/>
    <w:uiPriority w:val="99"/>
    <w:unhideWhenUsed/>
    <w:rsid w:val="00485598"/>
    <w:pPr>
      <w:spacing w:line="240" w:lineRule="auto"/>
    </w:pPr>
    <w:rPr>
      <w:sz w:val="20"/>
      <w:szCs w:val="20"/>
    </w:rPr>
  </w:style>
  <w:style w:type="character" w:customStyle="1" w:styleId="Char3">
    <w:name w:val="Κείμενο σχολίου Char"/>
    <w:basedOn w:val="a0"/>
    <w:link w:val="a9"/>
    <w:uiPriority w:val="99"/>
    <w:rsid w:val="00485598"/>
    <w:rPr>
      <w:lang w:val="it-IT"/>
    </w:rPr>
  </w:style>
  <w:style w:type="paragraph" w:styleId="aa">
    <w:name w:val="annotation subject"/>
    <w:basedOn w:val="a9"/>
    <w:next w:val="a9"/>
    <w:link w:val="Char4"/>
    <w:uiPriority w:val="99"/>
    <w:semiHidden/>
    <w:unhideWhenUsed/>
    <w:rsid w:val="00485598"/>
    <w:rPr>
      <w:b/>
      <w:bCs/>
    </w:rPr>
  </w:style>
  <w:style w:type="character" w:customStyle="1" w:styleId="Char4">
    <w:name w:val="Θέμα σχολίου Char"/>
    <w:basedOn w:val="Char3"/>
    <w:link w:val="aa"/>
    <w:uiPriority w:val="99"/>
    <w:semiHidden/>
    <w:rsid w:val="00485598"/>
    <w:rPr>
      <w:b/>
      <w:bCs/>
      <w:lang w:val="it-IT"/>
    </w:rPr>
  </w:style>
  <w:style w:type="numbering" w:customStyle="1" w:styleId="Listeactuelle1">
    <w:name w:val="Liste actuelle1"/>
    <w:uiPriority w:val="99"/>
    <w:rsid w:val="00B26B6C"/>
    <w:pPr>
      <w:numPr>
        <w:numId w:val="8"/>
      </w:numPr>
    </w:pPr>
  </w:style>
  <w:style w:type="paragraph" w:customStyle="1" w:styleId="Articletype">
    <w:name w:val="Article type"/>
    <w:basedOn w:val="a"/>
    <w:next w:val="a"/>
    <w:qFormat/>
    <w:rsid w:val="000323B4"/>
    <w:pPr>
      <w:pBdr>
        <w:top w:val="single" w:sz="24" w:space="10" w:color="auto"/>
      </w:pBdr>
    </w:pPr>
    <w:rPr>
      <w:rFonts w:ascii="Arial Nova" w:hAnsi="Arial Nova"/>
      <w:lang w:val="en-US"/>
    </w:rPr>
  </w:style>
  <w:style w:type="paragraph" w:customStyle="1" w:styleId="Authors">
    <w:name w:val="Authors"/>
    <w:basedOn w:val="HeaderAuthors"/>
    <w:qFormat/>
    <w:rsid w:val="003F34C2"/>
    <w:rPr>
      <w:i w:val="0"/>
      <w:iCs w:val="0"/>
      <w:lang w:val="fr-CH"/>
    </w:rPr>
  </w:style>
  <w:style w:type="numbering" w:customStyle="1" w:styleId="Listeactuelle2">
    <w:name w:val="Liste actuelle2"/>
    <w:uiPriority w:val="99"/>
    <w:rsid w:val="0070451C"/>
    <w:pPr>
      <w:numPr>
        <w:numId w:val="9"/>
      </w:numPr>
    </w:pPr>
  </w:style>
  <w:style w:type="character" w:styleId="ab">
    <w:name w:val="Unresolved Mention"/>
    <w:basedOn w:val="a0"/>
    <w:uiPriority w:val="99"/>
    <w:semiHidden/>
    <w:unhideWhenUsed/>
    <w:rsid w:val="009846C5"/>
    <w:rPr>
      <w:color w:val="605E5C"/>
      <w:shd w:val="clear" w:color="auto" w:fill="E1DFDD"/>
    </w:rPr>
  </w:style>
  <w:style w:type="paragraph" w:customStyle="1" w:styleId="IJSGTitle">
    <w:name w:val="IJSG Title"/>
    <w:qFormat/>
    <w:rsid w:val="0046687F"/>
    <w:rPr>
      <w:rFonts w:ascii="Arial Nova" w:hAnsi="Arial Nova" w:cs="Arial"/>
      <w:color w:val="000000" w:themeColor="text1"/>
      <w:sz w:val="21"/>
      <w:szCs w:val="21"/>
    </w:rPr>
  </w:style>
  <w:style w:type="paragraph" w:customStyle="1" w:styleId="Authorsaffiliation">
    <w:name w:val="Authors affiliation"/>
    <w:qFormat/>
    <w:rsid w:val="003B79DE"/>
    <w:rPr>
      <w:rFonts w:ascii="Times New Roman" w:hAnsi="Times New Roman"/>
      <w:i/>
      <w:iCs/>
      <w:sz w:val="18"/>
      <w:szCs w:val="18"/>
      <w:lang w:val="fr-CH"/>
    </w:rPr>
  </w:style>
  <w:style w:type="paragraph" w:customStyle="1" w:styleId="ArticleInfo">
    <w:name w:val="Article Info"/>
    <w:qFormat/>
    <w:rsid w:val="004B6324"/>
    <w:rPr>
      <w:rFonts w:ascii="Times New Roman" w:hAnsi="Times New Roman"/>
      <w:sz w:val="18"/>
      <w:szCs w:val="18"/>
    </w:rPr>
  </w:style>
  <w:style w:type="paragraph" w:customStyle="1" w:styleId="HeaderAuthors">
    <w:name w:val="Header Authors"/>
    <w:basedOn w:val="a"/>
    <w:qFormat/>
    <w:rsid w:val="00BE0646"/>
    <w:pPr>
      <w:tabs>
        <w:tab w:val="center" w:pos="4819"/>
        <w:tab w:val="right" w:pos="9638"/>
      </w:tabs>
      <w:spacing w:line="240" w:lineRule="auto"/>
    </w:pPr>
    <w:rPr>
      <w:rFonts w:ascii="Times New Roman" w:hAnsi="Times New Roman"/>
      <w:i/>
      <w:iCs/>
      <w:sz w:val="20"/>
      <w:lang w:val="en-US"/>
    </w:rPr>
  </w:style>
  <w:style w:type="paragraph" w:customStyle="1" w:styleId="FooterIJSG">
    <w:name w:val="Footer IJSG"/>
    <w:basedOn w:val="a"/>
    <w:qFormat/>
    <w:rsid w:val="00E05F03"/>
    <w:rPr>
      <w:sz w:val="18"/>
      <w:szCs w:val="18"/>
      <w:lang w:val="en-US"/>
    </w:rPr>
  </w:style>
  <w:style w:type="paragraph" w:customStyle="1" w:styleId="FooterPagenumber">
    <w:name w:val="Footer Page number"/>
    <w:qFormat/>
    <w:rsid w:val="008215DF"/>
    <w:rPr>
      <w:b/>
    </w:rPr>
  </w:style>
  <w:style w:type="paragraph" w:customStyle="1" w:styleId="References">
    <w:name w:val="References"/>
    <w:basedOn w:val="a"/>
    <w:qFormat/>
    <w:rsid w:val="00126660"/>
    <w:pPr>
      <w:tabs>
        <w:tab w:val="left" w:pos="426"/>
      </w:tabs>
    </w:pPr>
    <w:rPr>
      <w:rFonts w:ascii="Times New Roman" w:hAnsi="Times New Roman"/>
      <w:sz w:val="20"/>
      <w:szCs w:val="18"/>
      <w:lang w:val="en-US"/>
    </w:rPr>
  </w:style>
  <w:style w:type="paragraph" w:customStyle="1" w:styleId="Ligne">
    <w:name w:val="Ligne"/>
    <w:basedOn w:val="a"/>
    <w:next w:val="AbstractText"/>
    <w:qFormat/>
    <w:rsid w:val="00646F70"/>
    <w:pPr>
      <w:pBdr>
        <w:bottom w:val="single" w:sz="4" w:space="1" w:color="auto"/>
      </w:pBdr>
      <w:spacing w:after="120"/>
    </w:pPr>
    <w:rPr>
      <w:sz w:val="10"/>
      <w:szCs w:val="10"/>
      <w:lang w:val="en-US"/>
    </w:rPr>
  </w:style>
  <w:style w:type="paragraph" w:customStyle="1" w:styleId="TableText">
    <w:name w:val="Table Text"/>
    <w:basedOn w:val="a"/>
    <w:qFormat/>
    <w:rsid w:val="00A922EF"/>
    <w:rPr>
      <w:rFonts w:ascii="Arial" w:hAnsi="Arial" w:cs="Arial"/>
      <w:sz w:val="16"/>
      <w:szCs w:val="16"/>
      <w:lang w:val="en-US"/>
    </w:rPr>
  </w:style>
  <w:style w:type="numbering" w:customStyle="1" w:styleId="Listeactuelle3">
    <w:name w:val="Liste actuelle3"/>
    <w:uiPriority w:val="99"/>
    <w:rsid w:val="00482031"/>
    <w:pPr>
      <w:numPr>
        <w:numId w:val="10"/>
      </w:numPr>
    </w:pPr>
  </w:style>
  <w:style w:type="paragraph" w:styleId="ac">
    <w:name w:val="List Paragraph"/>
    <w:basedOn w:val="a"/>
    <w:uiPriority w:val="34"/>
    <w:qFormat/>
    <w:rsid w:val="00227A38"/>
    <w:pPr>
      <w:spacing w:after="160" w:line="259" w:lineRule="auto"/>
      <w:ind w:left="720"/>
      <w:contextualSpacing/>
    </w:pPr>
    <w:rPr>
      <w:rFonts w:asciiTheme="minorHAnsi" w:eastAsiaTheme="minorHAnsi" w:hAnsiTheme="minorHAnsi" w:cstheme="minorBidi"/>
      <w:lang w:val="el-GR"/>
    </w:rPr>
  </w:style>
  <w:style w:type="paragraph" w:styleId="ad">
    <w:name w:val="Revision"/>
    <w:hidden/>
    <w:uiPriority w:val="99"/>
    <w:semiHidden/>
    <w:rsid w:val="00885E02"/>
    <w:rPr>
      <w:sz w:val="22"/>
      <w:szCs w:val="22"/>
      <w:lang w:val="it-IT"/>
    </w:rPr>
  </w:style>
  <w:style w:type="paragraph" w:styleId="Web">
    <w:name w:val="Normal (Web)"/>
    <w:basedOn w:val="a"/>
    <w:uiPriority w:val="99"/>
    <w:semiHidden/>
    <w:unhideWhenUsed/>
    <w:rsid w:val="0087239D"/>
    <w:rPr>
      <w:rFonts w:ascii="Times New Roman" w:hAnsi="Times New Roman"/>
      <w:sz w:val="24"/>
      <w:szCs w:val="24"/>
    </w:rPr>
  </w:style>
  <w:style w:type="paragraph" w:styleId="ae">
    <w:name w:val="Body Text"/>
    <w:basedOn w:val="a"/>
    <w:link w:val="Char5"/>
    <w:uiPriority w:val="99"/>
    <w:semiHidden/>
    <w:unhideWhenUsed/>
    <w:rsid w:val="003D4269"/>
    <w:pPr>
      <w:spacing w:after="120"/>
    </w:pPr>
  </w:style>
  <w:style w:type="character" w:customStyle="1" w:styleId="Char5">
    <w:name w:val="Σώμα κειμένου Char"/>
    <w:basedOn w:val="a0"/>
    <w:link w:val="ae"/>
    <w:uiPriority w:val="99"/>
    <w:semiHidden/>
    <w:rsid w:val="003D4269"/>
    <w:rPr>
      <w:sz w:val="22"/>
      <w:szCs w:val="22"/>
      <w:lang w:val="it-IT"/>
    </w:rPr>
  </w:style>
  <w:style w:type="character" w:styleId="-">
    <w:name w:val="Hyperlink"/>
    <w:basedOn w:val="a0"/>
    <w:uiPriority w:val="99"/>
    <w:unhideWhenUsed/>
    <w:rsid w:val="00C879D2"/>
    <w:rPr>
      <w:color w:val="0563C1" w:themeColor="hyperlink"/>
      <w:u w:val="single"/>
    </w:rPr>
  </w:style>
  <w:style w:type="paragraph" w:customStyle="1" w:styleId="whitespace-normal">
    <w:name w:val="whitespace-normal"/>
    <w:basedOn w:val="a"/>
    <w:rsid w:val="00DC714C"/>
    <w:pPr>
      <w:spacing w:before="100" w:beforeAutospacing="1" w:after="100" w:afterAutospacing="1" w:line="240" w:lineRule="auto"/>
    </w:pPr>
    <w:rPr>
      <w:rFonts w:ascii="Times New Roman" w:eastAsia="Times New Roman" w:hAnsi="Times New Roman"/>
      <w:sz w:val="24"/>
      <w:szCs w:val="24"/>
      <w:lang w:val="el-GR" w:eastAsia="el-GR"/>
    </w:rPr>
  </w:style>
  <w:style w:type="character" w:styleId="af">
    <w:name w:val="Strong"/>
    <w:basedOn w:val="a0"/>
    <w:uiPriority w:val="22"/>
    <w:qFormat/>
    <w:rsid w:val="00DC71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5234">
      <w:bodyDiv w:val="1"/>
      <w:marLeft w:val="0"/>
      <w:marRight w:val="0"/>
      <w:marTop w:val="0"/>
      <w:marBottom w:val="0"/>
      <w:divBdr>
        <w:top w:val="none" w:sz="0" w:space="0" w:color="auto"/>
        <w:left w:val="none" w:sz="0" w:space="0" w:color="auto"/>
        <w:bottom w:val="none" w:sz="0" w:space="0" w:color="auto"/>
        <w:right w:val="none" w:sz="0" w:space="0" w:color="auto"/>
      </w:divBdr>
    </w:div>
    <w:div w:id="44715982">
      <w:bodyDiv w:val="1"/>
      <w:marLeft w:val="0"/>
      <w:marRight w:val="0"/>
      <w:marTop w:val="0"/>
      <w:marBottom w:val="0"/>
      <w:divBdr>
        <w:top w:val="none" w:sz="0" w:space="0" w:color="auto"/>
        <w:left w:val="none" w:sz="0" w:space="0" w:color="auto"/>
        <w:bottom w:val="none" w:sz="0" w:space="0" w:color="auto"/>
        <w:right w:val="none" w:sz="0" w:space="0" w:color="auto"/>
      </w:divBdr>
    </w:div>
    <w:div w:id="80030486">
      <w:bodyDiv w:val="1"/>
      <w:marLeft w:val="0"/>
      <w:marRight w:val="0"/>
      <w:marTop w:val="0"/>
      <w:marBottom w:val="0"/>
      <w:divBdr>
        <w:top w:val="none" w:sz="0" w:space="0" w:color="auto"/>
        <w:left w:val="none" w:sz="0" w:space="0" w:color="auto"/>
        <w:bottom w:val="none" w:sz="0" w:space="0" w:color="auto"/>
        <w:right w:val="none" w:sz="0" w:space="0" w:color="auto"/>
      </w:divBdr>
      <w:divsChild>
        <w:div w:id="2123912028">
          <w:marLeft w:val="0"/>
          <w:marRight w:val="0"/>
          <w:marTop w:val="0"/>
          <w:marBottom w:val="0"/>
          <w:divBdr>
            <w:top w:val="none" w:sz="0" w:space="0" w:color="auto"/>
            <w:left w:val="none" w:sz="0" w:space="0" w:color="auto"/>
            <w:bottom w:val="none" w:sz="0" w:space="0" w:color="auto"/>
            <w:right w:val="none" w:sz="0" w:space="0" w:color="auto"/>
          </w:divBdr>
        </w:div>
      </w:divsChild>
    </w:div>
    <w:div w:id="81419291">
      <w:bodyDiv w:val="1"/>
      <w:marLeft w:val="0"/>
      <w:marRight w:val="0"/>
      <w:marTop w:val="0"/>
      <w:marBottom w:val="0"/>
      <w:divBdr>
        <w:top w:val="none" w:sz="0" w:space="0" w:color="auto"/>
        <w:left w:val="none" w:sz="0" w:space="0" w:color="auto"/>
        <w:bottom w:val="none" w:sz="0" w:space="0" w:color="auto"/>
        <w:right w:val="none" w:sz="0" w:space="0" w:color="auto"/>
      </w:divBdr>
    </w:div>
    <w:div w:id="98376684">
      <w:bodyDiv w:val="1"/>
      <w:marLeft w:val="0"/>
      <w:marRight w:val="0"/>
      <w:marTop w:val="0"/>
      <w:marBottom w:val="0"/>
      <w:divBdr>
        <w:top w:val="none" w:sz="0" w:space="0" w:color="auto"/>
        <w:left w:val="none" w:sz="0" w:space="0" w:color="auto"/>
        <w:bottom w:val="none" w:sz="0" w:space="0" w:color="auto"/>
        <w:right w:val="none" w:sz="0" w:space="0" w:color="auto"/>
      </w:divBdr>
    </w:div>
    <w:div w:id="142620299">
      <w:bodyDiv w:val="1"/>
      <w:marLeft w:val="0"/>
      <w:marRight w:val="0"/>
      <w:marTop w:val="0"/>
      <w:marBottom w:val="0"/>
      <w:divBdr>
        <w:top w:val="none" w:sz="0" w:space="0" w:color="auto"/>
        <w:left w:val="none" w:sz="0" w:space="0" w:color="auto"/>
        <w:bottom w:val="none" w:sz="0" w:space="0" w:color="auto"/>
        <w:right w:val="none" w:sz="0" w:space="0" w:color="auto"/>
      </w:divBdr>
    </w:div>
    <w:div w:id="154342986">
      <w:bodyDiv w:val="1"/>
      <w:marLeft w:val="0"/>
      <w:marRight w:val="0"/>
      <w:marTop w:val="0"/>
      <w:marBottom w:val="0"/>
      <w:divBdr>
        <w:top w:val="none" w:sz="0" w:space="0" w:color="auto"/>
        <w:left w:val="none" w:sz="0" w:space="0" w:color="auto"/>
        <w:bottom w:val="none" w:sz="0" w:space="0" w:color="auto"/>
        <w:right w:val="none" w:sz="0" w:space="0" w:color="auto"/>
      </w:divBdr>
      <w:divsChild>
        <w:div w:id="754320401">
          <w:marLeft w:val="0"/>
          <w:marRight w:val="0"/>
          <w:marTop w:val="0"/>
          <w:marBottom w:val="0"/>
          <w:divBdr>
            <w:top w:val="none" w:sz="0" w:space="0" w:color="auto"/>
            <w:left w:val="none" w:sz="0" w:space="0" w:color="auto"/>
            <w:bottom w:val="none" w:sz="0" w:space="0" w:color="auto"/>
            <w:right w:val="none" w:sz="0" w:space="0" w:color="auto"/>
          </w:divBdr>
        </w:div>
      </w:divsChild>
    </w:div>
    <w:div w:id="300765864">
      <w:bodyDiv w:val="1"/>
      <w:marLeft w:val="0"/>
      <w:marRight w:val="0"/>
      <w:marTop w:val="0"/>
      <w:marBottom w:val="0"/>
      <w:divBdr>
        <w:top w:val="none" w:sz="0" w:space="0" w:color="auto"/>
        <w:left w:val="none" w:sz="0" w:space="0" w:color="auto"/>
        <w:bottom w:val="none" w:sz="0" w:space="0" w:color="auto"/>
        <w:right w:val="none" w:sz="0" w:space="0" w:color="auto"/>
      </w:divBdr>
    </w:div>
    <w:div w:id="342441822">
      <w:bodyDiv w:val="1"/>
      <w:marLeft w:val="0"/>
      <w:marRight w:val="0"/>
      <w:marTop w:val="0"/>
      <w:marBottom w:val="0"/>
      <w:divBdr>
        <w:top w:val="none" w:sz="0" w:space="0" w:color="auto"/>
        <w:left w:val="none" w:sz="0" w:space="0" w:color="auto"/>
        <w:bottom w:val="none" w:sz="0" w:space="0" w:color="auto"/>
        <w:right w:val="none" w:sz="0" w:space="0" w:color="auto"/>
      </w:divBdr>
    </w:div>
    <w:div w:id="552230575">
      <w:bodyDiv w:val="1"/>
      <w:marLeft w:val="0"/>
      <w:marRight w:val="0"/>
      <w:marTop w:val="0"/>
      <w:marBottom w:val="0"/>
      <w:divBdr>
        <w:top w:val="none" w:sz="0" w:space="0" w:color="auto"/>
        <w:left w:val="none" w:sz="0" w:space="0" w:color="auto"/>
        <w:bottom w:val="none" w:sz="0" w:space="0" w:color="auto"/>
        <w:right w:val="none" w:sz="0" w:space="0" w:color="auto"/>
      </w:divBdr>
    </w:div>
    <w:div w:id="562375840">
      <w:bodyDiv w:val="1"/>
      <w:marLeft w:val="0"/>
      <w:marRight w:val="0"/>
      <w:marTop w:val="0"/>
      <w:marBottom w:val="0"/>
      <w:divBdr>
        <w:top w:val="none" w:sz="0" w:space="0" w:color="auto"/>
        <w:left w:val="none" w:sz="0" w:space="0" w:color="auto"/>
        <w:bottom w:val="none" w:sz="0" w:space="0" w:color="auto"/>
        <w:right w:val="none" w:sz="0" w:space="0" w:color="auto"/>
      </w:divBdr>
      <w:divsChild>
        <w:div w:id="316421952">
          <w:marLeft w:val="0"/>
          <w:marRight w:val="0"/>
          <w:marTop w:val="0"/>
          <w:marBottom w:val="0"/>
          <w:divBdr>
            <w:top w:val="none" w:sz="0" w:space="0" w:color="auto"/>
            <w:left w:val="none" w:sz="0" w:space="0" w:color="auto"/>
            <w:bottom w:val="none" w:sz="0" w:space="0" w:color="auto"/>
            <w:right w:val="none" w:sz="0" w:space="0" w:color="auto"/>
          </w:divBdr>
          <w:divsChild>
            <w:div w:id="1960529282">
              <w:marLeft w:val="0"/>
              <w:marRight w:val="0"/>
              <w:marTop w:val="0"/>
              <w:marBottom w:val="0"/>
              <w:divBdr>
                <w:top w:val="none" w:sz="0" w:space="0" w:color="auto"/>
                <w:left w:val="none" w:sz="0" w:space="0" w:color="auto"/>
                <w:bottom w:val="none" w:sz="0" w:space="0" w:color="auto"/>
                <w:right w:val="none" w:sz="0" w:space="0" w:color="auto"/>
              </w:divBdr>
              <w:divsChild>
                <w:div w:id="567376721">
                  <w:marLeft w:val="0"/>
                  <w:marRight w:val="0"/>
                  <w:marTop w:val="0"/>
                  <w:marBottom w:val="0"/>
                  <w:divBdr>
                    <w:top w:val="none" w:sz="0" w:space="0" w:color="auto"/>
                    <w:left w:val="none" w:sz="0" w:space="0" w:color="auto"/>
                    <w:bottom w:val="none" w:sz="0" w:space="0" w:color="auto"/>
                    <w:right w:val="none" w:sz="0" w:space="0" w:color="auto"/>
                  </w:divBdr>
                  <w:divsChild>
                    <w:div w:id="55551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664920">
      <w:bodyDiv w:val="1"/>
      <w:marLeft w:val="0"/>
      <w:marRight w:val="0"/>
      <w:marTop w:val="0"/>
      <w:marBottom w:val="0"/>
      <w:divBdr>
        <w:top w:val="none" w:sz="0" w:space="0" w:color="auto"/>
        <w:left w:val="none" w:sz="0" w:space="0" w:color="auto"/>
        <w:bottom w:val="none" w:sz="0" w:space="0" w:color="auto"/>
        <w:right w:val="none" w:sz="0" w:space="0" w:color="auto"/>
      </w:divBdr>
      <w:divsChild>
        <w:div w:id="451750512">
          <w:marLeft w:val="0"/>
          <w:marRight w:val="0"/>
          <w:marTop w:val="0"/>
          <w:marBottom w:val="0"/>
          <w:divBdr>
            <w:top w:val="none" w:sz="0" w:space="0" w:color="auto"/>
            <w:left w:val="none" w:sz="0" w:space="0" w:color="auto"/>
            <w:bottom w:val="none" w:sz="0" w:space="0" w:color="auto"/>
            <w:right w:val="none" w:sz="0" w:space="0" w:color="auto"/>
          </w:divBdr>
        </w:div>
      </w:divsChild>
    </w:div>
    <w:div w:id="664430666">
      <w:bodyDiv w:val="1"/>
      <w:marLeft w:val="0"/>
      <w:marRight w:val="0"/>
      <w:marTop w:val="0"/>
      <w:marBottom w:val="0"/>
      <w:divBdr>
        <w:top w:val="none" w:sz="0" w:space="0" w:color="auto"/>
        <w:left w:val="none" w:sz="0" w:space="0" w:color="auto"/>
        <w:bottom w:val="none" w:sz="0" w:space="0" w:color="auto"/>
        <w:right w:val="none" w:sz="0" w:space="0" w:color="auto"/>
      </w:divBdr>
    </w:div>
    <w:div w:id="1138691062">
      <w:bodyDiv w:val="1"/>
      <w:marLeft w:val="0"/>
      <w:marRight w:val="0"/>
      <w:marTop w:val="0"/>
      <w:marBottom w:val="0"/>
      <w:divBdr>
        <w:top w:val="none" w:sz="0" w:space="0" w:color="auto"/>
        <w:left w:val="none" w:sz="0" w:space="0" w:color="auto"/>
        <w:bottom w:val="none" w:sz="0" w:space="0" w:color="auto"/>
        <w:right w:val="none" w:sz="0" w:space="0" w:color="auto"/>
      </w:divBdr>
    </w:div>
    <w:div w:id="1175924721">
      <w:bodyDiv w:val="1"/>
      <w:marLeft w:val="0"/>
      <w:marRight w:val="0"/>
      <w:marTop w:val="0"/>
      <w:marBottom w:val="0"/>
      <w:divBdr>
        <w:top w:val="none" w:sz="0" w:space="0" w:color="auto"/>
        <w:left w:val="none" w:sz="0" w:space="0" w:color="auto"/>
        <w:bottom w:val="none" w:sz="0" w:space="0" w:color="auto"/>
        <w:right w:val="none" w:sz="0" w:space="0" w:color="auto"/>
      </w:divBdr>
    </w:div>
    <w:div w:id="1199510619">
      <w:bodyDiv w:val="1"/>
      <w:marLeft w:val="0"/>
      <w:marRight w:val="0"/>
      <w:marTop w:val="0"/>
      <w:marBottom w:val="0"/>
      <w:divBdr>
        <w:top w:val="none" w:sz="0" w:space="0" w:color="auto"/>
        <w:left w:val="none" w:sz="0" w:space="0" w:color="auto"/>
        <w:bottom w:val="none" w:sz="0" w:space="0" w:color="auto"/>
        <w:right w:val="none" w:sz="0" w:space="0" w:color="auto"/>
      </w:divBdr>
    </w:div>
    <w:div w:id="1257324220">
      <w:bodyDiv w:val="1"/>
      <w:marLeft w:val="0"/>
      <w:marRight w:val="0"/>
      <w:marTop w:val="0"/>
      <w:marBottom w:val="0"/>
      <w:divBdr>
        <w:top w:val="none" w:sz="0" w:space="0" w:color="auto"/>
        <w:left w:val="none" w:sz="0" w:space="0" w:color="auto"/>
        <w:bottom w:val="none" w:sz="0" w:space="0" w:color="auto"/>
        <w:right w:val="none" w:sz="0" w:space="0" w:color="auto"/>
      </w:divBdr>
    </w:div>
    <w:div w:id="1342313912">
      <w:bodyDiv w:val="1"/>
      <w:marLeft w:val="0"/>
      <w:marRight w:val="0"/>
      <w:marTop w:val="0"/>
      <w:marBottom w:val="0"/>
      <w:divBdr>
        <w:top w:val="none" w:sz="0" w:space="0" w:color="auto"/>
        <w:left w:val="none" w:sz="0" w:space="0" w:color="auto"/>
        <w:bottom w:val="none" w:sz="0" w:space="0" w:color="auto"/>
        <w:right w:val="none" w:sz="0" w:space="0" w:color="auto"/>
      </w:divBdr>
    </w:div>
    <w:div w:id="1452166201">
      <w:bodyDiv w:val="1"/>
      <w:marLeft w:val="0"/>
      <w:marRight w:val="0"/>
      <w:marTop w:val="0"/>
      <w:marBottom w:val="0"/>
      <w:divBdr>
        <w:top w:val="none" w:sz="0" w:space="0" w:color="auto"/>
        <w:left w:val="none" w:sz="0" w:space="0" w:color="auto"/>
        <w:bottom w:val="none" w:sz="0" w:space="0" w:color="auto"/>
        <w:right w:val="none" w:sz="0" w:space="0" w:color="auto"/>
      </w:divBdr>
    </w:div>
    <w:div w:id="1456631975">
      <w:bodyDiv w:val="1"/>
      <w:marLeft w:val="0"/>
      <w:marRight w:val="0"/>
      <w:marTop w:val="0"/>
      <w:marBottom w:val="0"/>
      <w:divBdr>
        <w:top w:val="none" w:sz="0" w:space="0" w:color="auto"/>
        <w:left w:val="none" w:sz="0" w:space="0" w:color="auto"/>
        <w:bottom w:val="none" w:sz="0" w:space="0" w:color="auto"/>
        <w:right w:val="none" w:sz="0" w:space="0" w:color="auto"/>
      </w:divBdr>
      <w:divsChild>
        <w:div w:id="1376540774">
          <w:marLeft w:val="0"/>
          <w:marRight w:val="0"/>
          <w:marTop w:val="0"/>
          <w:marBottom w:val="105"/>
          <w:divBdr>
            <w:top w:val="none" w:sz="0" w:space="0" w:color="auto"/>
            <w:left w:val="none" w:sz="0" w:space="0" w:color="auto"/>
            <w:bottom w:val="none" w:sz="0" w:space="0" w:color="auto"/>
            <w:right w:val="none" w:sz="0" w:space="0" w:color="auto"/>
          </w:divBdr>
        </w:div>
      </w:divsChild>
    </w:div>
    <w:div w:id="1473064281">
      <w:bodyDiv w:val="1"/>
      <w:marLeft w:val="0"/>
      <w:marRight w:val="0"/>
      <w:marTop w:val="0"/>
      <w:marBottom w:val="0"/>
      <w:divBdr>
        <w:top w:val="none" w:sz="0" w:space="0" w:color="auto"/>
        <w:left w:val="none" w:sz="0" w:space="0" w:color="auto"/>
        <w:bottom w:val="none" w:sz="0" w:space="0" w:color="auto"/>
        <w:right w:val="none" w:sz="0" w:space="0" w:color="auto"/>
      </w:divBdr>
    </w:div>
    <w:div w:id="1476531170">
      <w:bodyDiv w:val="1"/>
      <w:marLeft w:val="0"/>
      <w:marRight w:val="0"/>
      <w:marTop w:val="0"/>
      <w:marBottom w:val="0"/>
      <w:divBdr>
        <w:top w:val="none" w:sz="0" w:space="0" w:color="auto"/>
        <w:left w:val="none" w:sz="0" w:space="0" w:color="auto"/>
        <w:bottom w:val="none" w:sz="0" w:space="0" w:color="auto"/>
        <w:right w:val="none" w:sz="0" w:space="0" w:color="auto"/>
      </w:divBdr>
    </w:div>
    <w:div w:id="1478835097">
      <w:bodyDiv w:val="1"/>
      <w:marLeft w:val="0"/>
      <w:marRight w:val="0"/>
      <w:marTop w:val="0"/>
      <w:marBottom w:val="0"/>
      <w:divBdr>
        <w:top w:val="none" w:sz="0" w:space="0" w:color="auto"/>
        <w:left w:val="none" w:sz="0" w:space="0" w:color="auto"/>
        <w:bottom w:val="none" w:sz="0" w:space="0" w:color="auto"/>
        <w:right w:val="none" w:sz="0" w:space="0" w:color="auto"/>
      </w:divBdr>
    </w:div>
    <w:div w:id="1578317834">
      <w:bodyDiv w:val="1"/>
      <w:marLeft w:val="0"/>
      <w:marRight w:val="0"/>
      <w:marTop w:val="0"/>
      <w:marBottom w:val="0"/>
      <w:divBdr>
        <w:top w:val="none" w:sz="0" w:space="0" w:color="auto"/>
        <w:left w:val="none" w:sz="0" w:space="0" w:color="auto"/>
        <w:bottom w:val="none" w:sz="0" w:space="0" w:color="auto"/>
        <w:right w:val="none" w:sz="0" w:space="0" w:color="auto"/>
      </w:divBdr>
      <w:divsChild>
        <w:div w:id="2036886985">
          <w:marLeft w:val="0"/>
          <w:marRight w:val="0"/>
          <w:marTop w:val="0"/>
          <w:marBottom w:val="105"/>
          <w:divBdr>
            <w:top w:val="none" w:sz="0" w:space="0" w:color="auto"/>
            <w:left w:val="none" w:sz="0" w:space="0" w:color="auto"/>
            <w:bottom w:val="none" w:sz="0" w:space="0" w:color="auto"/>
            <w:right w:val="none" w:sz="0" w:space="0" w:color="auto"/>
          </w:divBdr>
        </w:div>
      </w:divsChild>
    </w:div>
    <w:div w:id="1604536219">
      <w:bodyDiv w:val="1"/>
      <w:marLeft w:val="0"/>
      <w:marRight w:val="0"/>
      <w:marTop w:val="0"/>
      <w:marBottom w:val="0"/>
      <w:divBdr>
        <w:top w:val="none" w:sz="0" w:space="0" w:color="auto"/>
        <w:left w:val="none" w:sz="0" w:space="0" w:color="auto"/>
        <w:bottom w:val="none" w:sz="0" w:space="0" w:color="auto"/>
        <w:right w:val="none" w:sz="0" w:space="0" w:color="auto"/>
      </w:divBdr>
      <w:divsChild>
        <w:div w:id="1727988195">
          <w:marLeft w:val="0"/>
          <w:marRight w:val="0"/>
          <w:marTop w:val="0"/>
          <w:marBottom w:val="0"/>
          <w:divBdr>
            <w:top w:val="none" w:sz="0" w:space="0" w:color="auto"/>
            <w:left w:val="none" w:sz="0" w:space="0" w:color="auto"/>
            <w:bottom w:val="none" w:sz="0" w:space="0" w:color="auto"/>
            <w:right w:val="none" w:sz="0" w:space="0" w:color="auto"/>
          </w:divBdr>
          <w:divsChild>
            <w:div w:id="116065189">
              <w:marLeft w:val="0"/>
              <w:marRight w:val="0"/>
              <w:marTop w:val="0"/>
              <w:marBottom w:val="0"/>
              <w:divBdr>
                <w:top w:val="none" w:sz="0" w:space="0" w:color="auto"/>
                <w:left w:val="none" w:sz="0" w:space="0" w:color="auto"/>
                <w:bottom w:val="none" w:sz="0" w:space="0" w:color="auto"/>
                <w:right w:val="none" w:sz="0" w:space="0" w:color="auto"/>
              </w:divBdr>
              <w:divsChild>
                <w:div w:id="1392579899">
                  <w:marLeft w:val="0"/>
                  <w:marRight w:val="0"/>
                  <w:marTop w:val="0"/>
                  <w:marBottom w:val="0"/>
                  <w:divBdr>
                    <w:top w:val="none" w:sz="0" w:space="0" w:color="auto"/>
                    <w:left w:val="none" w:sz="0" w:space="0" w:color="auto"/>
                    <w:bottom w:val="none" w:sz="0" w:space="0" w:color="auto"/>
                    <w:right w:val="none" w:sz="0" w:space="0" w:color="auto"/>
                  </w:divBdr>
                  <w:divsChild>
                    <w:div w:id="25247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640862">
      <w:bodyDiv w:val="1"/>
      <w:marLeft w:val="0"/>
      <w:marRight w:val="0"/>
      <w:marTop w:val="0"/>
      <w:marBottom w:val="0"/>
      <w:divBdr>
        <w:top w:val="none" w:sz="0" w:space="0" w:color="auto"/>
        <w:left w:val="none" w:sz="0" w:space="0" w:color="auto"/>
        <w:bottom w:val="none" w:sz="0" w:space="0" w:color="auto"/>
        <w:right w:val="none" w:sz="0" w:space="0" w:color="auto"/>
      </w:divBdr>
    </w:div>
    <w:div w:id="1961764871">
      <w:bodyDiv w:val="1"/>
      <w:marLeft w:val="0"/>
      <w:marRight w:val="0"/>
      <w:marTop w:val="0"/>
      <w:marBottom w:val="0"/>
      <w:divBdr>
        <w:top w:val="none" w:sz="0" w:space="0" w:color="auto"/>
        <w:left w:val="none" w:sz="0" w:space="0" w:color="auto"/>
        <w:bottom w:val="none" w:sz="0" w:space="0" w:color="auto"/>
        <w:right w:val="none" w:sz="0" w:space="0" w:color="auto"/>
      </w:divBdr>
    </w:div>
    <w:div w:id="2010861574">
      <w:bodyDiv w:val="1"/>
      <w:marLeft w:val="0"/>
      <w:marRight w:val="0"/>
      <w:marTop w:val="0"/>
      <w:marBottom w:val="0"/>
      <w:divBdr>
        <w:top w:val="none" w:sz="0" w:space="0" w:color="auto"/>
        <w:left w:val="none" w:sz="0" w:space="0" w:color="auto"/>
        <w:bottom w:val="none" w:sz="0" w:space="0" w:color="auto"/>
        <w:right w:val="none" w:sz="0" w:space="0" w:color="auto"/>
      </w:divBdr>
    </w:div>
    <w:div w:id="2052606464">
      <w:bodyDiv w:val="1"/>
      <w:marLeft w:val="0"/>
      <w:marRight w:val="0"/>
      <w:marTop w:val="0"/>
      <w:marBottom w:val="0"/>
      <w:divBdr>
        <w:top w:val="none" w:sz="0" w:space="0" w:color="auto"/>
        <w:left w:val="none" w:sz="0" w:space="0" w:color="auto"/>
        <w:bottom w:val="none" w:sz="0" w:space="0" w:color="auto"/>
        <w:right w:val="none" w:sz="0" w:space="0" w:color="auto"/>
      </w:divBdr>
      <w:divsChild>
        <w:div w:id="1596666793">
          <w:marLeft w:val="0"/>
          <w:marRight w:val="0"/>
          <w:marTop w:val="0"/>
          <w:marBottom w:val="0"/>
          <w:divBdr>
            <w:top w:val="none" w:sz="0" w:space="0" w:color="auto"/>
            <w:left w:val="none" w:sz="0" w:space="0" w:color="auto"/>
            <w:bottom w:val="none" w:sz="0" w:space="0" w:color="auto"/>
            <w:right w:val="none" w:sz="0" w:space="0" w:color="auto"/>
          </w:divBdr>
        </w:div>
      </w:divsChild>
    </w:div>
    <w:div w:id="2117559995">
      <w:bodyDiv w:val="1"/>
      <w:marLeft w:val="0"/>
      <w:marRight w:val="0"/>
      <w:marTop w:val="0"/>
      <w:marBottom w:val="0"/>
      <w:divBdr>
        <w:top w:val="none" w:sz="0" w:space="0" w:color="auto"/>
        <w:left w:val="none" w:sz="0" w:space="0" w:color="auto"/>
        <w:bottom w:val="none" w:sz="0" w:space="0" w:color="auto"/>
        <w:right w:val="none" w:sz="0" w:space="0" w:color="auto"/>
      </w:divBdr>
    </w:div>
    <w:div w:id="212862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95C9A-9FA0-4121-BA55-1D082199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59358</Words>
  <Characters>320538</Characters>
  <Application>Microsoft Office Word</Application>
  <DocSecurity>0</DocSecurity>
  <Lines>2671</Lines>
  <Paragraphs>758</Paragraphs>
  <ScaleCrop>false</ScaleCrop>
  <Company/>
  <LinksUpToDate>false</LinksUpToDate>
  <CharactersWithSpaces>379138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 Thamnopoulos</dc:creator>
  <cp:keywords/>
  <dc:description/>
  <cp:lastModifiedBy>Ioannis Thamnopoulos</cp:lastModifiedBy>
  <cp:revision>2</cp:revision>
  <dcterms:created xsi:type="dcterms:W3CDTF">2026-02-26T12:20:00Z</dcterms:created>
  <dcterms:modified xsi:type="dcterms:W3CDTF">2026-02-26T12:20:00Z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