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383D" w14:textId="77777777" w:rsidR="000E7A06" w:rsidRPr="008B69D9" w:rsidRDefault="000E7A06" w:rsidP="000E7A06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Arjava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A. (1996),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Women and Law in Late Antiquity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, Oxford.</w:t>
      </w:r>
    </w:p>
    <w:p w14:paraId="2F84592C" w14:textId="77777777" w:rsidR="000E7A06" w:rsidRDefault="000E7A06" w:rsidP="000E7A06">
      <w:pPr>
        <w:spacing w:after="0" w:line="276" w:lineRule="auto"/>
        <w:ind w:left="0"/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</w:pPr>
      <w:proofErr w:type="spellStart"/>
      <w:r w:rsidRPr="008B69D9">
        <w:rPr>
          <w:rFonts w:ascii="Times New Roman"/>
          <w:sz w:val="24"/>
          <w:szCs w:val="24"/>
          <w:lang w:val="en-US"/>
        </w:rPr>
        <w:t>Beaucamp</w:t>
      </w:r>
      <w:proofErr w:type="spellEnd"/>
      <w:r w:rsidRPr="008B69D9">
        <w:rPr>
          <w:rFonts w:ascii="Times New Roman"/>
          <w:sz w:val="24"/>
          <w:szCs w:val="24"/>
          <w:lang w:val="en-US"/>
        </w:rPr>
        <w:t xml:space="preserve">, J. (1993), </w:t>
      </w:r>
      <w:r w:rsidRPr="008B69D9">
        <w:rPr>
          <w:rFonts w:ascii="Times New Roman"/>
          <w:i/>
          <w:sz w:val="24"/>
          <w:szCs w:val="24"/>
          <w:lang w:val="en-US"/>
        </w:rPr>
        <w:t xml:space="preserve">Le </w:t>
      </w:r>
      <w:proofErr w:type="spellStart"/>
      <w:r w:rsidRPr="008B69D9">
        <w:rPr>
          <w:rFonts w:ascii="Times New Roman"/>
          <w:i/>
          <w:sz w:val="24"/>
          <w:szCs w:val="24"/>
          <w:lang w:val="en-US"/>
        </w:rPr>
        <w:t>Statut</w:t>
      </w:r>
      <w:proofErr w:type="spellEnd"/>
      <w:r w:rsidRPr="008B69D9">
        <w:rPr>
          <w:rFonts w:ascii="Times New Roman"/>
          <w:i/>
          <w:sz w:val="24"/>
          <w:szCs w:val="24"/>
          <w:lang w:val="en-US"/>
        </w:rPr>
        <w:t xml:space="preserve"> de la Femme</w:t>
      </w:r>
      <w:r w:rsidRPr="008B69D9">
        <w:rPr>
          <w:rFonts w:ascii="Helvetica" w:hAnsi="Helvetica"/>
          <w:b/>
          <w:bCs/>
          <w:i/>
          <w:sz w:val="24"/>
          <w:szCs w:val="24"/>
          <w:shd w:val="clear" w:color="auto" w:fill="FFFFFF"/>
          <w:lang w:val="en-US"/>
        </w:rPr>
        <w:t xml:space="preserve"> </w:t>
      </w:r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à</w:t>
      </w:r>
      <w:r w:rsidRPr="008B69D9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Byzance</w:t>
      </w:r>
      <w:proofErr w:type="spellEnd"/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(4e-7e siècle).</w:t>
      </w:r>
      <w:r w:rsidRPr="008B69D9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8B69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I,</w:t>
      </w:r>
      <w:r w:rsidRPr="008B69D9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 </w:t>
      </w:r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Le droit </w:t>
      </w:r>
      <w:proofErr w:type="spellStart"/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impérial</w:t>
      </w:r>
      <w:proofErr w:type="spellEnd"/>
      <w:r w:rsidRPr="008B69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; II,</w:t>
      </w:r>
      <w:r w:rsidRPr="008B69D9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 </w:t>
      </w:r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Les pratiques </w:t>
      </w:r>
      <w:proofErr w:type="spellStart"/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sociales</w:t>
      </w:r>
      <w:proofErr w:type="spellEnd"/>
      <w:r w:rsidRPr="008B69D9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Paris. </w:t>
      </w:r>
    </w:p>
    <w:p w14:paraId="1131E7F4" w14:textId="77777777" w:rsidR="000E7A06" w:rsidRDefault="000E7A06" w:rsidP="000E7A06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B69D9">
        <w:rPr>
          <w:rFonts w:ascii="Times New Roman" w:hAnsi="Times New Roman" w:cs="Times New Roman"/>
          <w:sz w:val="24"/>
          <w:szCs w:val="24"/>
          <w:lang w:val="en-US"/>
        </w:rPr>
        <w:t>Chrétien-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Vernicos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G. (1997), «Le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contrat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nourrice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droit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hellénistique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Revue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Historique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droit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français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 étranger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, 75 (4): 587-615.</w:t>
      </w:r>
    </w:p>
    <w:p w14:paraId="1072D508" w14:textId="6A49860D" w:rsidR="009D7B8B" w:rsidRDefault="000E7A0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9D9">
        <w:rPr>
          <w:rFonts w:ascii="Palatino Linotype" w:hAnsi="Palatino Linotype"/>
          <w:sz w:val="24"/>
          <w:szCs w:val="24"/>
          <w:lang w:val="en-US"/>
        </w:rPr>
        <w:t>Cribiore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R. (2001),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Gymnastics of the Mind: Greek Education in Hellenistic and Roman Egypt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, Princeton – Oxford</w:t>
      </w:r>
    </w:p>
    <w:p w14:paraId="6504CFF6" w14:textId="77777777" w:rsidR="000E7A06" w:rsidRPr="008B69D9" w:rsidRDefault="000E7A06" w:rsidP="000E7A06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Cuvigny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H. (2010), «Femmes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Tournantes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: Remarques sur la prostitution dans les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garnisons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romaines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du desert de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Bérénice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ZPE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172: 159-166.</w:t>
      </w:r>
    </w:p>
    <w:p w14:paraId="20545097" w14:textId="77777777" w:rsidR="000E7A06" w:rsidRPr="008B69D9" w:rsidRDefault="000E7A06" w:rsidP="000E7A06">
      <w:pPr>
        <w:tabs>
          <w:tab w:val="left" w:pos="3240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Evans-Grubbs, J. (2002),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Women and the Law in the Roman Empire. A Sourcebook on Marriage, Divorce and Widowhood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, London - New York.</w:t>
      </w:r>
    </w:p>
    <w:p w14:paraId="638F6568" w14:textId="77777777" w:rsidR="000E7A06" w:rsidRDefault="000E7A06" w:rsidP="000E7A06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99234EA" w14:textId="1904ADE2" w:rsidR="000E7A06" w:rsidRPr="008B69D9" w:rsidRDefault="000E7A06" w:rsidP="000E7A06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Hobson, D.W. (1984), “The Role of Women in the Economic Life of Roman Egypt: A Case Study from First Century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Tebtynis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EchCl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28= N.S. 3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: 373-390.</w:t>
      </w:r>
    </w:p>
    <w:p w14:paraId="21A8935E" w14:textId="5C6E4779" w:rsidR="000E7A06" w:rsidRDefault="000E7A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Hobson, D. W. (1983), “Women as Property Owners in Roman Egypt”,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TAPA 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113: 311-321</w:t>
      </w:r>
    </w:p>
    <w:p w14:paraId="095DFBDB" w14:textId="77777777" w:rsidR="000E7A06" w:rsidRDefault="000E7A06" w:rsidP="000E7A06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Kreuzsaler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C. (2005), “Der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Rechtsalltag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von Frauen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Spiegel der Wiener Papyri” </w:t>
      </w:r>
      <w:r w:rsidRPr="008B69D9">
        <w:rPr>
          <w:rFonts w:ascii="Times New Roman" w:hAnsi="Times New Roman" w:cs="Times New Roman"/>
          <w:sz w:val="24"/>
          <w:szCs w:val="24"/>
        </w:rPr>
        <w:t>στο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H. Froschauer – H.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Harrauer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B69D9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>.)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Emanzipatin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Nil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Frauleben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Frauenrecht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den Papyri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, Wien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σσ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>. 1-17.</w:t>
      </w:r>
    </w:p>
    <w:p w14:paraId="3F8B2223" w14:textId="77777777" w:rsidR="000E7A06" w:rsidRDefault="000E7A06" w:rsidP="000E7A06">
      <w:pPr>
        <w:spacing w:after="0" w:line="276" w:lineRule="auto"/>
        <w:ind w:left="0"/>
        <w:rPr>
          <w:rFonts w:ascii="Times New Roman"/>
          <w:sz w:val="24"/>
          <w:szCs w:val="24"/>
          <w:lang w:val="en-US"/>
        </w:rPr>
      </w:pPr>
      <w:proofErr w:type="spellStart"/>
      <w:r w:rsidRPr="00D07F0F">
        <w:rPr>
          <w:rFonts w:ascii="Times New Roman"/>
          <w:sz w:val="24"/>
          <w:szCs w:val="24"/>
          <w:lang w:val="en-US"/>
        </w:rPr>
        <w:t>Kutzner</w:t>
      </w:r>
      <w:proofErr w:type="spellEnd"/>
      <w:r w:rsidRPr="00D07F0F">
        <w:rPr>
          <w:rFonts w:ascii="Times New Roman"/>
          <w:sz w:val="24"/>
          <w:szCs w:val="24"/>
          <w:lang w:val="en-US"/>
        </w:rPr>
        <w:t xml:space="preserve">, E. (1989), </w:t>
      </w:r>
      <w:proofErr w:type="spellStart"/>
      <w:r w:rsidRPr="00D07F0F">
        <w:rPr>
          <w:rFonts w:ascii="Times New Roman"/>
          <w:i/>
          <w:sz w:val="24"/>
          <w:szCs w:val="24"/>
          <w:lang w:val="en-US"/>
        </w:rPr>
        <w:t>Untersuchungen</w:t>
      </w:r>
      <w:proofErr w:type="spellEnd"/>
      <w:r w:rsidRPr="00D07F0F">
        <w:rPr>
          <w:rFonts w:ascii="Times New Roman"/>
          <w:i/>
          <w:sz w:val="24"/>
          <w:szCs w:val="24"/>
          <w:lang w:val="en-US"/>
        </w:rPr>
        <w:t xml:space="preserve"> </w:t>
      </w:r>
      <w:proofErr w:type="spellStart"/>
      <w:r w:rsidRPr="00D07F0F">
        <w:rPr>
          <w:rFonts w:ascii="Times New Roman"/>
          <w:i/>
          <w:sz w:val="24"/>
          <w:szCs w:val="24"/>
          <w:lang w:val="en-US"/>
        </w:rPr>
        <w:t>zur</w:t>
      </w:r>
      <w:proofErr w:type="spellEnd"/>
      <w:r w:rsidRPr="00D07F0F">
        <w:rPr>
          <w:rFonts w:ascii="Times New Roman"/>
          <w:i/>
          <w:sz w:val="24"/>
          <w:szCs w:val="24"/>
          <w:lang w:val="en-US"/>
        </w:rPr>
        <w:t xml:space="preserve"> </w:t>
      </w:r>
      <w:proofErr w:type="spellStart"/>
      <w:r w:rsidRPr="00D07F0F">
        <w:rPr>
          <w:rFonts w:ascii="Times New Roman"/>
          <w:i/>
          <w:sz w:val="24"/>
          <w:szCs w:val="24"/>
          <w:lang w:val="en-US"/>
        </w:rPr>
        <w:t>Stellung</w:t>
      </w:r>
      <w:proofErr w:type="spellEnd"/>
      <w:r w:rsidRPr="00D07F0F">
        <w:rPr>
          <w:rFonts w:ascii="Times New Roman"/>
          <w:i/>
          <w:sz w:val="24"/>
          <w:szCs w:val="24"/>
          <w:lang w:val="en-US"/>
        </w:rPr>
        <w:t xml:space="preserve"> der Frau </w:t>
      </w:r>
      <w:proofErr w:type="spellStart"/>
      <w:r w:rsidRPr="00D07F0F">
        <w:rPr>
          <w:rFonts w:ascii="Times New Roman"/>
          <w:i/>
          <w:sz w:val="24"/>
          <w:szCs w:val="24"/>
          <w:lang w:val="en-US"/>
        </w:rPr>
        <w:t>im</w:t>
      </w:r>
      <w:proofErr w:type="spellEnd"/>
      <w:r w:rsidRPr="00D07F0F">
        <w:rPr>
          <w:rFonts w:ascii="Times New Roman"/>
          <w:i/>
          <w:sz w:val="24"/>
          <w:szCs w:val="24"/>
          <w:lang w:val="en-US"/>
        </w:rPr>
        <w:t xml:space="preserve"> </w:t>
      </w:r>
      <w:proofErr w:type="spellStart"/>
      <w:r w:rsidRPr="00D07F0F">
        <w:rPr>
          <w:rFonts w:ascii="Times New Roman"/>
          <w:i/>
          <w:sz w:val="24"/>
          <w:szCs w:val="24"/>
          <w:lang w:val="en-US"/>
        </w:rPr>
        <w:t>r</w:t>
      </w:r>
      <w:r w:rsidRPr="00D07F0F">
        <w:rPr>
          <w:rFonts w:ascii="Times New Roman"/>
          <w:i/>
          <w:sz w:val="24"/>
          <w:szCs w:val="24"/>
          <w:lang w:val="en-US"/>
        </w:rPr>
        <w:t>ö</w:t>
      </w:r>
      <w:r w:rsidRPr="00D07F0F">
        <w:rPr>
          <w:rFonts w:ascii="Times New Roman"/>
          <w:i/>
          <w:sz w:val="24"/>
          <w:szCs w:val="24"/>
          <w:lang w:val="en-US"/>
        </w:rPr>
        <w:t>mischen</w:t>
      </w:r>
      <w:proofErr w:type="spellEnd"/>
      <w:r w:rsidRPr="00D07F0F">
        <w:rPr>
          <w:rFonts w:ascii="Times New Roman"/>
          <w:i/>
          <w:sz w:val="24"/>
          <w:szCs w:val="24"/>
          <w:lang w:val="en-US"/>
        </w:rPr>
        <w:t xml:space="preserve"> </w:t>
      </w:r>
      <w:proofErr w:type="spellStart"/>
      <w:r w:rsidRPr="00D07F0F">
        <w:rPr>
          <w:rFonts w:ascii="Times New Roman"/>
          <w:i/>
          <w:sz w:val="24"/>
          <w:szCs w:val="24"/>
          <w:lang w:val="en-US"/>
        </w:rPr>
        <w:t>Oxyrhynchos</w:t>
      </w:r>
      <w:proofErr w:type="spellEnd"/>
      <w:r w:rsidRPr="00D07F0F">
        <w:rPr>
          <w:rFonts w:ascii="Times New Roman"/>
          <w:sz w:val="24"/>
          <w:szCs w:val="24"/>
          <w:lang w:val="en-US"/>
        </w:rPr>
        <w:t xml:space="preserve">, Frankfurt </w:t>
      </w:r>
      <w:r w:rsidRPr="00D07F0F">
        <w:rPr>
          <w:rFonts w:ascii="Times New Roman"/>
          <w:sz w:val="24"/>
          <w:szCs w:val="24"/>
          <w:lang w:val="en-US"/>
        </w:rPr>
        <w:t>‒</w:t>
      </w:r>
      <w:r w:rsidRPr="00D07F0F">
        <w:rPr>
          <w:rFonts w:ascii="Times New Roman"/>
          <w:sz w:val="24"/>
          <w:szCs w:val="24"/>
          <w:lang w:val="en-US"/>
        </w:rPr>
        <w:t xml:space="preserve"> Main</w:t>
      </w:r>
      <w:r>
        <w:rPr>
          <w:rFonts w:ascii="Times New Roman"/>
          <w:sz w:val="24"/>
          <w:szCs w:val="24"/>
          <w:lang w:val="en-US"/>
        </w:rPr>
        <w:t>.</w:t>
      </w:r>
    </w:p>
    <w:p w14:paraId="0DB8E60B" w14:textId="0DB15833" w:rsidR="000E7A06" w:rsidRDefault="000E7A0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Manca-Masciadri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M. –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Montevecchi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O. (1984), “I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contratti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baliatico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στο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Corpora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Papyrorum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Graecarum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I,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8C230C" w14:textId="77777777" w:rsidR="00F93754" w:rsidRPr="008B69D9" w:rsidRDefault="00F93754" w:rsidP="00F93754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Modrzejewski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(1974), </w:t>
      </w:r>
      <w:r w:rsidRPr="00D1442B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propos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Tu</w:t>
      </w:r>
      <w:r>
        <w:rPr>
          <w:rFonts w:ascii="Times New Roman" w:hAnsi="Times New Roman" w:cs="Times New Roman"/>
          <w:sz w:val="24"/>
          <w:szCs w:val="24"/>
          <w:lang w:val="en-US"/>
        </w:rPr>
        <w:t>telle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dative des Femmes dans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l’Egypte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Romaine</w:t>
      </w:r>
      <w:r w:rsidRPr="00D1442B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στο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Kiessling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– H. A.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Rupprecht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(επ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ιμ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Akten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des XIII. Internationalen 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Papyrologenkongresses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Marburg/</w:t>
      </w:r>
      <w:proofErr w:type="spellStart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Lahn</w:t>
      </w:r>
      <w:proofErr w:type="spellEnd"/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, 2-6 August 1971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Munchen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σσ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>. 263-292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D27523" w14:textId="77777777" w:rsidR="00F93754" w:rsidRPr="000C3E1E" w:rsidRDefault="00F93754" w:rsidP="00F93754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Pomeroy, S.B. (1984),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Women in Hellenistic Egypt from Alexander to Cleopatra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>, New York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3C3C6C" w14:textId="77777777" w:rsidR="00F93754" w:rsidRPr="000C3E1E" w:rsidRDefault="00F93754" w:rsidP="00F93754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Pomeroy, S.B. (1981), “Women in Roman Egypt: A Preliminary Study Based on Papyri”,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στο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 H. P. Foley (επ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ιμ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8B69D9">
        <w:rPr>
          <w:rFonts w:ascii="Times New Roman" w:hAnsi="Times New Roman" w:cs="Times New Roman"/>
          <w:i/>
          <w:sz w:val="24"/>
          <w:szCs w:val="24"/>
          <w:lang w:val="en-US"/>
        </w:rPr>
        <w:t>Reflections of Women in Antiquity</w:t>
      </w:r>
      <w:r w:rsidRPr="008B69D9">
        <w:rPr>
          <w:rFonts w:ascii="Times New Roman" w:hAnsi="Times New Roman" w:cs="Times New Roman"/>
          <w:sz w:val="24"/>
          <w:szCs w:val="24"/>
          <w:lang w:val="en-US"/>
        </w:rPr>
        <w:t xml:space="preserve">, New York – Paris – London – Montreux – Tokyo, </w:t>
      </w:r>
      <w:proofErr w:type="spellStart"/>
      <w:r w:rsidRPr="008B69D9">
        <w:rPr>
          <w:rFonts w:ascii="Times New Roman" w:hAnsi="Times New Roman" w:cs="Times New Roman"/>
          <w:sz w:val="24"/>
          <w:szCs w:val="24"/>
          <w:lang w:val="en-US"/>
        </w:rPr>
        <w:t>σσ</w:t>
      </w:r>
      <w:proofErr w:type="spellEnd"/>
      <w:r w:rsidRPr="008B69D9">
        <w:rPr>
          <w:rFonts w:ascii="Times New Roman" w:hAnsi="Times New Roman" w:cs="Times New Roman"/>
          <w:sz w:val="24"/>
          <w:szCs w:val="24"/>
          <w:lang w:val="en-US"/>
        </w:rPr>
        <w:t>. 303-322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62FF5E" w14:textId="77777777" w:rsidR="00F93754" w:rsidRDefault="00F93754" w:rsidP="00F93754">
      <w:pPr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2CB5">
        <w:rPr>
          <w:rFonts w:ascii="Times New Roman" w:hAnsi="Times New Roman" w:cs="Times New Roman"/>
          <w:sz w:val="24"/>
          <w:szCs w:val="24"/>
          <w:lang w:val="en-US"/>
        </w:rPr>
        <w:t>Préaux</w:t>
      </w:r>
      <w:proofErr w:type="spellEnd"/>
      <w:r w:rsidRPr="00442CB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Cl. (1959), </w:t>
      </w:r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statut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la femme à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l'époque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hellénistique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principalement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en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Égypte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Recueils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la Société Jean </w:t>
      </w:r>
      <w:proofErr w:type="spellStart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Bodin</w:t>
      </w:r>
      <w:proofErr w:type="spellEnd"/>
      <w:r w:rsidRPr="00442CB5">
        <w:rPr>
          <w:rFonts w:ascii="Times New Roman" w:hAnsi="Times New Roman" w:cs="Times New Roman"/>
          <w:i/>
          <w:sz w:val="24"/>
          <w:szCs w:val="24"/>
          <w:lang w:val="en-US"/>
        </w:rPr>
        <w:t>. XI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Bruxelles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15B9D" w14:textId="57966677" w:rsidR="00F93754" w:rsidRPr="00F6514A" w:rsidRDefault="00F6514A">
      <w:r>
        <w:rPr>
          <w:rFonts w:ascii="Times New Roman" w:hAnsi="Times New Roman" w:cs="Times New Roman"/>
          <w:sz w:val="24"/>
          <w:szCs w:val="24"/>
        </w:rPr>
        <w:t>δ</w:t>
      </w:r>
    </w:p>
    <w:sectPr w:rsidR="00F93754" w:rsidRPr="00F6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06"/>
    <w:rsid w:val="000E7A06"/>
    <w:rsid w:val="009D7B8B"/>
    <w:rsid w:val="00BF247C"/>
    <w:rsid w:val="00F6514A"/>
    <w:rsid w:val="00F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9B05"/>
  <w15:chartTrackingRefBased/>
  <w15:docId w15:val="{71A99538-AD23-451D-986F-B767335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06"/>
    <w:pPr>
      <w:spacing w:after="200" w:line="240" w:lineRule="auto"/>
      <w:ind w:left="720"/>
      <w:jc w:val="both"/>
    </w:pPr>
    <w:rPr>
      <w:rFonts w:asciiTheme="minorHAnsi" w:hAnsiTheme="minorHAnsi" w:cstheme="minorBid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7A06"/>
    <w:rPr>
      <w:i/>
      <w:iCs/>
    </w:rPr>
  </w:style>
  <w:style w:type="character" w:customStyle="1" w:styleId="apple-converted-space">
    <w:name w:val="apple-converted-space"/>
    <w:basedOn w:val="a0"/>
    <w:rsid w:val="000E7A06"/>
  </w:style>
  <w:style w:type="paragraph" w:styleId="a4">
    <w:name w:val="footnote text"/>
    <w:basedOn w:val="a"/>
    <w:link w:val="Char"/>
    <w:uiPriority w:val="99"/>
    <w:unhideWhenUsed/>
    <w:rsid w:val="00F93754"/>
    <w:pPr>
      <w:spacing w:after="0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F93754"/>
    <w:rPr>
      <w:rFonts w:asciiTheme="minorHAnsi" w:hAnsiTheme="minorHAnsi" w:cstheme="minorBidi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Μαριαννα Θωμά</dc:creator>
  <cp:keywords/>
  <dc:description/>
  <cp:lastModifiedBy>Μαριαννα Θωμά</cp:lastModifiedBy>
  <cp:revision>1</cp:revision>
  <dcterms:created xsi:type="dcterms:W3CDTF">2021-12-10T20:26:00Z</dcterms:created>
  <dcterms:modified xsi:type="dcterms:W3CDTF">2021-12-10T22:19:00Z</dcterms:modified>
</cp:coreProperties>
</file>