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9D" w:rsidRPr="00386229" w:rsidRDefault="0088219D" w:rsidP="008821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88219D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ο</w:t>
      </w:r>
      <w:r w:rsidR="003D559C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 xml:space="preserve"> </w:t>
      </w:r>
      <w:r w:rsidR="003D559C">
        <w:rPr>
          <w:rFonts w:ascii="Times New Roman" w:hAnsi="Times New Roman" w:cs="Times New Roman"/>
          <w:b/>
          <w:sz w:val="32"/>
          <w:szCs w:val="32"/>
          <w:u w:val="single"/>
        </w:rPr>
        <w:t>και 4</w:t>
      </w:r>
      <w:r w:rsidR="003D559C" w:rsidRPr="003D559C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ο</w:t>
      </w:r>
      <w:r w:rsidR="003D55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86229">
        <w:rPr>
          <w:rFonts w:ascii="Times New Roman" w:hAnsi="Times New Roman" w:cs="Times New Roman"/>
          <w:b/>
          <w:sz w:val="32"/>
          <w:szCs w:val="32"/>
          <w:u w:val="single"/>
        </w:rPr>
        <w:t>ΜΑΘΗΜΑ</w:t>
      </w:r>
    </w:p>
    <w:p w:rsidR="0088219D" w:rsidRPr="00C1456C" w:rsidRDefault="0088219D" w:rsidP="0088219D">
      <w:pPr>
        <w:rPr>
          <w:rFonts w:ascii="Times New Roman" w:hAnsi="Times New Roman" w:cs="Times New Roman"/>
          <w:sz w:val="28"/>
          <w:szCs w:val="28"/>
        </w:rPr>
      </w:pPr>
    </w:p>
    <w:p w:rsidR="0088219D" w:rsidRPr="00C1456C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 w:rsidRPr="00C1456C">
        <w:rPr>
          <w:rStyle w:val="unicode"/>
          <w:rFonts w:ascii="Times New Roman" w:hAnsi="Times New Roman" w:cs="Times New Roman"/>
          <w:bCs/>
          <w:sz w:val="28"/>
          <w:szCs w:val="28"/>
        </w:rPr>
        <w:t>Δομισμός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unicode"/>
          <w:rFonts w:ascii="Times New Roman" w:hAnsi="Times New Roman" w:cs="Times New Roman"/>
          <w:bCs/>
          <w:sz w:val="28"/>
          <w:szCs w:val="28"/>
          <w:lang w:val="en-US"/>
        </w:rPr>
        <w:t>(structuralism)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>. Σχολές.</w:t>
      </w:r>
    </w:p>
    <w:p w:rsidR="0088219D" w:rsidRPr="00C92D8B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 w:rsidRPr="00C1456C">
        <w:rPr>
          <w:rStyle w:val="unicode"/>
          <w:rFonts w:ascii="Times New Roman" w:hAnsi="Times New Roman" w:cs="Times New Roman"/>
          <w:bCs/>
          <w:sz w:val="28"/>
          <w:szCs w:val="28"/>
        </w:rPr>
        <w:t xml:space="preserve">η έννοια της δομής. 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>(παραδείγματα)</w:t>
      </w:r>
    </w:p>
    <w:p w:rsidR="0088219D" w:rsidRPr="0088219D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χαρακτηριστικά δομής: ολότητα, μετασχηματισμός, αυτορρύθμιση</w:t>
      </w:r>
    </w:p>
    <w:p w:rsidR="0088219D" w:rsidRPr="0088219D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ο δομισμός στις άλλες επιστήμες</w:t>
      </w:r>
    </w:p>
    <w:p w:rsidR="0088219D" w:rsidRPr="0088219D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δομικά μοντέλα. είδη/χαρακτηριστικά</w:t>
      </w:r>
    </w:p>
    <w:p w:rsidR="0088219D" w:rsidRPr="0088219D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γενικά χαρακτηριστικά του δομισμού</w:t>
      </w:r>
    </w:p>
    <w:p w:rsidR="0088219D" w:rsidRPr="0088219D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διάκριση ευρωπα</w:t>
      </w:r>
      <w:r w:rsidR="003D559C">
        <w:rPr>
          <w:rStyle w:val="unicode"/>
          <w:rFonts w:ascii="Times New Roman" w:hAnsi="Times New Roman" w:cs="Times New Roman"/>
          <w:bCs/>
          <w:sz w:val="28"/>
          <w:szCs w:val="28"/>
        </w:rPr>
        <w:t>ϊ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>κού και αμερικανικού δομιδμού</w:t>
      </w:r>
    </w:p>
    <w:p w:rsidR="0088219D" w:rsidRPr="003D559C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αίτια εμφάνισης της δομικής γλωσσολογίας</w:t>
      </w:r>
    </w:p>
    <w:p w:rsidR="003D559C" w:rsidRPr="00C92D8B" w:rsidRDefault="003D559C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δυικότητα στη γλώσσα</w:t>
      </w:r>
    </w:p>
    <w:p w:rsidR="0088219D" w:rsidRPr="00464C9E" w:rsidRDefault="0088219D" w:rsidP="0088219D">
      <w:pPr>
        <w:pStyle w:val="a3"/>
        <w:rPr>
          <w:rStyle w:val="unicode"/>
          <w:rFonts w:ascii="Times New Roman" w:hAnsi="Times New Roman" w:cs="Times New Roman"/>
          <w:sz w:val="28"/>
          <w:szCs w:val="28"/>
        </w:rPr>
      </w:pPr>
    </w:p>
    <w:p w:rsidR="0088219D" w:rsidRPr="00464C9E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  <w:u w:val="single"/>
        </w:rPr>
      </w:pPr>
      <w:r w:rsidRPr="00386229">
        <w:rPr>
          <w:rStyle w:val="unicode"/>
          <w:rFonts w:ascii="Times New Roman" w:hAnsi="Times New Roman" w:cs="Times New Roman"/>
          <w:b/>
          <w:bCs/>
          <w:sz w:val="28"/>
          <w:szCs w:val="28"/>
          <w:u w:val="single"/>
        </w:rPr>
        <w:t>Βιβλιογραφία</w:t>
      </w:r>
      <w:r w:rsidRPr="00464C9E">
        <w:rPr>
          <w:rStyle w:val="unicode"/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88219D" w:rsidRPr="00464C9E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Μπαμπινιώτης, Γ. 1998</w:t>
      </w:r>
      <w:r w:rsidRPr="008A3367">
        <w:rPr>
          <w:rStyle w:val="unicode"/>
          <w:rFonts w:ascii="Times New Roman" w:hAnsi="Times New Roman" w:cs="Times New Roman"/>
          <w:bCs/>
          <w:i/>
          <w:sz w:val="28"/>
          <w:szCs w:val="28"/>
        </w:rPr>
        <w:t>. Θεωρητική Γλωσσολογία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>. κεφ. 10: Γλωσσολογικές σχολές. Αθήνα.</w:t>
      </w:r>
    </w:p>
    <w:p w:rsidR="0088219D" w:rsidRPr="008A3367" w:rsidRDefault="0088219D" w:rsidP="0088219D">
      <w:pPr>
        <w:pStyle w:val="a3"/>
        <w:numPr>
          <w:ilvl w:val="0"/>
          <w:numId w:val="1"/>
        </w:numPr>
        <w:rPr>
          <w:rStyle w:val="unicode"/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</w:rPr>
        <w:t>Βέργη, Σ. 1995</w:t>
      </w:r>
      <w:r w:rsidRPr="008A3367">
        <w:rPr>
          <w:rStyle w:val="unicode"/>
          <w:rFonts w:ascii="Times New Roman" w:hAnsi="Times New Roman" w:cs="Times New Roman"/>
          <w:bCs/>
          <w:i/>
          <w:sz w:val="28"/>
          <w:szCs w:val="28"/>
        </w:rPr>
        <w:t>. Γλώσσα και δομή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>. Αθήνα: Νεφέλη, σσ. 35-38, 43-46, 59-62.</w:t>
      </w:r>
    </w:p>
    <w:p w:rsidR="0088219D" w:rsidRPr="00C1456C" w:rsidRDefault="0088219D" w:rsidP="00882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unicode"/>
          <w:rFonts w:ascii="Times New Roman" w:hAnsi="Times New Roman" w:cs="Times New Roman"/>
          <w:bCs/>
          <w:sz w:val="28"/>
          <w:szCs w:val="28"/>
          <w:lang w:val="en-US"/>
        </w:rPr>
        <w:t>Piaget</w:t>
      </w:r>
      <w:r w:rsidRPr="008A3367">
        <w:rPr>
          <w:rStyle w:val="unicode"/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Style w:val="unicode"/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8A3367">
        <w:rPr>
          <w:rStyle w:val="unicode"/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 xml:space="preserve">1972: </w:t>
      </w:r>
      <w:r w:rsidRPr="008A3367">
        <w:rPr>
          <w:rStyle w:val="unicode"/>
          <w:rFonts w:ascii="Times New Roman" w:hAnsi="Times New Roman" w:cs="Times New Roman"/>
          <w:bCs/>
          <w:i/>
          <w:sz w:val="28"/>
          <w:szCs w:val="28"/>
        </w:rPr>
        <w:t>Στρουκτουραλισμός</w:t>
      </w:r>
      <w:r>
        <w:rPr>
          <w:rStyle w:val="unicode"/>
          <w:rFonts w:ascii="Times New Roman" w:hAnsi="Times New Roman" w:cs="Times New Roman"/>
          <w:bCs/>
          <w:sz w:val="28"/>
          <w:szCs w:val="28"/>
        </w:rPr>
        <w:t>. Αθήνα: Καστανιώτης, σσ. 33-40 (μόνο τα χαρακτηριστικά της δομής)</w:t>
      </w:r>
    </w:p>
    <w:p w:rsidR="00F92141" w:rsidRDefault="00F92141"/>
    <w:sectPr w:rsidR="00F92141" w:rsidSect="003B2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7B0"/>
    <w:multiLevelType w:val="hybridMultilevel"/>
    <w:tmpl w:val="12BAD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19D"/>
    <w:rsid w:val="003D559C"/>
    <w:rsid w:val="0088219D"/>
    <w:rsid w:val="00F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9D"/>
    <w:pPr>
      <w:ind w:left="720"/>
      <w:contextualSpacing/>
    </w:pPr>
    <w:rPr>
      <w:rFonts w:eastAsiaTheme="minorHAnsi"/>
      <w:lang w:eastAsia="en-US"/>
    </w:rPr>
  </w:style>
  <w:style w:type="character" w:customStyle="1" w:styleId="unicode">
    <w:name w:val="unicode"/>
    <w:basedOn w:val="a0"/>
    <w:rsid w:val="00882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dep_phil</dc:creator>
  <cp:keywords/>
  <dc:description/>
  <cp:lastModifiedBy>dep_phil</cp:lastModifiedBy>
  <cp:revision>3</cp:revision>
  <dcterms:created xsi:type="dcterms:W3CDTF">2019-12-01T16:44:00Z</dcterms:created>
  <dcterms:modified xsi:type="dcterms:W3CDTF">2019-12-01T16:48:00Z</dcterms:modified>
</cp:coreProperties>
</file>