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33" w:rsidRDefault="002F5F6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ΦΙΛΟΣΟΦΙΑ ΤΩΝ ΜΑΘΗΜΑΤΙΚΩΝ</w:t>
      </w:r>
    </w:p>
    <w:p w:rsidR="002F5F65" w:rsidRDefault="002F5F65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Μάθημα 1ο: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F5F65">
        <w:rPr>
          <w:b/>
          <w:sz w:val="32"/>
          <w:szCs w:val="32"/>
        </w:rPr>
        <w:t xml:space="preserve">Ίωνες Φιλόσοφοι: </w:t>
      </w:r>
      <w:proofErr w:type="spellStart"/>
      <w:r w:rsidRPr="002F5F65">
        <w:rPr>
          <w:b/>
          <w:sz w:val="32"/>
          <w:szCs w:val="32"/>
        </w:rPr>
        <w:t>πρωτο</w:t>
      </w:r>
      <w:proofErr w:type="spellEnd"/>
      <w:r w:rsidRPr="002F5F65">
        <w:rPr>
          <w:b/>
          <w:sz w:val="32"/>
          <w:szCs w:val="32"/>
        </w:rPr>
        <w:t>-επιστημονική εξήγηση του φυσικού κόσμου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Πυθαγόρειοι: οι αριθμοί ως δομικά συστατικά του κόσμου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Η κοσμογονία των Πυθαγορείων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Οι ιδιότητες των όντων ως αριθμοί/λόγοι αριθμών</w:t>
      </w:r>
    </w:p>
    <w:p w:rsidR="002F5F65" w:rsidRP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Η σημασία του Πυθαγορείου Θεωρήματος για τη φιλοσοφία των πυθαγορείων</w:t>
      </w:r>
    </w:p>
    <w:p w:rsidR="002F5F65" w:rsidRPr="002F5F65" w:rsidRDefault="002F5F65">
      <w:pPr>
        <w:rPr>
          <w:b/>
          <w:sz w:val="32"/>
          <w:szCs w:val="32"/>
        </w:rPr>
      </w:pPr>
    </w:p>
    <w:sectPr w:rsidR="002F5F65" w:rsidRPr="002F5F65" w:rsidSect="00B35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2D20"/>
    <w:multiLevelType w:val="hybridMultilevel"/>
    <w:tmpl w:val="AAF64D8E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2F5F65"/>
    <w:rsid w:val="002F5F65"/>
    <w:rsid w:val="00B3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2012-10-20T13:10:00Z</dcterms:created>
  <dcterms:modified xsi:type="dcterms:W3CDTF">2012-10-20T13:10:00Z</dcterms:modified>
</cp:coreProperties>
</file>