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8DD95" w14:textId="77777777" w:rsidR="00860D55" w:rsidRPr="00941F8C" w:rsidRDefault="00374FF7" w:rsidP="00841F49">
      <w:pPr>
        <w:pStyle w:val="Heading1"/>
        <w:rPr>
          <w:lang w:val="en-US"/>
        </w:rPr>
      </w:pPr>
      <w:bookmarkStart w:id="0" w:name="_Toc9165868"/>
      <w:r w:rsidRPr="00941F8C">
        <w:t>Πρόταση</w:t>
      </w:r>
      <w:r w:rsidRPr="00941F8C">
        <w:rPr>
          <w:lang w:val="en-US"/>
        </w:rPr>
        <w:t xml:space="preserve"> </w:t>
      </w:r>
      <w:r w:rsidRPr="00941F8C">
        <w:t>θεματικών</w:t>
      </w:r>
      <w:r w:rsidRPr="00941F8C">
        <w:rPr>
          <w:lang w:val="en-US"/>
        </w:rPr>
        <w:t xml:space="preserve"> </w:t>
      </w:r>
      <w:r w:rsidRPr="00941F8C">
        <w:t>για</w:t>
      </w:r>
      <w:r w:rsidRPr="00941F8C">
        <w:rPr>
          <w:lang w:val="en-US"/>
        </w:rPr>
        <w:t xml:space="preserve"> Science Technology and Economics</w:t>
      </w:r>
      <w:bookmarkEnd w:id="0"/>
      <w:r w:rsidRPr="00941F8C">
        <w:rPr>
          <w:lang w:val="en-US"/>
        </w:rPr>
        <w:t xml:space="preserve"> </w:t>
      </w:r>
    </w:p>
    <w:p w14:paraId="208EF12C" w14:textId="77777777" w:rsidR="00841F49" w:rsidRDefault="00841F49" w:rsidP="00841F49">
      <w:pPr>
        <w:rPr>
          <w:lang w:val="en-US"/>
        </w:rPr>
      </w:pPr>
    </w:p>
    <w:p w14:paraId="7F444627" w14:textId="79445128" w:rsidR="00841F49" w:rsidRPr="00841F49" w:rsidRDefault="00841F49" w:rsidP="00841F49">
      <w:pPr>
        <w:rPr>
          <w:lang w:val="en-US"/>
        </w:rPr>
      </w:pPr>
    </w:p>
    <w:sdt>
      <w:sdtPr>
        <w:id w:val="-320283714"/>
        <w:docPartObj>
          <w:docPartGallery w:val="Table of Contents"/>
          <w:docPartUnique/>
        </w:docPartObj>
      </w:sdtPr>
      <w:sdtEndPr>
        <w:rPr>
          <w:b/>
          <w:bCs/>
          <w:caps w:val="0"/>
          <w:noProof/>
          <w:color w:val="auto"/>
          <w:spacing w:val="0"/>
          <w:sz w:val="20"/>
          <w:szCs w:val="20"/>
        </w:rPr>
      </w:sdtEndPr>
      <w:sdtContent>
        <w:p w14:paraId="3ABB0EF3" w14:textId="10C5B2A8" w:rsidR="00841F49" w:rsidRPr="00841F49" w:rsidRDefault="00841F49">
          <w:pPr>
            <w:pStyle w:val="TOCHeading"/>
          </w:pPr>
          <w:r>
            <w:t>Περιεχόμενα</w:t>
          </w:r>
        </w:p>
        <w:p w14:paraId="51B8B473" w14:textId="3C67BFCE" w:rsidR="00BD0308" w:rsidRDefault="00841F49">
          <w:pPr>
            <w:pStyle w:val="TOC1"/>
            <w:tabs>
              <w:tab w:val="right" w:leader="dot" w:pos="8296"/>
            </w:tabs>
            <w:rPr>
              <w:noProof/>
              <w:sz w:val="22"/>
              <w:szCs w:val="22"/>
              <w:lang w:val="en-US"/>
            </w:rPr>
          </w:pPr>
          <w:r>
            <w:fldChar w:fldCharType="begin"/>
          </w:r>
          <w:r>
            <w:instrText xml:space="preserve"> TOC \o "1-3" \h \z \u </w:instrText>
          </w:r>
          <w:r>
            <w:fldChar w:fldCharType="separate"/>
          </w:r>
          <w:hyperlink w:anchor="_Toc9165868" w:history="1">
            <w:r w:rsidR="00BD0308" w:rsidRPr="00C23885">
              <w:rPr>
                <w:rStyle w:val="Hyperlink"/>
                <w:noProof/>
              </w:rPr>
              <w:t>Πρόταση</w:t>
            </w:r>
            <w:r w:rsidR="00BD0308" w:rsidRPr="00C23885">
              <w:rPr>
                <w:rStyle w:val="Hyperlink"/>
                <w:noProof/>
                <w:lang w:val="en-US"/>
              </w:rPr>
              <w:t xml:space="preserve"> </w:t>
            </w:r>
            <w:r w:rsidR="00BD0308" w:rsidRPr="00C23885">
              <w:rPr>
                <w:rStyle w:val="Hyperlink"/>
                <w:noProof/>
              </w:rPr>
              <w:t>θεματικών</w:t>
            </w:r>
            <w:r w:rsidR="00BD0308" w:rsidRPr="00C23885">
              <w:rPr>
                <w:rStyle w:val="Hyperlink"/>
                <w:noProof/>
                <w:lang w:val="en-US"/>
              </w:rPr>
              <w:t xml:space="preserve"> </w:t>
            </w:r>
            <w:r w:rsidR="00BD0308" w:rsidRPr="00C23885">
              <w:rPr>
                <w:rStyle w:val="Hyperlink"/>
                <w:noProof/>
              </w:rPr>
              <w:t>για</w:t>
            </w:r>
            <w:r w:rsidR="00BD0308" w:rsidRPr="00C23885">
              <w:rPr>
                <w:rStyle w:val="Hyperlink"/>
                <w:noProof/>
                <w:lang w:val="en-US"/>
              </w:rPr>
              <w:t xml:space="preserve"> Science Technology and Economics</w:t>
            </w:r>
            <w:r w:rsidR="00BD0308">
              <w:rPr>
                <w:noProof/>
                <w:webHidden/>
              </w:rPr>
              <w:tab/>
            </w:r>
            <w:r w:rsidR="00BD0308">
              <w:rPr>
                <w:noProof/>
                <w:webHidden/>
              </w:rPr>
              <w:fldChar w:fldCharType="begin"/>
            </w:r>
            <w:r w:rsidR="00BD0308">
              <w:rPr>
                <w:noProof/>
                <w:webHidden/>
              </w:rPr>
              <w:instrText xml:space="preserve"> PAGEREF _Toc9165868 \h </w:instrText>
            </w:r>
            <w:r w:rsidR="00BD0308">
              <w:rPr>
                <w:noProof/>
                <w:webHidden/>
              </w:rPr>
            </w:r>
            <w:r w:rsidR="00BD0308">
              <w:rPr>
                <w:noProof/>
                <w:webHidden/>
              </w:rPr>
              <w:fldChar w:fldCharType="separate"/>
            </w:r>
            <w:r w:rsidR="00BD0308">
              <w:rPr>
                <w:noProof/>
                <w:webHidden/>
              </w:rPr>
              <w:t>1</w:t>
            </w:r>
            <w:r w:rsidR="00BD0308">
              <w:rPr>
                <w:noProof/>
                <w:webHidden/>
              </w:rPr>
              <w:fldChar w:fldCharType="end"/>
            </w:r>
          </w:hyperlink>
        </w:p>
        <w:p w14:paraId="35EF921E" w14:textId="288C8A98" w:rsidR="00BD0308" w:rsidRDefault="00BD0308">
          <w:pPr>
            <w:pStyle w:val="TOC2"/>
            <w:tabs>
              <w:tab w:val="right" w:leader="dot" w:pos="8296"/>
            </w:tabs>
            <w:rPr>
              <w:noProof/>
              <w:sz w:val="22"/>
              <w:szCs w:val="22"/>
              <w:lang w:val="en-US"/>
            </w:rPr>
          </w:pPr>
          <w:hyperlink w:anchor="_Toc9165869" w:history="1">
            <w:r w:rsidRPr="00C23885">
              <w:rPr>
                <w:rStyle w:val="Hyperlink"/>
                <w:noProof/>
              </w:rPr>
              <w:t>Εισαγωγ</w:t>
            </w:r>
            <w:r w:rsidRPr="00C23885">
              <w:rPr>
                <w:rStyle w:val="Hyperlink"/>
                <w:noProof/>
                <w:lang w:val="en-GB"/>
              </w:rPr>
              <w:t>IKA</w:t>
            </w:r>
            <w:r w:rsidRPr="00C23885">
              <w:rPr>
                <w:rStyle w:val="Hyperlink"/>
                <w:noProof/>
              </w:rPr>
              <w:t xml:space="preserve"> - ΜΕΘΟΔΟΛΟΓΙΚΑ</w:t>
            </w:r>
            <w:r>
              <w:rPr>
                <w:noProof/>
                <w:webHidden/>
              </w:rPr>
              <w:tab/>
            </w:r>
            <w:r>
              <w:rPr>
                <w:noProof/>
                <w:webHidden/>
              </w:rPr>
              <w:fldChar w:fldCharType="begin"/>
            </w:r>
            <w:r>
              <w:rPr>
                <w:noProof/>
                <w:webHidden/>
              </w:rPr>
              <w:instrText xml:space="preserve"> PAGEREF _Toc9165869 \h </w:instrText>
            </w:r>
            <w:r>
              <w:rPr>
                <w:noProof/>
                <w:webHidden/>
              </w:rPr>
            </w:r>
            <w:r>
              <w:rPr>
                <w:noProof/>
                <w:webHidden/>
              </w:rPr>
              <w:fldChar w:fldCharType="separate"/>
            </w:r>
            <w:r>
              <w:rPr>
                <w:noProof/>
                <w:webHidden/>
              </w:rPr>
              <w:t>2</w:t>
            </w:r>
            <w:r>
              <w:rPr>
                <w:noProof/>
                <w:webHidden/>
              </w:rPr>
              <w:fldChar w:fldCharType="end"/>
            </w:r>
          </w:hyperlink>
        </w:p>
        <w:p w14:paraId="42C569C8" w14:textId="543C9237" w:rsidR="00BD0308" w:rsidRDefault="00BD0308">
          <w:pPr>
            <w:pStyle w:val="TOC2"/>
            <w:tabs>
              <w:tab w:val="right" w:leader="dot" w:pos="8296"/>
            </w:tabs>
            <w:rPr>
              <w:noProof/>
              <w:sz w:val="22"/>
              <w:szCs w:val="22"/>
              <w:lang w:val="en-US"/>
            </w:rPr>
          </w:pPr>
          <w:hyperlink w:anchor="_Toc9165870" w:history="1">
            <w:r w:rsidRPr="00C23885">
              <w:rPr>
                <w:rStyle w:val="Hyperlink"/>
                <w:noProof/>
              </w:rPr>
              <w:t>Διακυβέρνηση / Πολιτική Οικονομία / Κοινωνιολογία</w:t>
            </w:r>
            <w:r>
              <w:rPr>
                <w:noProof/>
                <w:webHidden/>
              </w:rPr>
              <w:tab/>
            </w:r>
            <w:r>
              <w:rPr>
                <w:noProof/>
                <w:webHidden/>
              </w:rPr>
              <w:fldChar w:fldCharType="begin"/>
            </w:r>
            <w:r>
              <w:rPr>
                <w:noProof/>
                <w:webHidden/>
              </w:rPr>
              <w:instrText xml:space="preserve"> PAGEREF _Toc9165870 \h </w:instrText>
            </w:r>
            <w:r>
              <w:rPr>
                <w:noProof/>
                <w:webHidden/>
              </w:rPr>
            </w:r>
            <w:r>
              <w:rPr>
                <w:noProof/>
                <w:webHidden/>
              </w:rPr>
              <w:fldChar w:fldCharType="separate"/>
            </w:r>
            <w:r>
              <w:rPr>
                <w:noProof/>
                <w:webHidden/>
              </w:rPr>
              <w:t>2</w:t>
            </w:r>
            <w:r>
              <w:rPr>
                <w:noProof/>
                <w:webHidden/>
              </w:rPr>
              <w:fldChar w:fldCharType="end"/>
            </w:r>
          </w:hyperlink>
        </w:p>
        <w:p w14:paraId="2A77F22D" w14:textId="3F98F876" w:rsidR="00BD0308" w:rsidRDefault="00BD0308">
          <w:pPr>
            <w:pStyle w:val="TOC2"/>
            <w:tabs>
              <w:tab w:val="right" w:leader="dot" w:pos="8296"/>
            </w:tabs>
            <w:rPr>
              <w:noProof/>
              <w:sz w:val="22"/>
              <w:szCs w:val="22"/>
              <w:lang w:val="en-US"/>
            </w:rPr>
          </w:pPr>
          <w:hyperlink w:anchor="_Toc9165871" w:history="1">
            <w:r w:rsidRPr="00C23885">
              <w:rPr>
                <w:rStyle w:val="Hyperlink"/>
                <w:noProof/>
              </w:rPr>
              <w:t>Κοινότητες</w:t>
            </w:r>
            <w:r w:rsidRPr="00C23885">
              <w:rPr>
                <w:rStyle w:val="Hyperlink"/>
                <w:noProof/>
                <w:lang w:val="en-US"/>
              </w:rPr>
              <w:t xml:space="preserve"> / </w:t>
            </w:r>
            <w:r w:rsidRPr="00C23885">
              <w:rPr>
                <w:rStyle w:val="Hyperlink"/>
                <w:noProof/>
              </w:rPr>
              <w:t>Γεωγραφία</w:t>
            </w:r>
            <w:r>
              <w:rPr>
                <w:noProof/>
                <w:webHidden/>
              </w:rPr>
              <w:tab/>
            </w:r>
            <w:r>
              <w:rPr>
                <w:noProof/>
                <w:webHidden/>
              </w:rPr>
              <w:fldChar w:fldCharType="begin"/>
            </w:r>
            <w:r>
              <w:rPr>
                <w:noProof/>
                <w:webHidden/>
              </w:rPr>
              <w:instrText xml:space="preserve"> PAGEREF _Toc9165871 \h </w:instrText>
            </w:r>
            <w:r>
              <w:rPr>
                <w:noProof/>
                <w:webHidden/>
              </w:rPr>
            </w:r>
            <w:r>
              <w:rPr>
                <w:noProof/>
                <w:webHidden/>
              </w:rPr>
              <w:fldChar w:fldCharType="separate"/>
            </w:r>
            <w:r>
              <w:rPr>
                <w:noProof/>
                <w:webHidden/>
              </w:rPr>
              <w:t>2</w:t>
            </w:r>
            <w:r>
              <w:rPr>
                <w:noProof/>
                <w:webHidden/>
              </w:rPr>
              <w:fldChar w:fldCharType="end"/>
            </w:r>
          </w:hyperlink>
        </w:p>
        <w:p w14:paraId="56927DFD" w14:textId="06EB2D55" w:rsidR="00BD0308" w:rsidRDefault="00BD0308">
          <w:pPr>
            <w:pStyle w:val="TOC2"/>
            <w:tabs>
              <w:tab w:val="right" w:leader="dot" w:pos="8296"/>
            </w:tabs>
            <w:rPr>
              <w:noProof/>
              <w:sz w:val="22"/>
              <w:szCs w:val="22"/>
              <w:lang w:val="en-US"/>
            </w:rPr>
          </w:pPr>
          <w:hyperlink w:anchor="_Toc9165872" w:history="1">
            <w:r w:rsidRPr="00C23885">
              <w:rPr>
                <w:rStyle w:val="Hyperlink"/>
                <w:noProof/>
                <w:lang w:val="en-US"/>
              </w:rPr>
              <w:t>O</w:t>
            </w:r>
            <w:r w:rsidRPr="00C23885">
              <w:rPr>
                <w:rStyle w:val="Hyperlink"/>
                <w:noProof/>
              </w:rPr>
              <w:t>ικονομια</w:t>
            </w:r>
            <w:r w:rsidRPr="00C23885">
              <w:rPr>
                <w:rStyle w:val="Hyperlink"/>
                <w:noProof/>
                <w:lang w:val="en-GB"/>
              </w:rPr>
              <w:t xml:space="preserve"> </w:t>
            </w:r>
            <w:r w:rsidRPr="00C23885">
              <w:rPr>
                <w:rStyle w:val="Hyperlink"/>
                <w:noProof/>
              </w:rPr>
              <w:t>και</w:t>
            </w:r>
            <w:r w:rsidRPr="00C23885">
              <w:rPr>
                <w:rStyle w:val="Hyperlink"/>
                <w:noProof/>
                <w:lang w:val="en-GB"/>
              </w:rPr>
              <w:t xml:space="preserve"> </w:t>
            </w:r>
            <w:r w:rsidRPr="00C23885">
              <w:rPr>
                <w:rStyle w:val="Hyperlink"/>
                <w:noProof/>
              </w:rPr>
              <w:t>Βιώσιμη</w:t>
            </w:r>
            <w:r w:rsidRPr="00C23885">
              <w:rPr>
                <w:rStyle w:val="Hyperlink"/>
                <w:noProof/>
                <w:lang w:val="en-GB"/>
              </w:rPr>
              <w:t xml:space="preserve"> </w:t>
            </w:r>
            <w:r w:rsidRPr="00C23885">
              <w:rPr>
                <w:rStyle w:val="Hyperlink"/>
                <w:noProof/>
              </w:rPr>
              <w:t>ανάπτυξη</w:t>
            </w:r>
            <w:r>
              <w:rPr>
                <w:noProof/>
                <w:webHidden/>
              </w:rPr>
              <w:tab/>
            </w:r>
            <w:r>
              <w:rPr>
                <w:noProof/>
                <w:webHidden/>
              </w:rPr>
              <w:fldChar w:fldCharType="begin"/>
            </w:r>
            <w:r>
              <w:rPr>
                <w:noProof/>
                <w:webHidden/>
              </w:rPr>
              <w:instrText xml:space="preserve"> PAGEREF _Toc9165872 \h </w:instrText>
            </w:r>
            <w:r>
              <w:rPr>
                <w:noProof/>
                <w:webHidden/>
              </w:rPr>
            </w:r>
            <w:r>
              <w:rPr>
                <w:noProof/>
                <w:webHidden/>
              </w:rPr>
              <w:fldChar w:fldCharType="separate"/>
            </w:r>
            <w:r>
              <w:rPr>
                <w:noProof/>
                <w:webHidden/>
              </w:rPr>
              <w:t>3</w:t>
            </w:r>
            <w:r>
              <w:rPr>
                <w:noProof/>
                <w:webHidden/>
              </w:rPr>
              <w:fldChar w:fldCharType="end"/>
            </w:r>
          </w:hyperlink>
        </w:p>
        <w:p w14:paraId="4CF8445A" w14:textId="222B642C" w:rsidR="00BD0308" w:rsidRDefault="00BD0308">
          <w:pPr>
            <w:pStyle w:val="TOC2"/>
            <w:tabs>
              <w:tab w:val="right" w:leader="dot" w:pos="8296"/>
            </w:tabs>
            <w:rPr>
              <w:noProof/>
              <w:sz w:val="22"/>
              <w:szCs w:val="22"/>
              <w:lang w:val="en-US"/>
            </w:rPr>
          </w:pPr>
          <w:hyperlink w:anchor="_Toc9165873" w:history="1">
            <w:r w:rsidRPr="00C23885">
              <w:rPr>
                <w:rStyle w:val="Hyperlink"/>
                <w:noProof/>
              </w:rPr>
              <w:t>Ψηφιακό</w:t>
            </w:r>
            <w:r w:rsidRPr="00C23885">
              <w:rPr>
                <w:rStyle w:val="Hyperlink"/>
                <w:noProof/>
                <w:lang w:val="en-US"/>
              </w:rPr>
              <w:t xml:space="preserve"> </w:t>
            </w:r>
            <w:r w:rsidRPr="00C23885">
              <w:rPr>
                <w:rStyle w:val="Hyperlink"/>
                <w:noProof/>
              </w:rPr>
              <w:t>χάσμα</w:t>
            </w:r>
            <w:r w:rsidRPr="00C23885">
              <w:rPr>
                <w:rStyle w:val="Hyperlink"/>
                <w:noProof/>
                <w:lang w:val="en-US"/>
              </w:rPr>
              <w:t xml:space="preserve"> - </w:t>
            </w:r>
            <w:r w:rsidRPr="00C23885">
              <w:rPr>
                <w:rStyle w:val="Hyperlink"/>
                <w:noProof/>
              </w:rPr>
              <w:t>προσβαση</w:t>
            </w:r>
            <w:r>
              <w:rPr>
                <w:noProof/>
                <w:webHidden/>
              </w:rPr>
              <w:tab/>
            </w:r>
            <w:r>
              <w:rPr>
                <w:noProof/>
                <w:webHidden/>
              </w:rPr>
              <w:fldChar w:fldCharType="begin"/>
            </w:r>
            <w:r>
              <w:rPr>
                <w:noProof/>
                <w:webHidden/>
              </w:rPr>
              <w:instrText xml:space="preserve"> PAGEREF _Toc9165873 \h </w:instrText>
            </w:r>
            <w:r>
              <w:rPr>
                <w:noProof/>
                <w:webHidden/>
              </w:rPr>
            </w:r>
            <w:r>
              <w:rPr>
                <w:noProof/>
                <w:webHidden/>
              </w:rPr>
              <w:fldChar w:fldCharType="separate"/>
            </w:r>
            <w:r>
              <w:rPr>
                <w:noProof/>
                <w:webHidden/>
              </w:rPr>
              <w:t>3</w:t>
            </w:r>
            <w:r>
              <w:rPr>
                <w:noProof/>
                <w:webHidden/>
              </w:rPr>
              <w:fldChar w:fldCharType="end"/>
            </w:r>
          </w:hyperlink>
        </w:p>
        <w:p w14:paraId="6B630AAF" w14:textId="68BFD097" w:rsidR="00BD0308" w:rsidRDefault="00BD0308">
          <w:pPr>
            <w:pStyle w:val="TOC2"/>
            <w:tabs>
              <w:tab w:val="right" w:leader="dot" w:pos="8296"/>
            </w:tabs>
            <w:rPr>
              <w:noProof/>
              <w:sz w:val="22"/>
              <w:szCs w:val="22"/>
              <w:lang w:val="en-US"/>
            </w:rPr>
          </w:pPr>
          <w:hyperlink w:anchor="_Toc9165874" w:history="1">
            <w:r w:rsidRPr="00C23885">
              <w:rPr>
                <w:rStyle w:val="Hyperlink"/>
                <w:noProof/>
              </w:rPr>
              <w:t>Ουδετερότητα</w:t>
            </w:r>
            <w:r w:rsidRPr="00C23885">
              <w:rPr>
                <w:rStyle w:val="Hyperlink"/>
                <w:noProof/>
                <w:lang w:val="en-US"/>
              </w:rPr>
              <w:t xml:space="preserve"> </w:t>
            </w:r>
            <w:r w:rsidRPr="00C23885">
              <w:rPr>
                <w:rStyle w:val="Hyperlink"/>
                <w:noProof/>
              </w:rPr>
              <w:t>Διαδικτύου</w:t>
            </w:r>
            <w:r>
              <w:rPr>
                <w:noProof/>
                <w:webHidden/>
              </w:rPr>
              <w:tab/>
            </w:r>
            <w:r>
              <w:rPr>
                <w:noProof/>
                <w:webHidden/>
              </w:rPr>
              <w:fldChar w:fldCharType="begin"/>
            </w:r>
            <w:r>
              <w:rPr>
                <w:noProof/>
                <w:webHidden/>
              </w:rPr>
              <w:instrText xml:space="preserve"> PAGEREF _Toc9165874 \h </w:instrText>
            </w:r>
            <w:r>
              <w:rPr>
                <w:noProof/>
                <w:webHidden/>
              </w:rPr>
            </w:r>
            <w:r>
              <w:rPr>
                <w:noProof/>
                <w:webHidden/>
              </w:rPr>
              <w:fldChar w:fldCharType="separate"/>
            </w:r>
            <w:r>
              <w:rPr>
                <w:noProof/>
                <w:webHidden/>
              </w:rPr>
              <w:t>3</w:t>
            </w:r>
            <w:r>
              <w:rPr>
                <w:noProof/>
                <w:webHidden/>
              </w:rPr>
              <w:fldChar w:fldCharType="end"/>
            </w:r>
          </w:hyperlink>
        </w:p>
        <w:p w14:paraId="519DBB2F" w14:textId="605505BD" w:rsidR="00BD0308" w:rsidRDefault="00BD0308">
          <w:pPr>
            <w:pStyle w:val="TOC2"/>
            <w:tabs>
              <w:tab w:val="right" w:leader="dot" w:pos="8296"/>
            </w:tabs>
            <w:rPr>
              <w:noProof/>
              <w:sz w:val="22"/>
              <w:szCs w:val="22"/>
              <w:lang w:val="en-US"/>
            </w:rPr>
          </w:pPr>
          <w:hyperlink w:anchor="_Toc9165875" w:history="1">
            <w:r w:rsidRPr="00C23885">
              <w:rPr>
                <w:rStyle w:val="Hyperlink"/>
                <w:noProof/>
              </w:rPr>
              <w:t>Βιβλιογραφία</w:t>
            </w:r>
            <w:r>
              <w:rPr>
                <w:noProof/>
                <w:webHidden/>
              </w:rPr>
              <w:tab/>
            </w:r>
            <w:r>
              <w:rPr>
                <w:noProof/>
                <w:webHidden/>
              </w:rPr>
              <w:fldChar w:fldCharType="begin"/>
            </w:r>
            <w:r>
              <w:rPr>
                <w:noProof/>
                <w:webHidden/>
              </w:rPr>
              <w:instrText xml:space="preserve"> PAGEREF _Toc9165875 \h </w:instrText>
            </w:r>
            <w:r>
              <w:rPr>
                <w:noProof/>
                <w:webHidden/>
              </w:rPr>
            </w:r>
            <w:r>
              <w:rPr>
                <w:noProof/>
                <w:webHidden/>
              </w:rPr>
              <w:fldChar w:fldCharType="separate"/>
            </w:r>
            <w:r>
              <w:rPr>
                <w:noProof/>
                <w:webHidden/>
              </w:rPr>
              <w:t>4</w:t>
            </w:r>
            <w:r>
              <w:rPr>
                <w:noProof/>
                <w:webHidden/>
              </w:rPr>
              <w:fldChar w:fldCharType="end"/>
            </w:r>
          </w:hyperlink>
        </w:p>
        <w:p w14:paraId="35395253" w14:textId="48BB3A4F" w:rsidR="00841F49" w:rsidRDefault="00841F49">
          <w:r>
            <w:rPr>
              <w:b/>
              <w:bCs/>
              <w:noProof/>
            </w:rPr>
            <w:fldChar w:fldCharType="end"/>
          </w:r>
        </w:p>
      </w:sdtContent>
    </w:sdt>
    <w:p w14:paraId="4CEA69A3" w14:textId="77777777" w:rsidR="00841F49" w:rsidRDefault="00841F49" w:rsidP="00841F49"/>
    <w:p w14:paraId="575570E7" w14:textId="03D935D9" w:rsidR="00841F49" w:rsidRDefault="00841F49" w:rsidP="00841F49"/>
    <w:p w14:paraId="3EF376D6" w14:textId="77777777" w:rsidR="00841F49" w:rsidRPr="00841F49" w:rsidRDefault="00841F49" w:rsidP="00841F49"/>
    <w:p w14:paraId="553C6518" w14:textId="77777777" w:rsidR="00841F49" w:rsidRDefault="00841F49" w:rsidP="00841F49">
      <w:pPr>
        <w:rPr>
          <w:lang w:val="en-US"/>
        </w:rPr>
      </w:pPr>
    </w:p>
    <w:p w14:paraId="39B965CF" w14:textId="2AB3F7F6" w:rsidR="00841F49" w:rsidRDefault="00841F49" w:rsidP="00841F49">
      <w:pPr>
        <w:rPr>
          <w:lang w:val="en-US"/>
        </w:rPr>
      </w:pPr>
      <w:r>
        <w:rPr>
          <w:lang w:val="en-US"/>
        </w:rPr>
        <w:br w:type="page"/>
      </w:r>
    </w:p>
    <w:p w14:paraId="551DE144" w14:textId="77777777" w:rsidR="00941F8C" w:rsidRDefault="00941F8C">
      <w:pPr>
        <w:rPr>
          <w:rFonts w:ascii="Palatino Linotype" w:hAnsi="Palatino Linotype"/>
          <w:b/>
          <w:sz w:val="24"/>
          <w:lang w:val="en-US"/>
        </w:rPr>
      </w:pPr>
    </w:p>
    <w:p w14:paraId="18839762" w14:textId="08F0EF56" w:rsidR="00941F8C" w:rsidRPr="00B412D2" w:rsidRDefault="00536B5F" w:rsidP="00841F49">
      <w:pPr>
        <w:pStyle w:val="Heading2"/>
      </w:pPr>
      <w:bookmarkStart w:id="1" w:name="_Toc9165869"/>
      <w:r>
        <w:t>Εισαγωγ</w:t>
      </w:r>
      <w:r w:rsidR="00BD0308">
        <w:rPr>
          <w:lang w:val="en-GB"/>
        </w:rPr>
        <w:t>ika</w:t>
      </w:r>
      <w:bookmarkStart w:id="2" w:name="_GoBack"/>
      <w:bookmarkEnd w:id="2"/>
      <w:r w:rsidR="00B412D2" w:rsidRPr="00B412D2">
        <w:t xml:space="preserve"> - </w:t>
      </w:r>
      <w:r w:rsidR="00B412D2">
        <w:t>ΜΕΘΟΔΟΛΟΓΙΚΑ</w:t>
      </w:r>
      <w:bookmarkEnd w:id="1"/>
    </w:p>
    <w:p w14:paraId="396277E3" w14:textId="77777777" w:rsidR="00B412D2" w:rsidRDefault="00B412D2" w:rsidP="00841F49">
      <w:pPr>
        <w:rPr>
          <w:lang w:val="en-US"/>
        </w:rPr>
      </w:pPr>
    </w:p>
    <w:p w14:paraId="7643D947" w14:textId="42781662" w:rsidR="00B412D2" w:rsidRDefault="00B412D2" w:rsidP="00841F49">
      <w:pPr>
        <w:rPr>
          <w:lang w:val="en-GB"/>
        </w:rPr>
      </w:pPr>
      <w:r>
        <w:rPr>
          <w:lang w:val="en-GB"/>
        </w:rPr>
        <w:fldChar w:fldCharType="begin" w:fldLock="1"/>
      </w:r>
      <w:r>
        <w:rPr>
          <w:lang w:val="en-GB"/>
        </w:rPr>
        <w:instrText>ADDIN CSL_CITATION {"citationItems":[{"id":"ITEM-1","itemData":{"DOI":"10.1177/1461444809341391","ISSN":"1461-4448","abstract":"This article employs and extends the concept of technical code (Feenberg, 1992, 1995a, 1995b) to examine the current state of the internet. The notion of technical code — the cultural and social assumptions and values that become manifest in a technology’s physical and structural forms — is invoked to examine design characteristics of the internet that, in turn, reflect and provide opportunities for important social outcomes. Overall, the internet’s technical design supports interoperability and open access, while suggesting an enormous capacity for personalization and innovation. In turn, these technical features support the emergence of myriad collective social activities, resulting in a sense of individual empowerment achieved through enhanced agency. Significant countervailing forces, however, inhibit this potential. By examining the values, priorities, and assumptions that have become built into the internet, both technically and socially, the present analysis clarifies this tension and serves to fra...","author":[{"dropping-particle":"","family":"Flanagin","given":"Andrew J.","non-dropping-particle":"","parse-names":false,"suffix":""},{"dropping-particle":"","family":"Flanagin","given":"Craig","non-dropping-particle":"","parse-names":false,"suffix":""},{"dropping-particle":"","family":"Flanagin","given":"Jon","non-dropping-particle":"","parse-names":false,"suffix":""}],"container-title":"New Media &amp; Society","id":"ITEM-1","issue":"2","issued":{"date-parts":[["2010","3","24"]]},"page":"179-196","publisher":"SAGE PublicationsSage UK: London, England","title":"Technical code and the social construction of the internet","type":"article-journal","volume":"12"},"uris":["http://www.mendeley.com/documents/?uuid=efbdc541-19d2-3848-bcbd-04f89bb65a2f"]}],"mendeley":{"formattedCitation":"(Flanagin, Flanagin, &amp; Flanagin, 2010)","plainTextFormattedCitation":"(Flanagin, Flanagin, &amp; Flanagin, 2010)","previouslyFormattedCitation":"(Flanagin, Flanagin, &amp; Flanagin, 2010)"},"properties":{"noteIndex":0},"schema":"https://github.com/citation-style-language/schema/raw/master/csl-citation.json"}</w:instrText>
      </w:r>
      <w:r>
        <w:rPr>
          <w:lang w:val="en-GB"/>
        </w:rPr>
        <w:fldChar w:fldCharType="separate"/>
      </w:r>
      <w:r w:rsidRPr="00B412D2">
        <w:rPr>
          <w:noProof/>
          <w:lang w:val="en-GB"/>
        </w:rPr>
        <w:t>(Flanagin, Flanagin, &amp; Flanagin, 2010)</w:t>
      </w:r>
      <w:r>
        <w:rPr>
          <w:lang w:val="en-GB"/>
        </w:rPr>
        <w:fldChar w:fldCharType="end"/>
      </w:r>
    </w:p>
    <w:p w14:paraId="17BDFDDB" w14:textId="57913566" w:rsidR="00B412D2" w:rsidRDefault="00B412D2" w:rsidP="00841F49">
      <w:pPr>
        <w:rPr>
          <w:lang w:val="en-GB"/>
        </w:rPr>
      </w:pPr>
      <w:r>
        <w:rPr>
          <w:lang w:val="en-GB"/>
        </w:rPr>
        <w:fldChar w:fldCharType="begin" w:fldLock="1"/>
      </w:r>
      <w:r w:rsidR="00E91550">
        <w:rPr>
          <w:lang w:val="en-GB"/>
        </w:rPr>
        <w:instrText>ADDIN CSL_CITATION {"citationItems":[{"id":"ITEM-1","itemData":{"DOI":"10.1177/0971721816640615","ISSN":"09717218","abstract":"This article discusses the strengths and limitations of Actor-Network Theory (ANT) as a framework for Science and Technology Studies (STS). While ANT was originally rooted in Social Construction of Technology (SCOT) approaches, ANT has become a theoretical framework commonly used by scholars in numerous disciplines beyond STS, including Information Sciences. Although some scholars consider ANT to be now closer to sociomateriality studies, we claim that ANT differs from sociomateriality in that it suggests a different notion of power. In ANT, power results from actors’ associations enacted into being rather than the sociomateriality claim that power results from existing power structures. We draw from our work on information technologies and social movements to illustrate this important distinction, and to show how ANT can be further strengthened by including the study of histories, memories and trajectories, in order to better understand power relations as associations enacted into being. In this way, we offer a deeper understanding of ANT and its utility for STS research in general, and information studies in particular.","author":[{"dropping-particle":"","family":"Baron","given":"Luis Fernando","non-dropping-particle":"","parse-names":false,"suffix":""},{"dropping-particle":"","family":"Gomez","given":"Ricardo","non-dropping-particle":"","parse-names":false,"suffix":""}],"container-title":"Science, Technology and Society","id":"ITEM-1","issue":"2","issued":{"date-parts":[["2016","7","9"]]},"page":"129-148","publisher":"SAGE PublicationsSage India: New Delhi, India","title":"The Associations between Technologies and Societies: The Utility of Actor-Network Theory","type":"article-journal","volume":"21"},"uris":["http://www.mendeley.com/documents/?uuid=d34b4cfc-88db-3a14-b189-1d018cbfaef9"]}],"mendeley":{"formattedCitation":"(Baron &amp; Gomez, 2016)","plainTextFormattedCitation":"(Baron &amp; Gomez, 2016)","previouslyFormattedCitation":"(Baron &amp; Gomez, 2016)"},"properties":{"noteIndex":0},"schema":"https://github.com/citation-style-language/schema/raw/master/csl-citation.json"}</w:instrText>
      </w:r>
      <w:r>
        <w:rPr>
          <w:lang w:val="en-GB"/>
        </w:rPr>
        <w:fldChar w:fldCharType="separate"/>
      </w:r>
      <w:r w:rsidRPr="00B412D2">
        <w:rPr>
          <w:noProof/>
          <w:lang w:val="en-GB"/>
        </w:rPr>
        <w:t>(Baron &amp; Gomez, 2016)</w:t>
      </w:r>
      <w:r>
        <w:rPr>
          <w:lang w:val="en-GB"/>
        </w:rPr>
        <w:fldChar w:fldCharType="end"/>
      </w:r>
    </w:p>
    <w:p w14:paraId="49B3D5B2" w14:textId="1319E81B" w:rsidR="00B412D2" w:rsidRDefault="00B412D2" w:rsidP="00841F49">
      <w:pPr>
        <w:rPr>
          <w:lang w:val="en-GB"/>
        </w:rPr>
      </w:pPr>
    </w:p>
    <w:p w14:paraId="63EA1080" w14:textId="77777777" w:rsidR="00B412D2" w:rsidRPr="00B412D2" w:rsidRDefault="00B412D2" w:rsidP="00841F49">
      <w:pPr>
        <w:rPr>
          <w:lang w:val="en-GB"/>
        </w:rPr>
      </w:pPr>
    </w:p>
    <w:p w14:paraId="4B53A464" w14:textId="6EEFCB9C" w:rsidR="00B412D2" w:rsidRPr="00B412D2" w:rsidRDefault="00B412D2" w:rsidP="00841F49">
      <w:r>
        <w:t>Πρόσθετα</w:t>
      </w:r>
    </w:p>
    <w:p w14:paraId="0B5354A2" w14:textId="23F36418" w:rsidR="000D3B55" w:rsidRDefault="00C91898" w:rsidP="00841F49">
      <w:pPr>
        <w:rPr>
          <w:lang w:val="en-US"/>
        </w:rPr>
      </w:pPr>
      <w:r>
        <w:rPr>
          <w:lang w:val="en-US"/>
        </w:rPr>
        <w:t>Edwards</w:t>
      </w:r>
      <w:r w:rsidRPr="00B412D2">
        <w:rPr>
          <w:lang w:val="en-US"/>
        </w:rPr>
        <w:t xml:space="preserve">, </w:t>
      </w:r>
      <w:proofErr w:type="gramStart"/>
      <w:r>
        <w:rPr>
          <w:lang w:val="en-US"/>
        </w:rPr>
        <w:t>P</w:t>
      </w:r>
      <w:r w:rsidRPr="00B412D2">
        <w:rPr>
          <w:lang w:val="en-US"/>
        </w:rPr>
        <w:t>.,</w:t>
      </w:r>
      <w:r>
        <w:rPr>
          <w:lang w:val="en-US"/>
        </w:rPr>
        <w:t>N</w:t>
      </w:r>
      <w:r w:rsidRPr="00B412D2">
        <w:rPr>
          <w:lang w:val="en-US"/>
        </w:rPr>
        <w:t>.</w:t>
      </w:r>
      <w:proofErr w:type="gramEnd"/>
      <w:r w:rsidRPr="00B412D2">
        <w:rPr>
          <w:lang w:val="en-US"/>
        </w:rPr>
        <w:t xml:space="preserve">, 1995. </w:t>
      </w:r>
      <w:r>
        <w:rPr>
          <w:lang w:val="en-US"/>
        </w:rPr>
        <w:t xml:space="preserve">From “Impact” to social Process: Computers in </w:t>
      </w:r>
      <w:r w:rsidR="000D3B55">
        <w:rPr>
          <w:lang w:val="en-US"/>
        </w:rPr>
        <w:t>Society</w:t>
      </w:r>
      <w:r>
        <w:rPr>
          <w:lang w:val="en-US"/>
        </w:rPr>
        <w:t xml:space="preserve"> and Culture. In </w:t>
      </w:r>
      <w:proofErr w:type="spellStart"/>
      <w:r>
        <w:rPr>
          <w:lang w:val="en-US"/>
        </w:rPr>
        <w:t>Jasanoff</w:t>
      </w:r>
      <w:proofErr w:type="spellEnd"/>
      <w:r>
        <w:rPr>
          <w:lang w:val="en-US"/>
        </w:rPr>
        <w:t xml:space="preserve"> S., et </w:t>
      </w:r>
      <w:proofErr w:type="gramStart"/>
      <w:r>
        <w:rPr>
          <w:lang w:val="en-US"/>
        </w:rPr>
        <w:t>al,(</w:t>
      </w:r>
      <w:proofErr w:type="gramEnd"/>
      <w:r>
        <w:rPr>
          <w:lang w:val="en-US"/>
        </w:rPr>
        <w:t>eds) Handbook of Science and Technology Studies. 257-285</w:t>
      </w:r>
      <w:r w:rsidR="000D3B55">
        <w:rPr>
          <w:lang w:val="en-US"/>
        </w:rPr>
        <w:t xml:space="preserve"> </w:t>
      </w:r>
    </w:p>
    <w:p w14:paraId="16E29003" w14:textId="423D6FB5" w:rsidR="000D3B55" w:rsidRDefault="000D3B55" w:rsidP="00841F49">
      <w:proofErr w:type="spellStart"/>
      <w:r w:rsidRPr="000D3B55">
        <w:rPr>
          <w:lang w:val="en-US"/>
        </w:rPr>
        <w:t>Boczkowski</w:t>
      </w:r>
      <w:proofErr w:type="spellEnd"/>
      <w:r w:rsidRPr="000D3B55">
        <w:rPr>
          <w:lang w:val="en-US"/>
        </w:rPr>
        <w:t xml:space="preserve"> </w:t>
      </w:r>
      <w:r>
        <w:rPr>
          <w:lang w:val="en-US"/>
        </w:rPr>
        <w:t xml:space="preserve">P., </w:t>
      </w:r>
      <w:r w:rsidRPr="000D3B55">
        <w:rPr>
          <w:lang w:val="en-US"/>
        </w:rPr>
        <w:t xml:space="preserve">and </w:t>
      </w:r>
      <w:proofErr w:type="spellStart"/>
      <w:r w:rsidRPr="000D3B55">
        <w:rPr>
          <w:lang w:val="en-US"/>
        </w:rPr>
        <w:t>Lievrouw</w:t>
      </w:r>
      <w:proofErr w:type="spellEnd"/>
      <w:r w:rsidRPr="000D3B55">
        <w:rPr>
          <w:lang w:val="en-US"/>
        </w:rPr>
        <w:t xml:space="preserve"> A.</w:t>
      </w:r>
      <w:r>
        <w:rPr>
          <w:lang w:val="en-US"/>
        </w:rPr>
        <w:t xml:space="preserve">, 2008. </w:t>
      </w:r>
      <w:r w:rsidRPr="000D3B55">
        <w:rPr>
          <w:lang w:val="en-US"/>
        </w:rPr>
        <w:t>Bridging STS and Communication Studies: Scholarship on Media and Information Technologies</w:t>
      </w:r>
      <w:r>
        <w:rPr>
          <w:lang w:val="en-US"/>
        </w:rPr>
        <w:t xml:space="preserve">. In the </w:t>
      </w:r>
      <w:proofErr w:type="spellStart"/>
      <w:r w:rsidRPr="000D3B55">
        <w:rPr>
          <w:lang w:val="en-US"/>
        </w:rPr>
        <w:t>The</w:t>
      </w:r>
      <w:proofErr w:type="spellEnd"/>
      <w:r w:rsidRPr="000D3B55">
        <w:rPr>
          <w:lang w:val="en-US"/>
        </w:rPr>
        <w:t xml:space="preserve"> Handbook of Science and Technology Studies Third Edition</w:t>
      </w:r>
      <w:r>
        <w:rPr>
          <w:lang w:val="en-US"/>
        </w:rPr>
        <w:t xml:space="preserve">, </w:t>
      </w:r>
      <w:r w:rsidRPr="000D3B55">
        <w:rPr>
          <w:lang w:val="en-US"/>
        </w:rPr>
        <w:t>Hackett</w:t>
      </w:r>
      <w:r>
        <w:rPr>
          <w:lang w:val="en-US"/>
        </w:rPr>
        <w:t xml:space="preserve"> et al (eds), MIT press. </w:t>
      </w:r>
      <w:r w:rsidRPr="00841F49">
        <w:t xml:space="preserve">949-978   </w:t>
      </w:r>
    </w:p>
    <w:p w14:paraId="49F33BA9" w14:textId="1344921F" w:rsidR="00B412D2" w:rsidRDefault="00B412D2" w:rsidP="00841F49"/>
    <w:p w14:paraId="48A66CED" w14:textId="77777777" w:rsidR="00B412D2" w:rsidRPr="00841F49" w:rsidRDefault="00B412D2" w:rsidP="00841F49"/>
    <w:p w14:paraId="0CBB8FAC" w14:textId="339F0FC5" w:rsidR="000D3B55" w:rsidRPr="00841F49" w:rsidRDefault="00374FF7" w:rsidP="00841F49">
      <w:pPr>
        <w:pStyle w:val="Heading2"/>
      </w:pPr>
      <w:r w:rsidRPr="00841F49">
        <w:br/>
      </w:r>
      <w:r w:rsidRPr="00841F49">
        <w:br/>
      </w:r>
      <w:bookmarkStart w:id="3" w:name="_Toc9165870"/>
      <w:r w:rsidRPr="00941F8C">
        <w:t>Διακυβέρνηση</w:t>
      </w:r>
      <w:r w:rsidR="00841F49" w:rsidRPr="00841F49">
        <w:t xml:space="preserve"> / </w:t>
      </w:r>
      <w:r w:rsidR="00841F49">
        <w:t>Πολιτική Οικονομία / Κοινωνιολογία</w:t>
      </w:r>
      <w:bookmarkEnd w:id="3"/>
    </w:p>
    <w:p w14:paraId="2BE7C2A6" w14:textId="35EDE9C6" w:rsidR="00841F49" w:rsidRPr="00790961" w:rsidRDefault="00790961" w:rsidP="00BD0308">
      <w:r>
        <w:rPr>
          <w:rStyle w:val="FootnoteReference"/>
        </w:rPr>
        <w:fldChar w:fldCharType="begin" w:fldLock="1"/>
      </w:r>
      <w:r>
        <w:instrText>ADDIN CSL_CITATION {"citationItems":[{"id":"ITEM-1","itemData":{"DOI":"10.1177/0267323189004001005","ISSN":"14603705","abstract":"Les effets supposés de la soi-disant \"révolution de l'information\" sont, en partie du moins, une construction idéologique dans laquelle différents acteurs remplissent divers rôles dans la définition de la réalité du développment technologique, et ceci d'une manière telle que peu de place est laissée à des vues divergeantes. Contre l'autonomie du technique et en faveur de la conception de la \"révolution de l'information\" en tant que construction sociale. Notion de projet hégémonique (de définition, redéfinition du bien commun, porté par une fraction sociale, et se trouvant à la fois en résonance avec ce qui sous-tend une définition domiante du bien commun et, à la fois, compatible avec les intérêts corporatistes de cette fraction sociale). Description des acteurs engagés dans la construction de la \"révolution de l'information\": les industriels qui raisonnent en termes transnationaux, les politiques qui raisonnent en termes nationaux sauf lorsqu'un avantage local et perçu lorsqu'un un discours globalisateur est tenu, l'UE qui raisonne en termes européens tout en essayant de ménager la souveraineté des Etats membres. Image paradoxale de l'inévitabilité de la SI et de sa nécessité politique et économique (\"Tout le monde fait cela, donc il doit y avoir du bon à faire cela!\"). Contestation du caractère \"révolutionnaire\" de la \"révolution de l'information\" (mais que beaucoup y croient fonctionne comme une prophétie auto-réalisante et insite à s'adapter plutôt qu'à agir). Contestation du discours optimiste de destruction créatrice d'emplois induite par une éventuelle SI. Contestation de la conception \"plus d'informations = plus de connaissances\". Contestation de la dérégulation comme contexte le plus favorable pour réaliser les \"promesses\" de la SI et mise en lumière de la soumission du politique à l'économique (tant que l'Etat-providence tirera ses ressources de la taxation de l'économie qui échappe à son contrôle puisque par principe confiée à la sphère du privé)","author":[{"dropping-particle":"","family":"Brants","given":"Kees","non-dropping-particle":"","parse-names":false,"suffix":""}],"container-title":"European Journal of Communication","id":"ITEM-1","issue":"1","issued":{"date-parts":[["1989","3","26"]]},"page":"79-97","publisher":"SAGE Publications","title":"The Social Construction of the Information Revolution","type":"article-journal","volume":"4"},"uris":["http://www.mendeley.com/documents/?uuid=385fb312-9c2c-3e8b-ade9-9007d7ac9508"]}],"mendeley":{"formattedCitation":"(Brants, 1989)","plainTextFormattedCitation":"(Brants, 1989)","previouslyFormattedCitation":"(Brants, 1989)"},"properties":{"noteIndex":0},"schema":"https://github.com/citation-style-language/schema/raw/master/csl-citation.json"}</w:instrText>
      </w:r>
      <w:r>
        <w:rPr>
          <w:rStyle w:val="FootnoteReference"/>
        </w:rPr>
        <w:fldChar w:fldCharType="separate"/>
      </w:r>
      <w:r w:rsidRPr="00790961">
        <w:rPr>
          <w:bCs/>
          <w:noProof/>
        </w:rPr>
        <w:t>(Brants, 1989)</w:t>
      </w:r>
      <w:r>
        <w:rPr>
          <w:rStyle w:val="FootnoteReference"/>
        </w:rPr>
        <w:fldChar w:fldCharType="end"/>
      </w:r>
    </w:p>
    <w:p w14:paraId="097DDFED" w14:textId="21BD9C7F" w:rsidR="00841F49" w:rsidRPr="00790961" w:rsidRDefault="00790961" w:rsidP="00BD0308">
      <w:pPr>
        <w:rPr>
          <w:lang w:val="en-US"/>
        </w:rPr>
      </w:pPr>
      <w:r>
        <w:rPr>
          <w:rStyle w:val="FootnoteReference"/>
        </w:rPr>
        <w:fldChar w:fldCharType="begin" w:fldLock="1"/>
      </w:r>
      <w:r w:rsidRPr="00790961">
        <w:rPr>
          <w:lang w:val="en-US"/>
        </w:rPr>
        <w:instrText>ADDIN CSL_CITATION {"citationItems":[{"id":"ITEM-1","itemData":{"DOI":"10.1109/MTS.2017.2728780","ISSN":"1937416X","abstract":"© 1982-2012 IEEE. Communities and societies are known to achieve key benefits, such as trade growth, risk mitigation and resource sustainability [1], by following and observing conventionally-agreed and mutable rules (e.g., norms and laws). We focus on \"democratic\" societies-where citizens can contribute to changes in these governing regulations (directly or indirectly), which then apply equally to all [2] , [3]. However, the unrestricted self-interested, or power-seeking behavior of some members may progressively deform such society; for example the iron law of oligarchy [4] . Consequently, scholars of socio-political sciences have identified \" defense mechanisms\" that help protect societies against such phenomena [3], [5] . These include comprehensible 1 transparency, responsible engagement, and the perceptible impact of pro-social contributions.","author":[{"dropping-particle":"","family":"Diaconescu","given":"Ada","non-dropping-particle":"","parse-names":false,"suffix":""},{"dropping-particle":"","family":"Pitt","given":"Jeremy","non-dropping-particle":"","parse-names":false,"suffix":""}],"container-title":"IEEE Technology and Society Magazine","id":"ITEM-1","issue":"3","issued":{"date-parts":[["2017","9"]]},"page":"63-71","title":"Technological Impacts in Socio-Technical Communities: Values and Pathologies","type":"article-journal","volume":"36"},"uris":["http://www.mendeley.com/documents/?uuid=e29a35f1-e38a-3856-8c49-e4e456fec9b7"]}],"mendeley":{"formattedCitation":"(Diaconescu &amp; Pitt, 2017)","plainTextFormattedCitation":"(Diaconescu &amp; Pitt, 2017)","previouslyFormattedCitation":"(Diaconescu &amp; Pitt, 2017)"},"properties":{"noteIndex":0},"schema":"https://github.com/citation-style-language/schema/raw/master/csl-citation.json"}</w:instrText>
      </w:r>
      <w:r>
        <w:rPr>
          <w:rStyle w:val="FootnoteReference"/>
        </w:rPr>
        <w:fldChar w:fldCharType="separate"/>
      </w:r>
      <w:r w:rsidRPr="00790961">
        <w:rPr>
          <w:bCs/>
          <w:noProof/>
          <w:lang w:val="en-US"/>
        </w:rPr>
        <w:t>(Diaconescu &amp; Pitt, 2017)</w:t>
      </w:r>
      <w:r>
        <w:rPr>
          <w:rStyle w:val="FootnoteReference"/>
        </w:rPr>
        <w:fldChar w:fldCharType="end"/>
      </w:r>
    </w:p>
    <w:p w14:paraId="5FBD01D5" w14:textId="20BFE0BF" w:rsidR="00841F49" w:rsidRPr="00790961" w:rsidRDefault="00790961" w:rsidP="00BD0308">
      <w:pPr>
        <w:rPr>
          <w:lang w:val="en-US"/>
        </w:rPr>
      </w:pPr>
      <w:r>
        <w:rPr>
          <w:rStyle w:val="FootnoteReference"/>
          <w:lang w:val="en-GB"/>
        </w:rPr>
        <w:fldChar w:fldCharType="begin" w:fldLock="1"/>
      </w:r>
      <w:r>
        <w:rPr>
          <w:lang w:val="en-GB"/>
        </w:rPr>
        <w:instrText>ADDIN CSL_CITATION {"citationItems":[{"id":"ITEM-1","itemData":{"DOI":"10.1080/1369118X.2014.979216","ISSN":"14684462","abstract":"This article examines critically the claims that digital networks (digital media infrastructures, especially social media platforms) fundamentally change the conditions of politics over the longer term. Without doubt digital networks enable faster political mobilization, accelerated cycles of action, and some new forms of collectivity, but how consequential is this in the longer term when set alongside other longer term consequences of a digitally saturated environment? The author argues that some leading accounts of digital media's contributions to political change operate with a thin account of the social, the sort of thin account that historically has been supplemented by media's mythical accounts over the past century of their role in supplying social knowledge. In the digital age, even the most detailed and rigorous accounts of digital networks' contributions to political action (Bennett &amp; Segerberg, 2012, 2013) fail to show that those networks also facilitate longer term political action that builds longer term political transformations: arguably, the resulting acceleration of action encourages short-term loyalties and less stability in political socialization. However, this limitation of existing accounts tends to be masked by a new myth for the age of digital networks: the myth of ?us?, which encourages us to believe that our gatherings on social media platforms are a natural form of expressive collectivity, even though it is exactly that belief that is at the basis of such platforms' creation of economic value. The article deconstructs that myth, as the starting point for more satisfactory future accounts of digital networks' possible contributions to political change.","author":[{"dropping-particle":"","family":"Couldry","given":"Nick","non-dropping-particle":"","parse-names":false,"suffix":""}],"container-title":"Information Communication and Society","id":"ITEM-1","issue":"6","issued":{"date-parts":[["2015","6","3"]]},"page":"608-626","title":"The myth of ‘us’: digital networks, political change and the production of collectivity","type":"article-journal","volume":"18"},"uris":["http://www.mendeley.com/documents/?uuid=f7528afd-38fd-39cb-a541-12ad81a72aa6"]}],"mendeley":{"formattedCitation":"(Couldry, 2015)","plainTextFormattedCitation":"(Couldry, 2015)","previouslyFormattedCitation":"(Couldry, 2015)"},"properties":{"noteIndex":0},"schema":"https://github.com/citation-style-language/schema/raw/master/csl-citation.json"}</w:instrText>
      </w:r>
      <w:r>
        <w:rPr>
          <w:rStyle w:val="FootnoteReference"/>
          <w:lang w:val="en-GB"/>
        </w:rPr>
        <w:fldChar w:fldCharType="separate"/>
      </w:r>
      <w:r w:rsidRPr="00790961">
        <w:rPr>
          <w:bCs/>
          <w:noProof/>
          <w:lang w:val="en-US"/>
        </w:rPr>
        <w:t>(Couldry, 2015)</w:t>
      </w:r>
      <w:r>
        <w:rPr>
          <w:rStyle w:val="FootnoteReference"/>
          <w:lang w:val="en-GB"/>
        </w:rPr>
        <w:fldChar w:fldCharType="end"/>
      </w:r>
    </w:p>
    <w:p w14:paraId="04767C8F" w14:textId="141204A2" w:rsidR="00841F49" w:rsidRPr="00790961" w:rsidRDefault="00790961" w:rsidP="00BD0308">
      <w:pPr>
        <w:rPr>
          <w:lang w:val="en-US"/>
        </w:rPr>
      </w:pPr>
      <w:r>
        <w:rPr>
          <w:rStyle w:val="FootnoteReference"/>
          <w:lang w:val="en-US"/>
        </w:rPr>
        <w:fldChar w:fldCharType="begin" w:fldLock="1"/>
      </w:r>
      <w:r>
        <w:rPr>
          <w:lang w:val="en-US"/>
        </w:rPr>
        <w:instrText>ADDIN CSL_CITATION {"citationItems":[{"id":"ITEM-1","itemData":{"DOI":"10.1109/MTS.2019.2894474","ISSN":"1937416X","abstract":"Recent advances in Artificial Intelligence (AI) have produced AI tools that help political campaigns to prevail in election cycles. There have been notable early successes for campaigns using this technology, particularly in 2016 for the Trump presidential campaign and, during the Brexit referendum, the U.K. Leave Campaign. Critiques of these pioneering tools argue that they have adopted unethical practices, and that monitoring the ethical use of such tools is too complex a task, particularly when tools are the intellectual property of private corporations. This article challenges that notion and proposes a way to engage in dialectics with advanced tools of AI in governance as they go about their tasks. The proposals presented here could help electorates around the world to build up observable integrity within their election cycles and thereby increase levels of trust in the societal institutions tasked with ensuring them free, fair, and open election conditions. © 2019 IEEE.","author":[{"dropping-particle":"","family":"Kane","given":"Thomas B.","non-dropping-particle":"","parse-names":false,"suffix":""}],"container-title":"IEEE Technology and Society Magazine","id":"ITEM-1","issue":"1","issued":{"date-parts":[["2019","3"]]},"page":"72-80","title":"Artificial intelligence in politics: Establishing ethics","type":"article-journal","volume":"38"},"uris":["http://www.mendeley.com/documents/?uuid=880f1422-25e8-3690-918b-a57f86c120a1"]}],"mendeley":{"formattedCitation":"(Kane, 2019)","plainTextFormattedCitation":"(Kane, 2019)","previouslyFormattedCitation":"(Kane, 2019)"},"properties":{"noteIndex":0},"schema":"https://github.com/citation-style-language/schema/raw/master/csl-citation.json"}</w:instrText>
      </w:r>
      <w:r>
        <w:rPr>
          <w:rStyle w:val="FootnoteReference"/>
          <w:lang w:val="en-US"/>
        </w:rPr>
        <w:fldChar w:fldCharType="separate"/>
      </w:r>
      <w:r w:rsidRPr="00790961">
        <w:rPr>
          <w:bCs/>
          <w:noProof/>
          <w:lang w:val="en-US"/>
        </w:rPr>
        <w:t>(Kane, 2019)</w:t>
      </w:r>
      <w:r>
        <w:rPr>
          <w:rStyle w:val="FootnoteReference"/>
          <w:lang w:val="en-US"/>
        </w:rPr>
        <w:fldChar w:fldCharType="end"/>
      </w:r>
    </w:p>
    <w:p w14:paraId="232DDDAF" w14:textId="3825266F" w:rsidR="00E17A4F" w:rsidRPr="00790961" w:rsidRDefault="00790961" w:rsidP="00BD0308">
      <w:pPr>
        <w:rPr>
          <w:lang w:val="en-US"/>
        </w:rPr>
      </w:pPr>
      <w:r>
        <w:rPr>
          <w:rStyle w:val="FootnoteReference"/>
          <w:lang w:val="en-US"/>
        </w:rPr>
        <w:fldChar w:fldCharType="begin" w:fldLock="1"/>
      </w:r>
      <w:r>
        <w:rPr>
          <w:lang w:val="en-US"/>
        </w:rPr>
        <w:instrText>ADDIN CSL_CITATION {"citationItems":[{"id":"ITEM-1","itemData":{"DOI":"10.1109/MTS.2019.2894471","ISSN":"1937416X","author":[{"dropping-particle":"","family":"Brasi","given":"Leandro","non-dropping-particle":"De","parse-names":false,"suffix":""}],"container-title":"IEEE Technology and Society Magazine","id":"ITEM-1","issue":"1","issued":{"date-parts":[["2019","3"]]},"page":"51-57","title":"Democratic governance of information technologies: The need for citizen competance","type":"article-journal","volume":"38"},"uris":["http://www.mendeley.com/documents/?uuid=d0f3565d-f871-392e-a1e3-c6b138f9e241"]}],"mendeley":{"formattedCitation":"(De Brasi, 2019)","plainTextFormattedCitation":"(De Brasi, 2019)","previouslyFormattedCitation":"(De Brasi, 2019)"},"properties":{"noteIndex":0},"schema":"https://github.com/citation-style-language/schema/raw/master/csl-citation.json"}</w:instrText>
      </w:r>
      <w:r>
        <w:rPr>
          <w:rStyle w:val="FootnoteReference"/>
          <w:lang w:val="en-US"/>
        </w:rPr>
        <w:fldChar w:fldCharType="separate"/>
      </w:r>
      <w:r w:rsidRPr="00790961">
        <w:rPr>
          <w:bCs/>
          <w:noProof/>
          <w:lang w:val="en-US"/>
        </w:rPr>
        <w:t>(De Brasi, 2019)</w:t>
      </w:r>
      <w:r>
        <w:rPr>
          <w:rStyle w:val="FootnoteReference"/>
          <w:lang w:val="en-US"/>
        </w:rPr>
        <w:fldChar w:fldCharType="end"/>
      </w:r>
    </w:p>
    <w:p w14:paraId="39A0BEAB" w14:textId="4E939634" w:rsidR="00841F49" w:rsidRDefault="00790961" w:rsidP="00BD0308">
      <w:r>
        <w:fldChar w:fldCharType="begin" w:fldLock="1"/>
      </w:r>
      <w:r>
        <w:rPr>
          <w:lang w:val="en-US"/>
        </w:rPr>
        <w:instrText>ADDIN CSL_CITATION {"citationItems":[{"id":"ITEM-1","itemData":{"DOI":"10.1080/1369118X.2016.1164741","ISSN":"14684462","abstract":"© 2016 Informa UK Limited, trading as Taylor &amp; Francis Group. We explore from a time-use perspective how private use of computers and the Internet [information and communications technologies (ICTs)] is transforming everyday life. Data from the Swedish 2010–2011 Time-Use Survey reflect a situation in which Internet use has spread widely and become routine for many. Using covariate analysis, we analyse differences in general time use between four groups of ICT users ranging from non-users to heavy users. The theoretical departure point is a nuanced discussion of the time-displacement concept. Results indicate that private time spent using ICTs is associated primarily with individuals’ available free time, that is, elastic relative to time for paid work (i.e. contracted time). Heavy ICT users spend more time on activities carried out alone, are more home centred, and less mobile. Heavy use is associated with somewhat less committed time spent, for example, on maintenance work or taking care of children. Regarding personal time, time for meals is negatively related to heavy use, while night-time sleep is unaffected. Concerning free time, heavy use takes time from sports and outdoor recreation, but has no effect on offline media use, entertainment and cultural activities, or reading. Heavy use does not affect time spent on social activities, for example, for social interaction with family and friends or time spent on voluntary associations. Observed differences become significant at certain thresholds of ICT-related time use, involving heavy users who spend one hour or more on computers and the Internet every day.","author":[{"dropping-particle":"","family":"Vilhelmson","given":"Bertil","non-dropping-particle":"","parse-names":false,"suffix":""},{"dropping-particle":"","family":"Thulin","given":"Eva","non-dropping-particle":"","parse-names":false,"suffix":""},{"dropping-particle":"","family":"Elldér","given":"Erik","non-dropping-particle":"","parse-names":false,"suffix":""}],"container-title":"Information Communication and Society","id":"ITEM-1","issue":"2","issued":{"date-parts":[["2017","2","27"]]},"page":"250-263","title":"Where does time spent on the Internet come from? Tracing the influence of information and communications technology use on daily activities","type":"article-journal","volume":"20"},"uris":["http://www.mendeley.com/documents/?uuid=c4f426ba-d1f4-3b9d-b220-3e9cb829f618"]}],"mendeley":{"formattedCitation":"(Vilhelmson, Thulin, &amp; Elldér, 2017)","plainTextFormattedCitation":"(Vilhelmson, Thulin, &amp; Elldér, 2017)","previouslyFormattedCitation":"(Vilhelmson, Thulin, &amp; Elldér, 2017)"},"properties":{"noteIndex":0},"schema":"https://github.com/citation-style-language/schema/raw/master/csl-citation.json"}</w:instrText>
      </w:r>
      <w:r>
        <w:fldChar w:fldCharType="separate"/>
      </w:r>
      <w:r w:rsidRPr="00790961">
        <w:rPr>
          <w:noProof/>
          <w:lang w:val="en-US"/>
        </w:rPr>
        <w:t>(Vilhelmson, Thulin, &amp; Elldér, 2017)</w:t>
      </w:r>
      <w:r>
        <w:fldChar w:fldCharType="end"/>
      </w:r>
    </w:p>
    <w:p w14:paraId="09AD9632" w14:textId="55F39F6B" w:rsidR="00790961" w:rsidRDefault="00790961" w:rsidP="00BD0308">
      <w:pPr>
        <w:rPr>
          <w:lang w:val="en-US"/>
        </w:rPr>
      </w:pPr>
      <w:r>
        <w:rPr>
          <w:lang w:val="en-US"/>
        </w:rPr>
        <w:fldChar w:fldCharType="begin" w:fldLock="1"/>
      </w:r>
      <w:r>
        <w:rPr>
          <w:lang w:val="en-US"/>
        </w:rPr>
        <w:instrText>ADDIN CSL_CITATION {"citationItems":[{"id":"ITEM-1","itemData":{"DOI":"10.1080/1369118x.2011.642890","ISSN":"1369-118X","abstract":"While feminist media scholars have recognized the growing importance of feminist blogs, such as Jezebel, Racialicious, and Feministe, to contemporary feminism, the contribution of girls to this feminist blogosphere remains understudied. In this paper, the author addresses this research gap by investigating the complex and diverse ways that girls are using blogging communities to participate in a feminist political activism that reflects their needs as contemporary young feminists within a neoliberal cultural context. This analysis draws upon two case studies of popular blogs by teenage feminists, and interviews that were conducted with four girl bloggers who participated in these two communities. The author argues that through the practice of blogging, teenage girls are actively reframing what it means to participate in feminist politics, drawing on opportunities that the Internet provides to embrace new understandings of community, activism, and even feminism itself. [ABSTRACT FROM AUTHOR] Copyright of Information, Communication &amp; Society is the property of Routledge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Abstracts.)","author":[{"dropping-particle":"","family":"Keller","given":"Jessalynn Marie","non-dropping-particle":"","parse-names":false,"suffix":""}],"container-title":"Information, Communication &amp; Society","id":"ITEM-1","issue":"3","issued":{"date-parts":[["2011","4"]]},"page":"429-447","title":"VIRTUAL FEMINISMS","type":"article-journal","volume":"15"},"uris":["http://www.mendeley.com/documents/?uuid=f343c596-fe66-3e80-b2d9-db4d8e378d3a"]}],"mendeley":{"formattedCitation":"(Keller, 2011)","plainTextFormattedCitation":"(Keller, 2011)","previouslyFormattedCitation":"(Keller, 2011)"},"properties":{"noteIndex":0},"schema":"https://github.com/citation-style-language/schema/raw/master/csl-citation.json"}</w:instrText>
      </w:r>
      <w:r>
        <w:rPr>
          <w:lang w:val="en-US"/>
        </w:rPr>
        <w:fldChar w:fldCharType="separate"/>
      </w:r>
      <w:r w:rsidRPr="00790961">
        <w:rPr>
          <w:noProof/>
          <w:lang w:val="en-US"/>
        </w:rPr>
        <w:t>(Keller, 2011)</w:t>
      </w:r>
      <w:r>
        <w:rPr>
          <w:lang w:val="en-US"/>
        </w:rPr>
        <w:fldChar w:fldCharType="end"/>
      </w:r>
    </w:p>
    <w:p w14:paraId="059B12EA" w14:textId="7AAC436E" w:rsidR="00790961" w:rsidRDefault="00790961" w:rsidP="00BD0308">
      <w:pPr>
        <w:rPr>
          <w:lang w:val="en-US"/>
        </w:rPr>
      </w:pPr>
      <w:r>
        <w:rPr>
          <w:lang w:val="en-US"/>
        </w:rPr>
        <w:fldChar w:fldCharType="begin" w:fldLock="1"/>
      </w:r>
      <w:r w:rsidR="00B412D2">
        <w:rPr>
          <w:lang w:val="en-US"/>
        </w:rPr>
        <w:instrText>ADDIN CSL_CITATION {"citationItems":[{"id":"ITEM-1","itemData":{"DOI":"10.1080/1369118X.2016.1146784","ISSN":"14684462","abstract":"ABSTRACTThis study explores Black British women's motivations for divulging racial and ethnic identity in the blogosphere (sometimes referred to as blogging while Black) and their use of blogs for discursive activism. It builds on previous research that gives voice to Black womens marginalized experiences through powerful counter narratives. The blogosphere is often perceived as a racially neutral space where shared interests across geographical and temporal boundaries limit the significance of racial and ethnic identity. However, the constructed narratives of Black British women in this study highlight their experiences of subtle forms of prejudice and discrimination perpetuated through dominant discourses in the mainstream media. The findings demonstrate how they use blogs as a medium for discursive activism to challenge stereotypical raced and gendered representation in the mainstream media. Much of the research on the blogosphere in Britain reflects its use by the White majority population. This study therefore extends understanding of the blogosphere and highlights alternative modes of political communication.","author":[{"dropping-particle":"","family":"Gabriel","given":"Deborah","non-dropping-particle":"","parse-names":false,"suffix":""}],"container-title":"Information Communication and Society","id":"ITEM-1","issue":"11","issued":{"date-parts":[["2016","11","18"]]},"page":"1622-1635","title":"Blogging while Black, British and female: a critical study on discursive activism","type":"article-journal","volume":"19"},"uris":["http://www.mendeley.com/documents/?uuid=24b93af3-3981-3b39-80d1-8646c38d858f"]}],"mendeley":{"formattedCitation":"(Gabriel, 2016)","plainTextFormattedCitation":"(Gabriel, 2016)","previouslyFormattedCitation":"(Gabriel, 2016)"},"properties":{"noteIndex":0},"schema":"https://github.com/citation-style-language/schema/raw/master/csl-citation.json"}</w:instrText>
      </w:r>
      <w:r>
        <w:rPr>
          <w:lang w:val="en-US"/>
        </w:rPr>
        <w:fldChar w:fldCharType="separate"/>
      </w:r>
      <w:r w:rsidRPr="00790961">
        <w:rPr>
          <w:noProof/>
          <w:lang w:val="en-US"/>
        </w:rPr>
        <w:t>(Gabriel, 2016)</w:t>
      </w:r>
      <w:r>
        <w:rPr>
          <w:lang w:val="en-US"/>
        </w:rPr>
        <w:fldChar w:fldCharType="end"/>
      </w:r>
    </w:p>
    <w:p w14:paraId="309FFA99" w14:textId="50DDE9C9" w:rsidR="00FB708E" w:rsidRDefault="00217986" w:rsidP="00BD0308">
      <w:pPr>
        <w:rPr>
          <w:lang w:val="en-US"/>
        </w:rPr>
      </w:pPr>
      <w:r>
        <w:rPr>
          <w:lang w:val="en-US"/>
        </w:rPr>
        <w:fldChar w:fldCharType="begin" w:fldLock="1"/>
      </w:r>
      <w:r w:rsidR="00BD0308">
        <w:rPr>
          <w:lang w:val="en-US"/>
        </w:rPr>
        <w:instrText>ADDIN CSL_CITATION {"citationItems":[{"id":"ITEM-1","itemData":{"DOI":"10.1016/J.TECHSOC.2011.12.004","ISSN":"0160-791X","abstract":"The purpose of this study is to explore the role that the possession of the mobile phone plays in the organization of the relational sphere at a social level, in different geographical settings. The research questions were: is the possession of a mobile phone more connected to urban or to rural life, and does the possession of a mobile phone influence differently the organization of the social sphere in rural and urban settings? Data on the possession of mobile phones, the frequency of forms of communicative sociability, and various socio-demographic variables were collected by means of a phone survey in 2009. The sample is representative of the population in the five most populous and industrialized European countries: Italy, France, UK, Germany and Spain (N = 7255). The study shows that there is not a dichotomy between rural towns and urban territories regarding the possession of mobile phones. In addition, the study shows that the mobile phone is significantly related to the majority of forms of sociability, especially to those forms such as going out to restaurants, cinemas, and theatres, and visiting friends or inviting them to one’s own home. However, visiting relatives or inviting them to one’s home is not related, and participation in civil society activities is not connected to the possession of mobile phones.","author":[{"dropping-particle":"","family":"Fortunati","given":"Leopoldina","non-dropping-particle":"","parse-names":false,"suffix":""},{"dropping-particle":"","family":"Taipale","given":"Sakari","non-dropping-particle":"","parse-names":false,"suffix":""}],"container-title":"Technology in Society","id":"ITEM-1","issue":"1","issued":{"date-parts":[["2012","2","1"]]},"page":"33-43","publisher":"Pergamon","title":"Organization of the social sphere and typology of the residential setting: How the adoption of the mobile phone affects sociability in rural and urban locations","type":"article-journal","volume":"34"},"uris":["http://www.mendeley.com/documents/?uuid=5426f9ed-455a-3762-870b-420baf77ab57"]}],"mendeley":{"formattedCitation":"(Fortunati &amp; Taipale, 2012)","plainTextFormattedCitation":"(Fortunati &amp; Taipale, 2012)","previouslyFormattedCitation":"(Fortunati &amp; Taipale, 2012)"},"properties":{"noteIndex":0},"schema":"https://github.com/citation-style-language/schema/raw/master/csl-citation.json"}</w:instrText>
      </w:r>
      <w:r>
        <w:rPr>
          <w:lang w:val="en-US"/>
        </w:rPr>
        <w:fldChar w:fldCharType="separate"/>
      </w:r>
      <w:r w:rsidRPr="00217986">
        <w:rPr>
          <w:noProof/>
          <w:lang w:val="en-US"/>
        </w:rPr>
        <w:t>(Fortunati &amp; Taipale, 2012)</w:t>
      </w:r>
      <w:r>
        <w:rPr>
          <w:lang w:val="en-US"/>
        </w:rPr>
        <w:fldChar w:fldCharType="end"/>
      </w:r>
    </w:p>
    <w:p w14:paraId="52618ED1" w14:textId="08BA6168" w:rsidR="00217986" w:rsidRDefault="00BD0308" w:rsidP="00BD0308">
      <w:pPr>
        <w:rPr>
          <w:lang w:val="en-US"/>
        </w:rPr>
      </w:pPr>
      <w:r>
        <w:rPr>
          <w:lang w:val="en-US"/>
        </w:rPr>
        <w:fldChar w:fldCharType="begin" w:fldLock="1"/>
      </w:r>
      <w:r>
        <w:rPr>
          <w:lang w:val="en-US"/>
        </w:rPr>
        <w:instrText>ADDIN CSL_CITATION {"citationItems":[{"id":"ITEM-1","itemData":{"DOI":"10.1016/j.techsoc.2012.10.003","ISSN":"0160791X","abstract":"This paper introduces a new conceptual framework for understanding people-environment transactions as they occur within the hybrid and polyfunctional settings (settings that incorporate both physical and digital elements) of the Twenty-First century. Four alternative modes of environmental experience with respect to individuals' connectedness to real (R) and virtual (V) settings, the focus of their identity, and satisfaction of socio-emotional needs are presented: Placeless, Place-Based, Place-Cyber Based, and Cyber-Based. Focusing on the Place-Cyber and Cyber-Based environmental orientations, new constructs for characterizing individuals' place-cyber and cyber-orientations are developed and key objective and subjective criteria are identified to distinguish between these two forms of virtual life. New questions for further investigation regarding the psychological and health consequences of alternative modes of virtual life are raised. © 2012.","author":[{"dropping-particle":"","family":"Misra","given":"Shalini","non-dropping-particle":"","parse-names":false,"suffix":""},{"dropping-particle":"","family":"Stokols","given":"Daniel","non-dropping-particle":"","parse-names":false,"suffix":""}],"container-title":"Technology in Society","id":"ITEM-1","issue":"4","issued":{"date-parts":[["2012","11","1"]]},"page":"311-325","publisher":"Pergamon","title":"A typology of people-environment relationships in the Digital Age","type":"article-journal","volume":"34"},"uris":["http://www.mendeley.com/documents/?uuid=698a778b-703a-3ce3-8580-6447c29703af"]}],"mendeley":{"formattedCitation":"(Misra &amp; Stokols, 2012)","plainTextFormattedCitation":"(Misra &amp; Stokols, 2012)","previouslyFormattedCitation":"(Misra &amp; Stokols, 2012)"},"properties":{"noteIndex":0},"schema":"https://github.com/citation-style-language/schema/raw/master/csl-citation.json"}</w:instrText>
      </w:r>
      <w:r>
        <w:rPr>
          <w:lang w:val="en-US"/>
        </w:rPr>
        <w:fldChar w:fldCharType="separate"/>
      </w:r>
      <w:r w:rsidRPr="00BD0308">
        <w:rPr>
          <w:noProof/>
          <w:lang w:val="en-US"/>
        </w:rPr>
        <w:t>(Misra &amp; Stokols, 2012)</w:t>
      </w:r>
      <w:r>
        <w:rPr>
          <w:lang w:val="en-US"/>
        </w:rPr>
        <w:fldChar w:fldCharType="end"/>
      </w:r>
    </w:p>
    <w:p w14:paraId="5A22FCD7" w14:textId="183071B4" w:rsidR="00BD0308" w:rsidRDefault="00BD0308" w:rsidP="00BD0308">
      <w:pPr>
        <w:rPr>
          <w:lang w:val="en-US"/>
        </w:rPr>
      </w:pPr>
      <w:r>
        <w:rPr>
          <w:lang w:val="en-US"/>
        </w:rPr>
        <w:fldChar w:fldCharType="begin" w:fldLock="1"/>
      </w:r>
      <w:r>
        <w:rPr>
          <w:lang w:val="en-US"/>
        </w:rPr>
        <w:instrText>ADDIN CSL_CITATION {"citationItems":[{"id":"ITEM-1","itemData":{"DOI":"10.1016/J.TECHSOC.2019.03.007","ISSN":"0160-791X","abstract":"One of the interesting questions in the field of social sciences is to explain why nations produce science advances and new technology that generate economic and social change. This paper endeavors to clarify some drivers of science and technology (S&amp;T) of nations. The thesis of this paper is that nations produce science advances and new technology to endorse a socio economic power and leadership directed to take advantage of important opportunities or to cope with environmental threats in competitive settings. In general, science advances and new technology are due to organized social and economic efforts of nations to achieve breakthroughs directed to support national interests of institutions and wellbeing of population. In particular, the production of science advances and new technology is driven by individuals, which have the natural tendency to seek out novelty and challenges, to explore, to learn and to achieve goals within efficient organizations in line with national interests. Preliminary empirical evidence here seems to support the factors underlying motivations of nations to produce science advances and new technology in society. Overall, then this paper may form a ground work for development of more sophisticated studies and theoretical frameworks that explain the drivers of S&amp;T in society.","author":[{"dropping-particle":"","family":"Coccia","given":"Mario","non-dropping-particle":"","parse-names":false,"suffix":""}],"container-title":"Technology in Society","id":"ITEM-1","issued":{"date-parts":[["2019","4","4"]]},"publisher":"Pergamon","title":"Why do nations produce science advances and new technology?","type":"article-journal"},"uris":["http://www.mendeley.com/documents/?uuid=16341fe5-c6b1-38a4-b637-06c66761d488"]}],"mendeley":{"formattedCitation":"(Coccia, 2019)","plainTextFormattedCitation":"(Coccia, 2019)"},"properties":{"noteIndex":0},"schema":"https://github.com/citation-style-language/schema/raw/master/csl-citation.json"}</w:instrText>
      </w:r>
      <w:r>
        <w:rPr>
          <w:lang w:val="en-US"/>
        </w:rPr>
        <w:fldChar w:fldCharType="separate"/>
      </w:r>
      <w:r w:rsidRPr="00BD0308">
        <w:rPr>
          <w:noProof/>
          <w:lang w:val="en-US"/>
        </w:rPr>
        <w:t>(Coccia, 2019)</w:t>
      </w:r>
      <w:r>
        <w:rPr>
          <w:lang w:val="en-US"/>
        </w:rPr>
        <w:fldChar w:fldCharType="end"/>
      </w:r>
    </w:p>
    <w:p w14:paraId="1586C9FB" w14:textId="77777777" w:rsidR="00BD0308" w:rsidRPr="00841F49" w:rsidRDefault="00BD0308" w:rsidP="00BD0308">
      <w:pPr>
        <w:rPr>
          <w:lang w:val="en-US"/>
        </w:rPr>
      </w:pPr>
    </w:p>
    <w:p w14:paraId="0992D7C8" w14:textId="56C55646" w:rsidR="00841F49" w:rsidRPr="00841F49" w:rsidRDefault="00841F49" w:rsidP="00841F49">
      <w:pPr>
        <w:pStyle w:val="Heading2"/>
        <w:rPr>
          <w:lang w:val="en-US"/>
        </w:rPr>
      </w:pPr>
      <w:bookmarkStart w:id="4" w:name="_Toc9165871"/>
      <w:r>
        <w:t>Κοινότητες</w:t>
      </w:r>
      <w:r w:rsidRPr="00841F49">
        <w:rPr>
          <w:lang w:val="en-US"/>
        </w:rPr>
        <w:t xml:space="preserve"> / </w:t>
      </w:r>
      <w:r>
        <w:t>Γεωγραφία</w:t>
      </w:r>
      <w:bookmarkEnd w:id="4"/>
    </w:p>
    <w:p w14:paraId="6B8B8D19" w14:textId="330A4F66" w:rsidR="00841F49" w:rsidRDefault="00790961" w:rsidP="00841F49">
      <w:pPr>
        <w:rPr>
          <w:lang w:val="en-GB"/>
        </w:rPr>
      </w:pPr>
      <w:r>
        <w:rPr>
          <w:rStyle w:val="FootnoteReference"/>
          <w:lang w:val="en-GB"/>
        </w:rPr>
        <w:fldChar w:fldCharType="begin" w:fldLock="1"/>
      </w:r>
      <w:r>
        <w:rPr>
          <w:lang w:val="en-GB"/>
        </w:rPr>
        <w:instrText>ADDIN CSL_CITATION {"citationItems":[{"id":"ITEM-1","itemData":{"DOI":"10.1080/13691180500418402","ISSN":"1369118X","abstract":"Information and communication technologies (ICTs) have altered the form and structure of urban centres across the globe. Scholars suggest that hybrid spaces of electronic networks and urban sites herald the future of city planning, representing a fluidity of material place and cyberspace that transforms patterns of city life. This project examines the regenerative capabilities of ICTs in decaying urban neighbourhoods that link virtual networks of community participation and expression with the physical presence of community media centres. Using symbolic interactionism and qualitative interviews, this research suggests that inner-city residents find ICTs to be a key element in neighbourhood and community revitalization. Overall, this research considers the notion that ICTs are integral components of contemporary urban planning.","author":[{"dropping-particle":"","family":"Fernback","given":"Jan","non-dropping-particle":"","parse-names":false,"suffix":""}],"container-title":"Information Communication and Society","id":"ITEM-1","issue":"4","issued":{"date-parts":[["2005","12"]]},"page":"482-502","title":"Information technology, networks and community voices","type":"article","volume":"8"},"uris":["http://www.mendeley.com/documents/?uuid=85cbbcae-0577-38ad-b233-9fc30ab3e4ed"]}],"mendeley":{"formattedCitation":"(Fernback, 2005)","plainTextFormattedCitation":"(Fernback, 2005)","previouslyFormattedCitation":"(Fernback, 2005)"},"properties":{"noteIndex":0},"schema":"https://github.com/citation-style-language/schema/raw/master/csl-citation.json"}</w:instrText>
      </w:r>
      <w:r>
        <w:rPr>
          <w:rStyle w:val="FootnoteReference"/>
          <w:lang w:val="en-GB"/>
        </w:rPr>
        <w:fldChar w:fldCharType="separate"/>
      </w:r>
      <w:r w:rsidRPr="00790961">
        <w:rPr>
          <w:noProof/>
          <w:lang w:val="en-GB"/>
        </w:rPr>
        <w:t>(Fernback, 2005)</w:t>
      </w:r>
      <w:r>
        <w:rPr>
          <w:rStyle w:val="FootnoteReference"/>
          <w:lang w:val="en-GB"/>
        </w:rPr>
        <w:fldChar w:fldCharType="end"/>
      </w:r>
    </w:p>
    <w:p w14:paraId="2773D183" w14:textId="2D4F9299" w:rsidR="00841F49" w:rsidRDefault="00790961" w:rsidP="00841F49">
      <w:pPr>
        <w:rPr>
          <w:lang w:val="en-GB"/>
        </w:rPr>
      </w:pPr>
      <w:r>
        <w:rPr>
          <w:rStyle w:val="FootnoteReference"/>
          <w:lang w:val="en-GB"/>
        </w:rPr>
        <w:lastRenderedPageBreak/>
        <w:fldChar w:fldCharType="begin" w:fldLock="1"/>
      </w:r>
      <w:r>
        <w:rPr>
          <w:lang w:val="en-GB"/>
        </w:rPr>
        <w:instrText>ADDIN CSL_CITATION {"citationItems":[{"id":"ITEM-1","itemData":{"DOI":"10.1080/13691180500146185","ISSN":"1369118X","abstract":"This paper explores the impact of communication media and the Internet on connectivity between people. Results from a series of social network studies of media use are used as background for exploration of these impacts. These studies explored the use of all available media among members of an academic research group and among distance learners. Asking about media use as well as about the strength of the tie between communicating pairs revealed that those more strongly tied used more media to communicate than weak ties, and that media use within groups conformed to a unidimensional scale, showing a configuration of different tiers of media use supporting social networks of different ties strengths. These results lead to a number of implications regarding media and Internet connectivity, including: how media use can be added to characteristics of social network ties; how introducing a medium can create latent tie connectivity among group members that provides the technical means for activating weak ties, and also how a change in a medium can disrupt existing weak tie networks; how the tiers of media use also suggest that certain media support different kinds of information flow; and the importance of organization-level decisions about what media to provide and promote. The paper concludes with a discussion of implications for Internet effects.","author":[{"dropping-particle":"","family":"Haythornthwaite","given":"Caroline","non-dropping-particle":"","parse-names":false,"suffix":""}],"container-title":"Information Communication and Society","id":"ITEM-1","issue":"2","issued":{"date-parts":[["2005","6"]]},"page":"125-147","title":"Social networks and internet connectivity effects","type":"article","volume":"8"},"uris":["http://www.mendeley.com/documents/?uuid=ca737d7e-0d84-344f-a80b-9f1f5685e81f"]}],"mendeley":{"formattedCitation":"(Haythornthwaite, 2005)","plainTextFormattedCitation":"(Haythornthwaite, 2005)","previouslyFormattedCitation":"(Haythornthwaite, 2005)"},"properties":{"noteIndex":0},"schema":"https://github.com/citation-style-language/schema/raw/master/csl-citation.json"}</w:instrText>
      </w:r>
      <w:r>
        <w:rPr>
          <w:rStyle w:val="FootnoteReference"/>
          <w:lang w:val="en-GB"/>
        </w:rPr>
        <w:fldChar w:fldCharType="separate"/>
      </w:r>
      <w:r w:rsidRPr="00790961">
        <w:rPr>
          <w:noProof/>
          <w:lang w:val="en-GB"/>
        </w:rPr>
        <w:t>(Haythornthwaite, 2005)</w:t>
      </w:r>
      <w:r>
        <w:rPr>
          <w:rStyle w:val="FootnoteReference"/>
          <w:lang w:val="en-GB"/>
        </w:rPr>
        <w:fldChar w:fldCharType="end"/>
      </w:r>
    </w:p>
    <w:p w14:paraId="6021D1EF" w14:textId="3D291312" w:rsidR="00841F49" w:rsidRDefault="00790961" w:rsidP="00841F49">
      <w:pPr>
        <w:rPr>
          <w:lang w:val="en-GB"/>
        </w:rPr>
      </w:pPr>
      <w:r>
        <w:rPr>
          <w:rStyle w:val="FootnoteReference"/>
          <w:lang w:val="en-GB"/>
        </w:rPr>
        <w:fldChar w:fldCharType="begin" w:fldLock="1"/>
      </w:r>
      <w:r>
        <w:rPr>
          <w:lang w:val="en-GB"/>
        </w:rPr>
        <w:instrText>ADDIN CSL_CITATION {"citationItems":[{"id":"ITEM-1","itemData":{"DOI":"10.1080/1369118X.2016.1243142","ISSN":"14684462","abstract":"ABSTRACTSmartphone use is transforming the meaning of being online, especially for African-Americans and Latinos. To what extent has this enabled these populations to become digital citizens, able to participate in society online? Internet use is increasingly important for the exercise of the political, economic and social rights that have often been associated with citizenship [Mossberger, K., Tolbert, C. J., &amp; McNeal, R. S. (2008). Digital citizenship: The Internet, society, and participation. Cambridge, MA: MIT Press], and can be measured by the political and economic activities that individuals engage in online. Using unique survey data from a diverse city, we use multilevel analysis and interactions to examine relationships between forms of access and activities online in 2013, controlling for neighborhood context as well as individual characteristics. In contrast with prior work, we find that while broadband access is most strongly associated with political and economic activities online, that mobil...","author":[{"dropping-particle":"","family":"Mossberger","given":"Karen","non-dropping-particle":"","parse-names":false,"suffix":""},{"dropping-particle":"","family":"Tolbert","given":"Caroline J.","non-dropping-particle":"","parse-names":false,"suffix":""},{"dropping-particle":"","family":"Anderson","given":"Christopher","non-dropping-particle":"","parse-names":false,"suffix":""}],"container-title":"Information Communication and Society","id":"ITEM-1","issue":"10","issued":{"date-parts":[["2017","10","3"]]},"page":"1587-1606","title":"The mobile Internet and digital citizenship in African-American and Latino communities","type":"article-journal","volume":"20"},"uris":["http://www.mendeley.com/documents/?uuid=6c95643b-62bb-42f7-af01-366c844bd351"]}],"mendeley":{"formattedCitation":"(Mossberger, Tolbert, &amp; Anderson, 2017)","plainTextFormattedCitation":"(Mossberger, Tolbert, &amp; Anderson, 2017)","previouslyFormattedCitation":"(Mossberger, Tolbert, &amp; Anderson, 2017)"},"properties":{"noteIndex":0},"schema":"https://github.com/citation-style-language/schema/raw/master/csl-citation.json"}</w:instrText>
      </w:r>
      <w:r>
        <w:rPr>
          <w:rStyle w:val="FootnoteReference"/>
          <w:lang w:val="en-GB"/>
        </w:rPr>
        <w:fldChar w:fldCharType="separate"/>
      </w:r>
      <w:r w:rsidRPr="00790961">
        <w:rPr>
          <w:bCs/>
          <w:noProof/>
          <w:lang w:val="en-US"/>
        </w:rPr>
        <w:t>(Mossberger, Tolbert, &amp; Anderson, 2017)</w:t>
      </w:r>
      <w:r>
        <w:rPr>
          <w:rStyle w:val="FootnoteReference"/>
          <w:lang w:val="en-GB"/>
        </w:rPr>
        <w:fldChar w:fldCharType="end"/>
      </w:r>
    </w:p>
    <w:p w14:paraId="3DB9FC75" w14:textId="26A152A1" w:rsidR="006A42B5" w:rsidRDefault="00790961" w:rsidP="00841F49">
      <w:pPr>
        <w:rPr>
          <w:lang w:val="en-GB"/>
        </w:rPr>
      </w:pPr>
      <w:r>
        <w:rPr>
          <w:rStyle w:val="FootnoteReference"/>
          <w:lang w:val="en-GB"/>
        </w:rPr>
        <w:fldChar w:fldCharType="begin" w:fldLock="1"/>
      </w:r>
      <w:r>
        <w:rPr>
          <w:lang w:val="en-GB"/>
        </w:rPr>
        <w:instrText>ADDIN CSL_CITATION {"citationItems":[{"id":"ITEM-1","itemData":{"DOI":"10.1080/13691180903271572","ISSN":"1369118X","abstract":"Technologies such as the internet offer tremendous and potentially transformative possibilities for imagining and living with others. The possibility for new ways of being together raises the question of appropriate concepts, languages and theories to describe, analyse and engage with these social forms and practices. Network and community concepts and rhetoric are most commonly employed for this purpose, yet the differences between them and the rationale for their specific uses are unclear. In order to gain a more nuanced and informed picture, this paper attempts a very broad overview of the fields of network and community theory particularly in relation to technologically mediated social practices. The intent is to begin mapping the uses, limitations and strengths of community and network theory. In the process, the paper will bring to light some of the tensions, issues and concerns surrounding the analysis of technosociality.","author":[{"dropping-particle":"","family":"Willson","given":"Michele","non-dropping-particle":"","parse-names":false,"suffix":""}],"container-title":"Information Communication and Society","id":"ITEM-1","issue":"5","issued":{"date-parts":[["2010","8"]]},"page":"747-764","title":"Technology, networks and communities: An exploration of network and community theory and technosocial forms","type":"article-journal","volume":"13"},"uris":["http://www.mendeley.com/documents/?uuid=81182c2f-f8c4-3a7d-905c-3f91deeb9fcb"]}],"mendeley":{"formattedCitation":"(Willson, 2010)","plainTextFormattedCitation":"(Willson, 2010)","previouslyFormattedCitation":"(Willson, 2010)"},"properties":{"noteIndex":0},"schema":"https://github.com/citation-style-language/schema/raw/master/csl-citation.json"}</w:instrText>
      </w:r>
      <w:r>
        <w:rPr>
          <w:rStyle w:val="FootnoteReference"/>
          <w:lang w:val="en-GB"/>
        </w:rPr>
        <w:fldChar w:fldCharType="separate"/>
      </w:r>
      <w:r w:rsidRPr="00790961">
        <w:rPr>
          <w:bCs/>
          <w:noProof/>
          <w:lang w:val="en-US"/>
        </w:rPr>
        <w:t>(Willson, 2010)</w:t>
      </w:r>
      <w:r>
        <w:rPr>
          <w:rStyle w:val="FootnoteReference"/>
          <w:lang w:val="en-GB"/>
        </w:rPr>
        <w:fldChar w:fldCharType="end"/>
      </w:r>
    </w:p>
    <w:p w14:paraId="28314B7B" w14:textId="67037FCA" w:rsidR="006A42B5" w:rsidRDefault="00790961" w:rsidP="00841F49">
      <w:pPr>
        <w:rPr>
          <w:lang w:val="en-GB"/>
        </w:rPr>
      </w:pPr>
      <w:r>
        <w:rPr>
          <w:rStyle w:val="FootnoteReference"/>
          <w:lang w:val="en-GB"/>
        </w:rPr>
        <w:fldChar w:fldCharType="begin" w:fldLock="1"/>
      </w:r>
      <w:r>
        <w:rPr>
          <w:lang w:val="en-GB"/>
        </w:rPr>
        <w:instrText>ADDIN CSL_CITATION {"citationItems":[{"id":"ITEM-1","itemData":{"DOI":"10.1080/1369118X.2011.562218","ISSN":"1369118X","abstract":"Internet adoption has expanded rapidly in recent years and its use is been associated with the formation of social networks, the accumulation of social capital and a wage premium. Thus, lack of Internet access might reflect and even enlarge existing social inequalities. Considering the need for a better understanding of Internet inaccessibility, we investigated differences in access in relation to ethnicity. Presumably, in deeply divided societies, with a partial but significant overlap between ethnicity and the occupational structure, disadvantaged minorities lack digital access as they are concentrated in occupations that are not exposed to computers and the Internet. The hypotheses were tested with a representative sample of the Israeli population, a society deeply divided according to ethnic lines. Israeli Arabs proved less likely to have access to the Internet because they are concentrated in blue-collar occupations that do not involve work with computers and the Internet. Lack of exposure foments the development of negative attitudes to technology, which presumably deter them from adopting the Internet.","author":[{"dropping-particle":"","family":"Mesch","given":"Gustavo S.","non-dropping-particle":"","parse-names":false,"suffix":""},{"dropping-particle":"","family":"Talmud","given":"Ilan","non-dropping-particle":"","parse-names":false,"suffix":""}],"container-title":"Information Communication and Society","id":"ITEM-1","issue":"4","issued":{"date-parts":[["2011","6"]]},"page":"445-471","title":"Ethnic differences in internet access: The role of occupation and exposure","type":"article-journal","volume":"14"},"uris":["http://www.mendeley.com/documents/?uuid=90facb7f-8b22-354f-bdc1-4204c627deb6"]}],"mendeley":{"formattedCitation":"(Mesch &amp; Talmud, 2011)","plainTextFormattedCitation":"(Mesch &amp; Talmud, 2011)","previouslyFormattedCitation":"(Mesch &amp; Talmud, 2011)"},"properties":{"noteIndex":0},"schema":"https://github.com/citation-style-language/schema/raw/master/csl-citation.json"}</w:instrText>
      </w:r>
      <w:r>
        <w:rPr>
          <w:rStyle w:val="FootnoteReference"/>
          <w:lang w:val="en-GB"/>
        </w:rPr>
        <w:fldChar w:fldCharType="separate"/>
      </w:r>
      <w:r w:rsidRPr="00790961">
        <w:rPr>
          <w:bCs/>
          <w:noProof/>
          <w:lang w:val="en-US"/>
        </w:rPr>
        <w:t>(Mesch &amp; Talmud, 2011)</w:t>
      </w:r>
      <w:r>
        <w:rPr>
          <w:rStyle w:val="FootnoteReference"/>
          <w:lang w:val="en-GB"/>
        </w:rPr>
        <w:fldChar w:fldCharType="end"/>
      </w:r>
    </w:p>
    <w:p w14:paraId="3FA8AF2F" w14:textId="77777777" w:rsidR="004B1D85" w:rsidRPr="006A42B5" w:rsidRDefault="004B1D85" w:rsidP="00841F49">
      <w:pPr>
        <w:rPr>
          <w:lang w:val="en-US"/>
        </w:rPr>
      </w:pPr>
    </w:p>
    <w:p w14:paraId="11D77921" w14:textId="6125039B" w:rsidR="004B1D85" w:rsidRPr="00790961" w:rsidRDefault="006A42B5" w:rsidP="00841F49">
      <w:pPr>
        <w:pStyle w:val="Heading2"/>
        <w:rPr>
          <w:lang w:val="en-GB"/>
        </w:rPr>
      </w:pPr>
      <w:bookmarkStart w:id="5" w:name="_Toc9165872"/>
      <w:r>
        <w:rPr>
          <w:lang w:val="en-US"/>
        </w:rPr>
        <w:t>O</w:t>
      </w:r>
      <w:r w:rsidR="00B412D2">
        <w:t>ικονομια</w:t>
      </w:r>
      <w:r w:rsidRPr="00790961">
        <w:rPr>
          <w:lang w:val="en-GB"/>
        </w:rPr>
        <w:t xml:space="preserve"> </w:t>
      </w:r>
      <w:r>
        <w:t>και</w:t>
      </w:r>
      <w:r w:rsidRPr="00790961">
        <w:rPr>
          <w:lang w:val="en-GB"/>
        </w:rPr>
        <w:t xml:space="preserve"> </w:t>
      </w:r>
      <w:r w:rsidR="004B1D85">
        <w:t>Βιώσιμη</w:t>
      </w:r>
      <w:r w:rsidR="004B1D85" w:rsidRPr="00790961">
        <w:rPr>
          <w:lang w:val="en-GB"/>
        </w:rPr>
        <w:t xml:space="preserve"> </w:t>
      </w:r>
      <w:r w:rsidR="004B1D85">
        <w:t>ανάπτυξη</w:t>
      </w:r>
      <w:bookmarkEnd w:id="5"/>
    </w:p>
    <w:p w14:paraId="3E03FD84" w14:textId="1FBC6C98" w:rsidR="00374FF7" w:rsidRPr="00790961" w:rsidRDefault="00790961" w:rsidP="00841F49">
      <w:pPr>
        <w:rPr>
          <w:lang w:val="en-US"/>
        </w:rPr>
      </w:pPr>
      <w:r>
        <w:rPr>
          <w:rStyle w:val="FootnoteReference"/>
          <w:lang w:val="en-GB"/>
        </w:rPr>
        <w:fldChar w:fldCharType="begin" w:fldLock="1"/>
      </w:r>
      <w:r>
        <w:rPr>
          <w:lang w:val="en-GB"/>
        </w:rPr>
        <w:instrText>ADDIN CSL_CITATION {"citationItems":[{"id":"ITEM-1","itemData":{"DOI":"10.1016/J.TECHSOC.2005.10.011","ISSN":"0160-791X","abstract":"Although telecommunications networks are central to modern urban life, scholars and policymakers have largely ignored the relationship of sustainability to telecommunications. Telecommunications can affect sustainability as a result of the complex, indirect effects that changes in telecommunications systems have on mobility, land use, locational decisions and energy consumption. During the past quarter-century, the construction of new telecommunications networks for communications across national borders, within metropolitan neighborhoods, and inside buildings, has transformed the way in which we use information. This article explores ways in which telecommunications has allowed for great strides towards a more sustainable urban ecology by making buildings more efficient, shifting reliance from roads to fibers and transforming government, economic development, transportation and disaster preparedness.","author":[{"dropping-particle":"","family":"Moss","given":"Mitchell L.","non-dropping-particle":"","parse-names":false,"suffix":""},{"dropping-particle":"","family":"Kaufman","given":"Sarah M.","non-dropping-particle":"","parse-names":false,"suffix":""},{"dropping-particle":"","family":"Townsend","given":"Anthony M.","non-dropping-particle":"","parse-names":false,"suffix":""}],"container-title":"Technology in Society","id":"ITEM-1","issue":"1-2","issued":{"date-parts":[["2006","1","1"]]},"page":"235-244","publisher":"Pergamon","title":"The relationship of sustainability to telecommunications","type":"article-journal","volume":"28"},"uris":["http://www.mendeley.com/documents/?uuid=cd8c0a37-4af9-3b64-a807-e3cf153d4935"]}],"mendeley":{"formattedCitation":"(Moss, Kaufman, &amp; Townsend, 2006)","plainTextFormattedCitation":"(Moss, Kaufman, &amp; Townsend, 2006)","previouslyFormattedCitation":"(Moss, Kaufman, &amp; Townsend, 2006)"},"properties":{"noteIndex":0},"schema":"https://github.com/citation-style-language/schema/raw/master/csl-citation.json"}</w:instrText>
      </w:r>
      <w:r>
        <w:rPr>
          <w:rStyle w:val="FootnoteReference"/>
          <w:lang w:val="en-GB"/>
        </w:rPr>
        <w:fldChar w:fldCharType="separate"/>
      </w:r>
      <w:r w:rsidRPr="00790961">
        <w:rPr>
          <w:bCs/>
          <w:noProof/>
          <w:lang w:val="en-US"/>
        </w:rPr>
        <w:t>(Moss, Kaufman, &amp; Townsend, 2006)</w:t>
      </w:r>
      <w:r>
        <w:rPr>
          <w:rStyle w:val="FootnoteReference"/>
          <w:lang w:val="en-GB"/>
        </w:rPr>
        <w:fldChar w:fldCharType="end"/>
      </w:r>
    </w:p>
    <w:p w14:paraId="3A217570" w14:textId="35D52077" w:rsidR="00374FF7" w:rsidRDefault="00790961" w:rsidP="00841F49">
      <w:pPr>
        <w:rPr>
          <w:lang w:val="en-GB"/>
        </w:rPr>
      </w:pPr>
      <w:r>
        <w:rPr>
          <w:rStyle w:val="FootnoteReference"/>
          <w:lang w:val="en-GB"/>
        </w:rPr>
        <w:fldChar w:fldCharType="begin" w:fldLock="1"/>
      </w:r>
      <w:r>
        <w:rPr>
          <w:lang w:val="en-GB"/>
        </w:rPr>
        <w:instrText>ADDIN CSL_CITATION {"citationItems":[{"id":"ITEM-1","itemData":{"DOI":"10.1080/1369118X.2016.1140804","ISSN":"14684462","abstract":"ABSTRACT Following the increasing adoption of mobile communication, scholars have shown interest in the role of place on the structure of mobile social networks. The purpose of this study is to investigate the association between spatial distance and the closure and diversity of businesses mobile social networks. We used a database that aggregates actual mobile communication patterns of business users of a large Israeli cell phone company (n = 16,199). Our findings, among a large sample of businesses, provide support for the place and mobile communication perspective. The results reveal a negative association between spatial distance and mobile business communication networks. As spatial distance between business network members increases, business social ties through mobile communication decreases. Furthermore, the results also revealed a negative association between spatial distance and mobile network density. As the spatial distance between business users increases, the density of the mobile communication network diminishes. Physical proximity promotes the development of dense business networks. The implications of the findings are discussed.","author":[{"dropping-particle":"","family":"Arie","given":"Yossef","non-dropping-particle":"","parse-names":false,"suffix":""},{"dropping-particle":"","family":"Mesch","given":"Gustavo S.","non-dropping-particle":"","parse-names":false,"suffix":""}],"container-title":"Information Communication and Society","id":"ITEM-1","issue":"11","issued":{"date-parts":[["2016","11","10"]]},"page":"1572-1586","title":"Spatial distance and mobile business social network density","type":"article-journal","volume":"19"},"uris":["http://www.mendeley.com/documents/?uuid=24528522-53ec-3d78-bab2-516e9bc83074"]}],"mendeley":{"formattedCitation":"(Arie &amp; Mesch, 2016)","plainTextFormattedCitation":"(Arie &amp; Mesch, 2016)","previouslyFormattedCitation":"(Arie &amp; Mesch, 2016)"},"properties":{"noteIndex":0},"schema":"https://github.com/citation-style-language/schema/raw/master/csl-citation.json"}</w:instrText>
      </w:r>
      <w:r>
        <w:rPr>
          <w:rStyle w:val="FootnoteReference"/>
          <w:lang w:val="en-GB"/>
        </w:rPr>
        <w:fldChar w:fldCharType="separate"/>
      </w:r>
      <w:r w:rsidRPr="00790961">
        <w:rPr>
          <w:bCs/>
          <w:noProof/>
          <w:lang w:val="en-US"/>
        </w:rPr>
        <w:t>(Arie &amp; Mesch, 2016)</w:t>
      </w:r>
      <w:r>
        <w:rPr>
          <w:rStyle w:val="FootnoteReference"/>
          <w:lang w:val="en-GB"/>
        </w:rPr>
        <w:fldChar w:fldCharType="end"/>
      </w:r>
    </w:p>
    <w:p w14:paraId="640F874A" w14:textId="1ACBDF90" w:rsidR="006A42B5" w:rsidRDefault="00E91550" w:rsidP="00841F49">
      <w:pPr>
        <w:rPr>
          <w:lang w:val="en-GB"/>
        </w:rPr>
      </w:pPr>
      <w:r>
        <w:rPr>
          <w:lang w:val="en-GB"/>
        </w:rPr>
        <w:fldChar w:fldCharType="begin" w:fldLock="1"/>
      </w:r>
      <w:r>
        <w:rPr>
          <w:lang w:val="en-GB"/>
        </w:rPr>
        <w:instrText>ADDIN CSL_CITATION {"citationItems":[{"id":"ITEM-1","itemData":{"DOI":"10.1016/j.telpol.2013.12.003","ISSN":"03085961","abstract":"The sector of Information and Communication Technologies (ICT) is one of the key instruments for the development of an economy. The literature emphasizes its capacity for both increasing productivity and generating new sources of income and wealth (Colecchia &amp; Schreyer, 2002; Jorgenson &amp; Stiroh, 1999 among others). Traditionally studies on the ICT sector have focused on the analysis of its economic impact, but not on its capacity as a \"bridge\" for information and knowledge flows across the economic network. Following Burt's approach (1992) on structural holes, the organization of the economic network defines where and for whom new opportunities lie. The structural hole methodology allows to analyze the capacity of the ICT sector as an enabler of technological diffusion and innovation. The results show that the European ICT sector not only is important for its intermediary role in the flow of information across the economic network, but also for its low level of dependency on other sectors. © 2013 Elsevier Ltd.","author":[{"dropping-particle":"","family":"García-Muñiz","given":"Ana Salomé","non-dropping-particle":"","parse-names":false,"suffix":""},{"dropping-particle":"","family":"Vicente","given":"María Rosalía","non-dropping-particle":"","parse-names":false,"suffix":""}],"container-title":"Telecommunications Policy","id":"ITEM-1","issue":"4","issued":{"date-parts":[["2014"]]},"page":"360-370","title":"ICT technologies in Europe: A study of technological diffusion and economic growth under network theory","type":"article-journal","volume":"38"},"uris":["http://www.mendeley.com/documents/?uuid=5d59af60-bdcf-331f-97fa-bea15f0e7d75"]}],"mendeley":{"formattedCitation":"(García-Muñiz &amp; Vicente, 2014)","plainTextFormattedCitation":"(García-Muñiz &amp; Vicente, 2014)","previouslyFormattedCitation":"(García-Muñiz &amp; Vicente, 2014)"},"properties":{"noteIndex":0},"schema":"https://github.com/citation-style-language/schema/raw/master/csl-citation.json"}</w:instrText>
      </w:r>
      <w:r>
        <w:rPr>
          <w:lang w:val="en-GB"/>
        </w:rPr>
        <w:fldChar w:fldCharType="separate"/>
      </w:r>
      <w:r w:rsidRPr="00E91550">
        <w:rPr>
          <w:noProof/>
          <w:lang w:val="en-GB"/>
        </w:rPr>
        <w:t>(García-Muñiz &amp; Vicente, 2014)</w:t>
      </w:r>
      <w:r>
        <w:rPr>
          <w:lang w:val="en-GB"/>
        </w:rPr>
        <w:fldChar w:fldCharType="end"/>
      </w:r>
    </w:p>
    <w:p w14:paraId="60261EDC" w14:textId="4AB6FFC2" w:rsidR="00E91550" w:rsidRDefault="00E91550" w:rsidP="00841F49">
      <w:pPr>
        <w:rPr>
          <w:lang w:val="en-GB"/>
        </w:rPr>
      </w:pPr>
      <w:r>
        <w:rPr>
          <w:lang w:val="en-GB"/>
        </w:rPr>
        <w:fldChar w:fldCharType="begin" w:fldLock="1"/>
      </w:r>
      <w:r>
        <w:rPr>
          <w:lang w:val="en-GB"/>
        </w:rPr>
        <w:instrText>ADDIN CSL_CITATION {"citationItems":[{"id":"ITEM-1","itemData":{"DOI":"10.1016/j.telpol.2014.05.005","ISBN":"0308-5961","ISSN":"03085961","abstract":"This paper uses recent data on both broadband availability and adoption to empirically gauge the contribution of broadband to the economic growth of rural areas of the United States over the past decade. Availability data from the National Broadband Map aggregated to county level is used in conjunction with county-level adoption data from Federal Communication Commission. Economic variables of interest include median household income, number of firms with paid employees, total employed, percentage in poverty, and the percentage of employees classified as either creative class or non-farm proprietors. A propensity score matching technique (between a \"treated\" group associated with various broadband thresholds and a control group) is used to make preliminary causal statements regarding broadband and economic health. Growth rates between 2001 and 2010 for different economic measures are tested for statistical differences between the treated and non-treated groups, restricting the analysis to non-metropolitan counties. Results suggest that high levels of broadband adoption in rural areas positively (and potentially causally) impacted income growth between 2001 and 2010, and negatively influenced unemployment growth. Similarly, low levels of broadband adoption in rural areas lead to declines in the number of firms and total employment numbers in the county. Broadband availability measures (as opposed to adoption) demonstrate only limited impacts, suggesting that future broadband policies should be more demand-oriented.","author":[{"dropping-particle":"","family":"Whitacre","given":"Brian","non-dropping-particle":"","parse-names":false,"suffix":""},{"dropping-particle":"","family":"Gallardo","given":"Roberto","non-dropping-particle":"","parse-names":false,"suffix":""},{"dropping-particle":"","family":"Strover","given":"Sharon","non-dropping-particle":"","parse-names":false,"suffix":""}],"container-title":"Telecommunications Policy","id":"ITEM-1","issue":"11","issued":{"date-parts":[["2014"]]},"page":"1011-1023","title":"Broadbands contribution to economic growth in rural areas: Moving towards a causal relationship","type":"article-journal","volume":"38"},"uris":["http://www.mendeley.com/documents/?uuid=a433a70f-aa4e-3263-8962-6d1f06a7379f"]},{"id":"ITEM-2","itemData":{"DOI":"10.1007/s00168-014-0637-x","ISSN":"14320592","abstract":"In order to better understand the association between broadband and jobs/income in non-metropolitan counties, this study conducts spatial and first-differenced regressions using recent data from the Federal Communications Commission and the National Broadband Map. The relationships between broadband adoption/availability and jobs/income in rural areas are analyzed after controlling for a host of potentially influential variables such as age, race, educational attainment, transportation infrastructure, and the presence of natural amenities. Results from spatial error models using 2011 data provide evidence that high levels of broadband adoption in non-metro counties are positively related to the number of firms and total employees in those counties. The first-differenced regressions use data from 2008 and 2011 to suggest that increases in broadband adoption levels are associated with increases in median household income and the percentage of non-farm proprietors in non-metro counties. Interestingly, simply obtaining increases in broadband availability (not adoption) over this time has no statistical impact on either jobs or income.","author":[{"dropping-particle":"","family":"Whitacre","given":"Brian","non-dropping-particle":"","parse-names":false,"suffix":""},{"dropping-particle":"","family":"Gallardo","given":"Roberto","non-dropping-particle":"","parse-names":false,"suffix":""},{"dropping-particle":"","family":"Strover","given":"Sharon","non-dropping-particle":"","parse-names":false,"suffix":""}],"container-title":"Annals of Regional Science","id":"ITEM-2","issue":"3","issued":{"date-parts":[["2014"]]},"title":"Does rural broadband impact jobs and income? Evidence from spatial and first-differenced regressions","type":"article-journal","volume":"53"},"uris":["http://www.mendeley.com/documents/?uuid=ec7b593a-1d22-3dac-a02f-a42c3a1c6ad6"]}],"mendeley":{"formattedCitation":"(Whitacre, Gallardo, &amp; Strover, 2014a, 2014b)","plainTextFormattedCitation":"(Whitacre, Gallardo, &amp; Strover, 2014a, 2014b)","previouslyFormattedCitation":"(Whitacre, Gallardo, &amp; Strover, 2014a, 2014b)"},"properties":{"noteIndex":0},"schema":"https://github.com/citation-style-language/schema/raw/master/csl-citation.json"}</w:instrText>
      </w:r>
      <w:r>
        <w:rPr>
          <w:lang w:val="en-GB"/>
        </w:rPr>
        <w:fldChar w:fldCharType="separate"/>
      </w:r>
      <w:r w:rsidRPr="00E91550">
        <w:rPr>
          <w:noProof/>
          <w:lang w:val="en-GB"/>
        </w:rPr>
        <w:t>(Whitacre, Gallardo, &amp; Strover, 2014a, 2014b)</w:t>
      </w:r>
      <w:r>
        <w:rPr>
          <w:lang w:val="en-GB"/>
        </w:rPr>
        <w:fldChar w:fldCharType="end"/>
      </w:r>
    </w:p>
    <w:p w14:paraId="549F02A8" w14:textId="7F28097F" w:rsidR="00E91550" w:rsidRDefault="00E91550" w:rsidP="00841F49">
      <w:pPr>
        <w:rPr>
          <w:lang w:val="en-GB"/>
        </w:rPr>
      </w:pPr>
      <w:r>
        <w:rPr>
          <w:lang w:val="en-GB"/>
        </w:rPr>
        <w:fldChar w:fldCharType="begin" w:fldLock="1"/>
      </w:r>
      <w:r w:rsidR="00217986">
        <w:rPr>
          <w:lang w:val="en-GB"/>
        </w:rPr>
        <w:instrText>ADDIN CSL_CITATION {"citationItems":[{"id":"ITEM-1","itemData":{"DOI":"10.1016/J.INFOECOPOL.2008.12.001","ISSN":"0167-6245","abstract":"Information and Communication Technology (ICT) investments are the driving force behind the resurgence of growth in the developed countries during recent years. They are also the main reason for the increased growth rates of Total Factor Productivity (TFP). In this paper, we examine whether these relationship also hold for Greece. We use a neoclassical growth accounting model to identify the sources of growth and more specifically the role of ICT investments. We find that the contribution of ICT investments has increased during the period 1988–2003, but that this contribution is still lower than in the United States. During 1996–2003, ICT capital services contributed 0.75 to the total growth rate. We also examine the role of ICT investments at the industry level; we find that ICT investments have most benefited the Finance, Insurance, Real Estate and Business Services industries, and the Wholesale and Retail Trade industries. Finally, our results show that growth rates of TFP have also risen, a necessary condition to maintain the high growth rates of productivity in the future.","author":[{"dropping-particle":"","family":"Antonopoulos","given":"Christos","non-dropping-particle":"","parse-names":false,"suffix":""},{"dropping-particle":"","family":"Sakellaris","given":"Plutarchos","non-dropping-particle":"","parse-names":false,"suffix":""}],"container-title":"Information Economics and Policy","id":"ITEM-1","issue":"3","issued":{"date-parts":[["2009","8","1"]]},"page":"171-191","publisher":"North-Holland","title":"The contribution of Information and Communication Technology investments to Greek economic growth: An analytical growth accounting framework","type":"article-journal","volume":"21"},"uris":["http://www.mendeley.com/documents/?uuid=aa6b3256-ee0a-3bd8-9f24-5ad691286e79"]}],"mendeley":{"formattedCitation":"(Antonopoulos &amp; Sakellaris, 2009)","plainTextFormattedCitation":"(Antonopoulos &amp; Sakellaris, 2009)","previouslyFormattedCitation":"(Antonopoulos &amp; Sakellaris, 2009)"},"properties":{"noteIndex":0},"schema":"https://github.com/citation-style-language/schema/raw/master/csl-citation.json"}</w:instrText>
      </w:r>
      <w:r>
        <w:rPr>
          <w:lang w:val="en-GB"/>
        </w:rPr>
        <w:fldChar w:fldCharType="separate"/>
      </w:r>
      <w:r w:rsidRPr="00E91550">
        <w:rPr>
          <w:noProof/>
          <w:lang w:val="en-GB"/>
        </w:rPr>
        <w:t>(Antonopoulos &amp; Sakellaris, 2009)</w:t>
      </w:r>
      <w:r>
        <w:rPr>
          <w:lang w:val="en-GB"/>
        </w:rPr>
        <w:fldChar w:fldCharType="end"/>
      </w:r>
    </w:p>
    <w:p w14:paraId="7485858B" w14:textId="5FA20802" w:rsidR="00217986" w:rsidRDefault="00217986" w:rsidP="00841F49">
      <w:pPr>
        <w:rPr>
          <w:lang w:val="en-GB"/>
        </w:rPr>
      </w:pPr>
      <w:r>
        <w:rPr>
          <w:lang w:val="en-GB"/>
        </w:rPr>
        <w:fldChar w:fldCharType="begin" w:fldLock="1"/>
      </w:r>
      <w:r>
        <w:rPr>
          <w:lang w:val="en-GB"/>
        </w:rPr>
        <w:instrText>ADDIN CSL_CITATION {"citationItems":[{"id":"ITEM-1","itemData":{"DOI":"10.1016/J.TECHSOC.2007.08.004","ISSN":"0160-791X","abstract":"We evaluated the broadband deployment strategy of incumbent firms in the local exchange sector of the US telecommunications industry (1994–1998), each of which must devise strategies for dealing with new firms entering their markets. We found that incumbents consistently under-invested in fiber optics that would have enabled them to upgrade their broadband infrastructure in the face of competitive entrants. Contrary to theories of entry deterrence, this behavior did not signal accommodation by monopolistic incumbents. Rather, it was consistent with an entrapment strategy: when a new firm entered and invested in capacity, the incumbents used their monopoly power to deny access or to provide poor-quality access, thereby making the competitors’ product quality worse than the incumbent's, leading to customer dissatisfaction and revenue losses that could eventually weaken the rival. Yet, such a strategy was dysfunctional. A strategy of investment would have been best for the incumbents since the gains from triggering network externalities would have been substantial. As new competitors entered the incumbents’ markets, the best strategy for the incumbents would have been to reciprocate positively, invest in fiber capacity, and then play tit for tat. If the incumbents had invested in broadband and even more competitive entrants followed, which in turn caused greater broadband investment, and so on, the wiring of the entire United States by new entrants and incumbents with broadband technology would today be complete.","author":[{"dropping-particle":"","family":"Majumdar","given":"Sumit K.","non-dropping-particle":"","parse-names":false,"suffix":""},{"dropping-particle":"","family":"Mishra","given":"Birendra","non-dropping-particle":"","parse-names":false,"suffix":""},{"dropping-particle":"","family":"Chang","given":"Hsihui","non-dropping-particle":"","parse-names":false,"suffix":""}],"container-title":"Technology in Society","id":"ITEM-1","issue":"4","issued":{"date-parts":[["2007","11","1"]]},"page":"422-430","publisher":"Pergamon","title":"Technology investment strategy in the presence of competitor entry: Broadband deployment in the US telecommunications industry","type":"article-journal","volume":"29"},"uris":["http://www.mendeley.com/documents/?uuid=d9f4371e-b897-3998-ac33-559e6b5384d7"]}],"mendeley":{"formattedCitation":"(Majumdar, Mishra, &amp; Chang, 2007)","plainTextFormattedCitation":"(Majumdar, Mishra, &amp; Chang, 2007)","previouslyFormattedCitation":"(Majumdar, Mishra, &amp; Chang, 2007)"},"properties":{"noteIndex":0},"schema":"https://github.com/citation-style-language/schema/raw/master/csl-citation.json"}</w:instrText>
      </w:r>
      <w:r>
        <w:rPr>
          <w:lang w:val="en-GB"/>
        </w:rPr>
        <w:fldChar w:fldCharType="separate"/>
      </w:r>
      <w:r w:rsidRPr="00217986">
        <w:rPr>
          <w:noProof/>
          <w:lang w:val="en-GB"/>
        </w:rPr>
        <w:t>(Majumdar, Mishra, &amp; Chang, 2007)</w:t>
      </w:r>
      <w:r>
        <w:rPr>
          <w:lang w:val="en-GB"/>
        </w:rPr>
        <w:fldChar w:fldCharType="end"/>
      </w:r>
    </w:p>
    <w:p w14:paraId="0C4A44E4" w14:textId="6215A887" w:rsidR="00217986" w:rsidRDefault="00217986" w:rsidP="00841F49">
      <w:pPr>
        <w:rPr>
          <w:lang w:val="en-GB"/>
        </w:rPr>
      </w:pPr>
      <w:r>
        <w:rPr>
          <w:lang w:val="en-GB"/>
        </w:rPr>
        <w:fldChar w:fldCharType="begin" w:fldLock="1"/>
      </w:r>
      <w:r>
        <w:rPr>
          <w:lang w:val="en-GB"/>
        </w:rPr>
        <w:instrText>ADDIN CSL_CITATION {"citationItems":[{"id":"ITEM-1","itemData":{"DOI":"10.1016/J.TECHSOC.2014.07.005","ISSN":"0160-791X","abstract":"This article examines the relationship between technology investment by firms and its outcomes, evaluating broadband diffusion in incumbent local exchange carriers' networks and its impact on the average real wage levels in incumbent firms. The analysis is based on, first, the evaluation of first-order statistical causality between wages and broadband levels, and second, on treatments effects modeling which considers the broadband deployment decision to be endogenous to the firm. Broadband is a general purpose technology, enhancing the dynamic capabilities of firms, and its diffusion is expected to positively impact average wages. Conversely, non-adopters, or those firms adopting lesser quantities of broadband, will find their average wages are being compressed. This technology wages impact is examined for United States telecommunications local exchange carriers. Using the extent of fiber adoption within firms as a measure of broadband deployment, broadband diffusion between the firms over time is found to have positively and significantly increased wage levels of firms in the sector. As broadband diffusion increases among the firms, the impact of such technology diffusion on impacting performance in the sector can be profound.","author":[{"dropping-particle":"","family":"Majumdar","given":"Sumit K.","non-dropping-particle":"","parse-names":false,"suffix":""}],"container-title":"Technology in Society","id":"ITEM-1","issued":{"date-parts":[["2014","11","1"]]},"page":"44-54","publisher":"Pergamon","title":"Technology and wages: Why firms invest and what happens","type":"article-journal","volume":"39"},"uris":["http://www.mendeley.com/documents/?uuid=c96272b3-66c2-3206-aa38-a3ae488a3ae4"]}],"mendeley":{"formattedCitation":"(Majumdar, 2014)","plainTextFormattedCitation":"(Majumdar, 2014)","previouslyFormattedCitation":"(Majumdar, 2014)"},"properties":{"noteIndex":0},"schema":"https://github.com/citation-style-language/schema/raw/master/csl-citation.json"}</w:instrText>
      </w:r>
      <w:r>
        <w:rPr>
          <w:lang w:val="en-GB"/>
        </w:rPr>
        <w:fldChar w:fldCharType="separate"/>
      </w:r>
      <w:r w:rsidRPr="00217986">
        <w:rPr>
          <w:noProof/>
          <w:lang w:val="en-GB"/>
        </w:rPr>
        <w:t>(Majumdar, 2014)</w:t>
      </w:r>
      <w:r>
        <w:rPr>
          <w:lang w:val="en-GB"/>
        </w:rPr>
        <w:fldChar w:fldCharType="end"/>
      </w:r>
    </w:p>
    <w:p w14:paraId="20248706" w14:textId="77777777" w:rsidR="006A42B5" w:rsidRPr="00790961" w:rsidRDefault="006A42B5" w:rsidP="00841F49">
      <w:pPr>
        <w:rPr>
          <w:lang w:val="en-US"/>
        </w:rPr>
      </w:pPr>
    </w:p>
    <w:p w14:paraId="194F5EFA" w14:textId="4234F99F" w:rsidR="004B1D85" w:rsidRPr="00790961" w:rsidRDefault="004B1D85" w:rsidP="00841F49">
      <w:pPr>
        <w:pStyle w:val="Heading2"/>
        <w:rPr>
          <w:lang w:val="en-US"/>
        </w:rPr>
      </w:pPr>
      <w:bookmarkStart w:id="6" w:name="_Toc9165873"/>
      <w:r>
        <w:t>Ψηφιακό</w:t>
      </w:r>
      <w:r w:rsidRPr="00790961">
        <w:rPr>
          <w:lang w:val="en-US"/>
        </w:rPr>
        <w:t xml:space="preserve"> </w:t>
      </w:r>
      <w:r>
        <w:t>χάσμα</w:t>
      </w:r>
      <w:r w:rsidR="006A42B5" w:rsidRPr="00790961">
        <w:rPr>
          <w:lang w:val="en-US"/>
        </w:rPr>
        <w:t xml:space="preserve"> - </w:t>
      </w:r>
      <w:r w:rsidR="006A42B5">
        <w:t>προσβαση</w:t>
      </w:r>
      <w:bookmarkEnd w:id="6"/>
    </w:p>
    <w:p w14:paraId="2869B8F9" w14:textId="3BB5FD48" w:rsidR="004B1D85" w:rsidRPr="00790961" w:rsidRDefault="00790961" w:rsidP="00841F49">
      <w:pPr>
        <w:rPr>
          <w:lang w:val="en-US"/>
        </w:rPr>
      </w:pPr>
      <w:r>
        <w:rPr>
          <w:rStyle w:val="FootnoteReference"/>
          <w:lang w:val="en-GB"/>
        </w:rPr>
        <w:fldChar w:fldCharType="begin" w:fldLock="1"/>
      </w:r>
      <w:r>
        <w:rPr>
          <w:lang w:val="en-GB"/>
        </w:rPr>
        <w:instrText>ADDIN CSL_CITATION {"citationItems":[{"id":"ITEM-1","itemData":{"DOI":"10.1016/J.TECHSOC.2018.06.001","ISSN":"0160-791X","abstract":"The facilitating conditions (FC) are one of the factors contemplated in the main theories that explain the use and acceptance of technology. For older adults, these FC can be implemented through digital literacy support (DLS) programs that promote the use of the Internet, reducing the obstacles derived from advanced age and the lack of resources. This research study, from the perspective of the studies on the digital divide, proposes to: (a) verify the relative effect of the socio-demographic factors on the different levels of access and use of the Internet by adults older than 55, and (b) verify the moderating ability of the DLS on these effects. For this, two studies were conducted using quota sampling of older adults who used both types of DLS. Using a structural equation methodology, the data showed that the socio-demographic factors were associated to the most basic levels of access and use of the Internet, and likewise, that the DLS could moderate the obstacles derived from age and socio-economic resources.","author":[{"dropping-particle":"","family":"Tirado-Morueta","given":"Ramón","non-dropping-particle":"","parse-names":false,"suffix":""},{"dropping-particle":"","family":"Aguaded-Gómez","given":"José Ignacio","non-dropping-particle":"","parse-names":false,"suffix":""},{"dropping-particle":"","family":"Hernando-Gómez","given":"Ángel","non-dropping-particle":"","parse-names":false,"suffix":""}],"container-title":"Technology in Society","id":"ITEM-1","issued":{"date-parts":[["2018","11","1"]]},"page":"47-55","publisher":"Pergamon","title":"The socio-demographic divide in Internet usage moderated by digital literacy support","type":"article-journal","volume":"55"},"uris":["http://www.mendeley.com/documents/?uuid=2ac90062-ff08-3b02-8400-bd31520c3d01"]}],"mendeley":{"formattedCitation":"(Tirado-Morueta, Aguaded-Gómez, &amp; Hernando-Gómez, 2018)","plainTextFormattedCitation":"(Tirado-Morueta, Aguaded-Gómez, &amp; Hernando-Gómez, 2018)","previouslyFormattedCitation":"(Tirado-Morueta, Aguaded-Gómez, &amp; Hernando-Gómez, 2018)"},"properties":{"noteIndex":0},"schema":"https://github.com/citation-style-language/schema/raw/master/csl-citation.json"}</w:instrText>
      </w:r>
      <w:r>
        <w:rPr>
          <w:rStyle w:val="FootnoteReference"/>
          <w:lang w:val="en-GB"/>
        </w:rPr>
        <w:fldChar w:fldCharType="separate"/>
      </w:r>
      <w:r w:rsidRPr="00790961">
        <w:rPr>
          <w:bCs/>
          <w:noProof/>
          <w:lang w:val="en-US"/>
        </w:rPr>
        <w:t>(Tirado-Morueta, Aguaded-Gómez, &amp; Hernando-Gómez, 2018)</w:t>
      </w:r>
      <w:r>
        <w:rPr>
          <w:rStyle w:val="FootnoteReference"/>
          <w:lang w:val="en-GB"/>
        </w:rPr>
        <w:fldChar w:fldCharType="end"/>
      </w:r>
    </w:p>
    <w:p w14:paraId="5F222299" w14:textId="2982AD52" w:rsidR="00841F49" w:rsidRDefault="00790961" w:rsidP="00841F49">
      <w:pPr>
        <w:rPr>
          <w:lang w:val="en-US"/>
        </w:rPr>
      </w:pPr>
      <w:r>
        <w:rPr>
          <w:rStyle w:val="FootnoteReference"/>
          <w:lang w:val="en-US"/>
        </w:rPr>
        <w:fldChar w:fldCharType="begin" w:fldLock="1"/>
      </w:r>
      <w:r>
        <w:rPr>
          <w:lang w:val="en-US"/>
        </w:rPr>
        <w:instrText>ADDIN CSL_CITATION {"citationItems":[{"id":"ITEM-1","itemData":{"DOI":"10.1080/1369118X.2015.1050438","ISSN":"14684462","abstract":"As US Internet penetration rates have climbed, digital divide researchers have largely shifted attention to differences in Internet skills. Interviews with 72 low-income US residents from both a large metropolitan city and a medium-sized Midwestern town, however, reveal that many people still struggle to maintain physical access, supporting technology maintenance theory. Technology maintenance theory argues that although most of the US poor now use digital technology, access is unstable and characterized by frequent periods of disconnection. As a result, low-income users must work to maintain access, often experiencing cycles of dependable instability. In these interviews, nearly all used the Internet, but technology maintenance practices were widespread, including negotiation of temporarily disconnected service, broken hardware, and logistic limitations on public access. As a result, participants had limited access to health information and employment, and biased attitudes toward technology. That is, in ...","author":[{"dropping-particle":"","family":"Gonzales","given":"Amy","non-dropping-particle":"","parse-names":false,"suffix":""}],"container-title":"Information Communication and Society","id":"ITEM-1","issue":"2","issued":{"date-parts":[["2016","2","2"]]},"page":"234-248","title":"The contemporary US digital divide: from initial access to technology maintenance","type":"article-journal","volume":"19"},"uris":["http://www.mendeley.com/documents/?uuid=7654f95d-25ba-386b-ac6f-e256ac6a1fd5"]}],"mendeley":{"formattedCitation":"(Gonzales, 2016)","plainTextFormattedCitation":"(Gonzales, 2016)","previouslyFormattedCitation":"(Gonzales, 2016)"},"properties":{"noteIndex":0},"schema":"https://github.com/citation-style-language/schema/raw/master/csl-citation.json"}</w:instrText>
      </w:r>
      <w:r>
        <w:rPr>
          <w:rStyle w:val="FootnoteReference"/>
          <w:lang w:val="en-US"/>
        </w:rPr>
        <w:fldChar w:fldCharType="separate"/>
      </w:r>
      <w:r w:rsidRPr="00790961">
        <w:rPr>
          <w:bCs/>
          <w:noProof/>
          <w:lang w:val="en-US"/>
        </w:rPr>
        <w:t>(Gonzales, 2016)</w:t>
      </w:r>
      <w:r>
        <w:rPr>
          <w:rStyle w:val="FootnoteReference"/>
          <w:lang w:val="en-US"/>
        </w:rPr>
        <w:fldChar w:fldCharType="end"/>
      </w:r>
    </w:p>
    <w:p w14:paraId="446983F5" w14:textId="5FD9D287" w:rsidR="006A42B5" w:rsidRDefault="00790961" w:rsidP="00841F49">
      <w:pPr>
        <w:rPr>
          <w:lang w:val="en-GB"/>
        </w:rPr>
      </w:pPr>
      <w:r>
        <w:rPr>
          <w:rStyle w:val="FootnoteReference"/>
          <w:lang w:val="en-GB"/>
        </w:rPr>
        <w:fldChar w:fldCharType="begin" w:fldLock="1"/>
      </w:r>
      <w:r>
        <w:rPr>
          <w:lang w:val="en-GB"/>
        </w:rPr>
        <w:instrText>ADDIN CSL_CITATION {"citationItems":[{"id":"ITEM-1","itemData":{"DOI":"10.1080/1369118X.2019.1606266","ISSN":"1369-118X","author":[{"dropping-particle":"","family":"Park","given":"Sora","non-dropping-particle":"","parse-names":false,"suffix":""},{"dropping-particle":"","family":"Humphry","given":"Justine","non-dropping-particle":"","parse-names":false,"suffix":""}],"container-title":"Information, Communication &amp; Society","id":"ITEM-1","issue":"7","issued":{"date-parts":[["2019","6","7"]]},"page":"934-953","title":"Exclusion by design: intersections of social, digital and data exclusion","type":"article-journal","volume":"22"},"uris":["http://www.mendeley.com/documents/?uuid=e8697be5-e1ea-3f34-a614-e095f4ac8f64"]}],"mendeley":{"formattedCitation":"(Park &amp; Humphry, 2019)","plainTextFormattedCitation":"(Park &amp; Humphry, 2019)","previouslyFormattedCitation":"(Park &amp; Humphry, 2019)"},"properties":{"noteIndex":0},"schema":"https://github.com/citation-style-language/schema/raw/master/csl-citation.json"}</w:instrText>
      </w:r>
      <w:r>
        <w:rPr>
          <w:rStyle w:val="FootnoteReference"/>
          <w:lang w:val="en-GB"/>
        </w:rPr>
        <w:fldChar w:fldCharType="separate"/>
      </w:r>
      <w:r w:rsidRPr="00790961">
        <w:rPr>
          <w:bCs/>
          <w:noProof/>
          <w:lang w:val="en-US"/>
        </w:rPr>
        <w:t>(Park &amp; Humphry, 2019)</w:t>
      </w:r>
      <w:r>
        <w:rPr>
          <w:rStyle w:val="FootnoteReference"/>
          <w:lang w:val="en-GB"/>
        </w:rPr>
        <w:fldChar w:fldCharType="end"/>
      </w:r>
    </w:p>
    <w:p w14:paraId="4C2708F1" w14:textId="00183AEC" w:rsidR="006A42B5" w:rsidRDefault="00790961" w:rsidP="00841F49">
      <w:pPr>
        <w:rPr>
          <w:lang w:val="en-GB"/>
        </w:rPr>
      </w:pPr>
      <w:r>
        <w:rPr>
          <w:rStyle w:val="FootnoteReference"/>
          <w:lang w:val="en-GB"/>
        </w:rPr>
        <w:fldChar w:fldCharType="begin" w:fldLock="1"/>
      </w:r>
      <w:r>
        <w:rPr>
          <w:lang w:val="en-GB"/>
        </w:rPr>
        <w:instrText>ADDIN CSL_CITATION {"citationItems":[{"id":"ITEM-1","itemData":{"DOI":"10.1080/1369118032000155285","ISSN":"1369-118X","abstract":"As part of their \"information age' policy agenda, the UK government sees \"universal' access to information and communications technology (ICT) being achieved via new and existing public sites, where shared access to new technologies can be made available at little or no cost. State-sponsored augmentation of public ICT access in the UK has involved a variety of initiatives, most notably the recent establishment of a network of over 7,000 \"UK Online Centres' located in a variety of distributed sites such as libraries, museums and colleges. Whilst there have been a number of localized case studies of users of public ICT sites, there has been little large-scale \"mapping' of how these facilities are being used (and not used) by the general public. Based on a randomized household survey with 1,001 individuals in twelve research areas in the West of England and South Wales - augmented with a \"booster' sample of 100 interviews with individuals carried out in public ICT sites in these areas - the present paper seeks to explore: (i) who has access to what forms of public ICT sites; and (ii) who is (and who is not) making use of different forms of public ICT sites. The survey data suggest that, in terms of people's effective access to ICT, public access sites have a relatively slight profile when compared with household and wider family access - perceived to offer ready access to ICT by only a minority of respondents. Moreover, when the use of these public ICT sites is examined, there is little evidence of public ICT sites attracting those social groups who may otherwise be excluded or marginalized from the information age. Given these findings, the paper considers the influences underlying the currently modest impact of public ICT sites on the general population and suggests changes to current public ICT provision that may prompt wider usage of these sites.","author":[{"dropping-particle":"","family":"Selwyn","given":"Neil","non-dropping-particle":"","parse-names":false,"suffix":""}],"container-title":"Information, Communication &amp; Society","id":"ITEM-1","issue":"3","issued":{"date-parts":[["2004","9"]]},"page":"350-375","publisher":"Routledge","title":"ICT for all? Access and use of Public ICT Sites in the UK","type":"article-journal","volume":"6"},"uris":["http://www.mendeley.com/documents/?uuid=c5819956-4958-39f6-83c3-05f734a47f11"]}],"mendeley":{"formattedCitation":"(Selwyn, 2004)","plainTextFormattedCitation":"(Selwyn, 2004)","previouslyFormattedCitation":"(Selwyn, 2004)"},"properties":{"noteIndex":0},"schema":"https://github.com/citation-style-language/schema/raw/master/csl-citation.json"}</w:instrText>
      </w:r>
      <w:r>
        <w:rPr>
          <w:rStyle w:val="FootnoteReference"/>
          <w:lang w:val="en-GB"/>
        </w:rPr>
        <w:fldChar w:fldCharType="separate"/>
      </w:r>
      <w:r w:rsidRPr="00790961">
        <w:rPr>
          <w:bCs/>
          <w:noProof/>
          <w:lang w:val="en-US"/>
        </w:rPr>
        <w:t>(Selwyn, 2004)</w:t>
      </w:r>
      <w:r>
        <w:rPr>
          <w:rStyle w:val="FootnoteReference"/>
          <w:lang w:val="en-GB"/>
        </w:rPr>
        <w:fldChar w:fldCharType="end"/>
      </w:r>
    </w:p>
    <w:p w14:paraId="51C5E198" w14:textId="567E986E" w:rsidR="00E17A4F" w:rsidRPr="006A42B5" w:rsidRDefault="00790961" w:rsidP="00841F49">
      <w:pPr>
        <w:rPr>
          <w:lang w:val="en-GB"/>
        </w:rPr>
      </w:pPr>
      <w:r>
        <w:rPr>
          <w:rStyle w:val="FootnoteReference"/>
          <w:lang w:val="en-GB"/>
        </w:rPr>
        <w:fldChar w:fldCharType="begin" w:fldLock="1"/>
      </w:r>
      <w:r>
        <w:rPr>
          <w:lang w:val="en-GB"/>
        </w:rPr>
        <w:instrText>ADDIN CSL_CITATION {"citationItems":[{"id":"ITEM-1","itemData":{"DOI":"10.1080/1369118X.2011.562223","ISSN":"1369118X","abstract":"A major concern about new technologies like information technology (IT) is how much they impact existing media and behaviour, particularly in reducing time on these behaviours. The present article first examines whether Internet users report spending less time on various leisure (and non-leisure) activities. It uses data from three separate national surveys about the public's leisure participation: (1) estimate data from the SPPA2008; (2) single-day diary data from the 2003-2007 American Time Use Survey; and (3) weekly diary data from the 2000 National Survey of Parents to examine whether users of IT participate less in various leisure activities, perhaps as a function of substituting IT use for participating more actively. First, the Survey of Public Participation in the Arts (SPPA) estimate data show that users and heavier IT users are also more active in a variety of other free time activities such as movies, volunteering and sports. Moreover, the relation continues to hold after education (the major predictor of leisure participation), income, age and other predictors of leisure activity are controlled. However, both daily and weekly diary data show far less if any difference, and the lack of parallel results from these diary studies raises questions about whether the SPPA correlations result from a 'response set' of respondents overestimating their activity participation. Nonetheless, there still seems no solid evidence that IT leads to notable decreases in social life, media use or other ways of spending both free time and non-leisure time, as claimed in three initial surveys.","author":[{"dropping-particle":"","family":"Robinson","given":"John P.","non-dropping-particle":"","parse-names":false,"suffix":""}],"container-title":"Information Communication and Society","id":"ITEM-1","issue":"4","issued":{"date-parts":[["2011","6"]]},"page":"495-509","title":"IT use and leisure time displacement convergent evidence over the last 15 years","type":"article-journal","volume":"14"},"uris":["http://www.mendeley.com/documents/?uuid=a0ed02b4-758b-3fc2-9834-c90c43875567"]}],"mendeley":{"formattedCitation":"(Robinson, 2011)","plainTextFormattedCitation":"(Robinson, 2011)","previouslyFormattedCitation":"(Robinson, 2011)"},"properties":{"noteIndex":0},"schema":"https://github.com/citation-style-language/schema/raw/master/csl-citation.json"}</w:instrText>
      </w:r>
      <w:r>
        <w:rPr>
          <w:rStyle w:val="FootnoteReference"/>
          <w:lang w:val="en-GB"/>
        </w:rPr>
        <w:fldChar w:fldCharType="separate"/>
      </w:r>
      <w:r w:rsidRPr="00790961">
        <w:rPr>
          <w:bCs/>
          <w:noProof/>
          <w:lang w:val="en-US"/>
        </w:rPr>
        <w:t>(Robinson, 2011)</w:t>
      </w:r>
      <w:r>
        <w:rPr>
          <w:rStyle w:val="FootnoteReference"/>
          <w:lang w:val="en-GB"/>
        </w:rPr>
        <w:fldChar w:fldCharType="end"/>
      </w:r>
    </w:p>
    <w:p w14:paraId="5508DB8E" w14:textId="77777777" w:rsidR="006A42B5" w:rsidRPr="00841F49" w:rsidRDefault="006A42B5" w:rsidP="00841F49">
      <w:pPr>
        <w:rPr>
          <w:lang w:val="en-US"/>
        </w:rPr>
      </w:pPr>
    </w:p>
    <w:p w14:paraId="04BAA5C0" w14:textId="35CEB90E" w:rsidR="00841F49" w:rsidRPr="00790961" w:rsidRDefault="00841F49" w:rsidP="00841F49">
      <w:pPr>
        <w:pStyle w:val="Heading2"/>
        <w:rPr>
          <w:lang w:val="en-US"/>
        </w:rPr>
      </w:pPr>
      <w:bookmarkStart w:id="7" w:name="_Toc9165874"/>
      <w:r>
        <w:t>Ουδετερότητα</w:t>
      </w:r>
      <w:r w:rsidRPr="00790961">
        <w:rPr>
          <w:lang w:val="en-US"/>
        </w:rPr>
        <w:t xml:space="preserve"> </w:t>
      </w:r>
      <w:r>
        <w:t>Διαδικτύου</w:t>
      </w:r>
      <w:bookmarkEnd w:id="7"/>
    </w:p>
    <w:p w14:paraId="569E1531" w14:textId="77777777" w:rsidR="00841F49" w:rsidRPr="00790961" w:rsidRDefault="00841F49" w:rsidP="00841F49">
      <w:pPr>
        <w:rPr>
          <w:lang w:val="en-US"/>
        </w:rPr>
      </w:pPr>
    </w:p>
    <w:p w14:paraId="40AF4B44" w14:textId="2626A32E" w:rsidR="00841F49" w:rsidRDefault="00E91550" w:rsidP="00841F49">
      <w:pPr>
        <w:rPr>
          <w:lang w:val="en-GB"/>
        </w:rPr>
      </w:pPr>
      <w:r>
        <w:rPr>
          <w:lang w:val="en-GB"/>
        </w:rPr>
        <w:fldChar w:fldCharType="begin" w:fldLock="1"/>
      </w:r>
      <w:r>
        <w:rPr>
          <w:lang w:val="en-GB"/>
        </w:rPr>
        <w:instrText>ADDIN CSL_CITATION {"citationItems":[{"id":"ITEM-1","itemData":{"DOI":"10.1016/j.telpol.2012.08.005","ISSN":"03085961","abstract":"This paper is intended as an introduction to the debate on net neutrality and as a progress report on the growing body of academic literature on this issue. Different non-net neutrality scenarios are discussed and structured along the two dimensions of network and pricing regime. With this approach, the consensus on the benefits of a deviation from the status quo as well as the concerns that are unique to certain non-net neutrality scenarios can be identified. Moreover, a framework for policy decisions is derived and it is discussed how the concept of neutrality extends to other parts of the Internet ecosystem. © 2012 Elsevier Ltd.","author":[{"dropping-particle":"","family":"Krämer","given":"Jan","non-dropping-particle":"","parse-names":false,"suffix":""},{"dropping-particle":"","family":"Wiewiorra","given":"Lukas","non-dropping-particle":"","parse-names":false,"suffix":""},{"dropping-particle":"","family":"Weinhardt","given":"Christof","non-dropping-particle":"","parse-names":false,"suffix":""}],"container-title":"Telecommunications Policy","id":"ITEM-1","issue":"9","issued":{"date-parts":[["2013"]]},"page":"794-813","title":"Net neutrality: A progress report","type":"article-journal","volume":"37"},"uris":["http://www.mendeley.com/documents/?uuid=b4635085-edc6-3e53-abb2-9a076185c77b"]}],"mendeley":{"formattedCitation":"(Krämer, Wiewiorra, &amp; Weinhardt, 2013)","plainTextFormattedCitation":"(Krämer, Wiewiorra, &amp; Weinhardt, 2013)","previouslyFormattedCitation":"(Krämer, Wiewiorra, &amp; Weinhardt, 2013)"},"properties":{"noteIndex":0},"schema":"https://github.com/citation-style-language/schema/raw/master/csl-citation.json"}</w:instrText>
      </w:r>
      <w:r>
        <w:rPr>
          <w:lang w:val="en-GB"/>
        </w:rPr>
        <w:fldChar w:fldCharType="separate"/>
      </w:r>
      <w:r w:rsidRPr="00E91550">
        <w:rPr>
          <w:noProof/>
          <w:lang w:val="en-GB"/>
        </w:rPr>
        <w:t>(Krämer, Wiewiorra, &amp; Weinhardt, 2013)</w:t>
      </w:r>
      <w:r>
        <w:rPr>
          <w:lang w:val="en-GB"/>
        </w:rPr>
        <w:fldChar w:fldCharType="end"/>
      </w:r>
    </w:p>
    <w:p w14:paraId="7D3E5A17" w14:textId="7BC9E809" w:rsidR="00E91550" w:rsidRDefault="00E91550" w:rsidP="00841F49">
      <w:pPr>
        <w:rPr>
          <w:lang w:val="en-GB"/>
        </w:rPr>
      </w:pPr>
      <w:r>
        <w:rPr>
          <w:lang w:val="en-GB"/>
        </w:rPr>
        <w:fldChar w:fldCharType="begin" w:fldLock="1"/>
      </w:r>
      <w:r>
        <w:rPr>
          <w:lang w:val="en-GB"/>
        </w:rPr>
        <w:instrText>ADDIN CSL_CITATION {"citationItems":[{"id":"ITEM-1","itemData":{"DOI":"10.1111/1756-2171.12001","ISSN":"07416261","abstract":"Under the current regime for Internet access, 'network neutrality,' parties are billed only by the Internet service provider (ISP) through which they connect to the Internet; pricing is not contingent on the content being transmitted. Recently, ISPs have proposed that content and applications providers pay them additional fees for accessing the ISPs' residential clients, as well as fees to prioritize certain content. We analyze the private and social implications of such fees when the network is congested and more traffic implies greater delays. We derive conditions under which network neutrality would be welfare superior to any feasible scheme for prioritizing service. [ABSTRACT FROM AUTHOR]","author":[{"dropping-particle":"","family":"Economides","given":"Nicholas","non-dropping-particle":"","parse-names":false,"suffix":""},{"dropping-particle":"","family":"Hermalin","given":"Benjamin E.","non-dropping-particle":"","parse-names":false,"suffix":""}],"container-title":"RAND Journal of Economics","id":"ITEM-1","issued":{"date-parts":[["2012"]]},"page":"602-629","title":"The economics of network neutrality","type":"article-journal","volume":"43"},"uris":["http://www.mendeley.com/documents/?uuid=caf7e5ba-529c-44a0-9628-f4955ec8b64c"]}],"mendeley":{"formattedCitation":"(Economides &amp; Hermalin, 2012)","plainTextFormattedCitation":"(Economides &amp; Hermalin, 2012)","previouslyFormattedCitation":"(Economides &amp; Hermalin, 2012)"},"properties":{"noteIndex":0},"schema":"https://github.com/citation-style-language/schema/raw/master/csl-citation.json"}</w:instrText>
      </w:r>
      <w:r>
        <w:rPr>
          <w:lang w:val="en-GB"/>
        </w:rPr>
        <w:fldChar w:fldCharType="separate"/>
      </w:r>
      <w:r w:rsidRPr="00E91550">
        <w:rPr>
          <w:noProof/>
          <w:lang w:val="en-GB"/>
        </w:rPr>
        <w:t>(Economides &amp; Hermalin, 2012)</w:t>
      </w:r>
      <w:r>
        <w:rPr>
          <w:lang w:val="en-GB"/>
        </w:rPr>
        <w:fldChar w:fldCharType="end"/>
      </w:r>
    </w:p>
    <w:p w14:paraId="05FD56AF" w14:textId="62F319BD" w:rsidR="00841F49" w:rsidRPr="00790961" w:rsidRDefault="00841F49" w:rsidP="00841F49">
      <w:pPr>
        <w:rPr>
          <w:rFonts w:ascii="Palatino Linotype" w:hAnsi="Palatino Linotype"/>
          <w:lang w:val="en-US"/>
        </w:rPr>
      </w:pPr>
    </w:p>
    <w:p w14:paraId="232F6145" w14:textId="6BB36656" w:rsidR="00841F49" w:rsidRPr="00790961" w:rsidRDefault="00841F49" w:rsidP="00841F49">
      <w:pPr>
        <w:rPr>
          <w:rFonts w:ascii="Palatino Linotype" w:hAnsi="Palatino Linotype"/>
          <w:lang w:val="en-US"/>
        </w:rPr>
      </w:pPr>
    </w:p>
    <w:p w14:paraId="5C69DC03" w14:textId="642A5925" w:rsidR="00841F49" w:rsidRPr="00790961" w:rsidRDefault="00841F49" w:rsidP="00841F49">
      <w:pPr>
        <w:rPr>
          <w:rFonts w:ascii="Palatino Linotype" w:hAnsi="Palatino Linotype"/>
          <w:lang w:val="en-US"/>
        </w:rPr>
      </w:pPr>
      <w:r w:rsidRPr="00790961">
        <w:rPr>
          <w:rFonts w:ascii="Palatino Linotype" w:hAnsi="Palatino Linotype"/>
          <w:lang w:val="en-US"/>
        </w:rPr>
        <w:br w:type="page"/>
      </w:r>
    </w:p>
    <w:p w14:paraId="47AADC86" w14:textId="77777777" w:rsidR="00841F49" w:rsidRPr="00790961" w:rsidRDefault="00841F49" w:rsidP="00841F49">
      <w:pPr>
        <w:rPr>
          <w:rFonts w:ascii="Palatino Linotype" w:hAnsi="Palatino Linotype"/>
          <w:lang w:val="en-US"/>
        </w:rPr>
      </w:pPr>
    </w:p>
    <w:p w14:paraId="0B110C73" w14:textId="28175DE9" w:rsidR="00841F49" w:rsidRPr="00790961" w:rsidRDefault="00841F49" w:rsidP="00841F49">
      <w:pPr>
        <w:rPr>
          <w:rFonts w:ascii="Palatino Linotype" w:hAnsi="Palatino Linotype"/>
          <w:lang w:val="en-US"/>
        </w:rPr>
      </w:pPr>
    </w:p>
    <w:p w14:paraId="237A8E16" w14:textId="2539F2DC" w:rsidR="00841F49" w:rsidRPr="00790961" w:rsidRDefault="00841F49" w:rsidP="00841F49">
      <w:pPr>
        <w:pStyle w:val="Heading2"/>
        <w:rPr>
          <w:lang w:val="en-US"/>
        </w:rPr>
      </w:pPr>
      <w:bookmarkStart w:id="8" w:name="_Toc9165875"/>
      <w:r>
        <w:t>Βιβλιογραφία</w:t>
      </w:r>
      <w:bookmarkEnd w:id="8"/>
    </w:p>
    <w:p w14:paraId="0021EE8B" w14:textId="4A9A3001" w:rsidR="00BD0308" w:rsidRPr="00BD0308" w:rsidRDefault="00841F49" w:rsidP="00BD0308">
      <w:pPr>
        <w:widowControl w:val="0"/>
        <w:autoSpaceDE w:val="0"/>
        <w:autoSpaceDN w:val="0"/>
        <w:adjustRightInd w:val="0"/>
        <w:spacing w:line="240" w:lineRule="auto"/>
        <w:ind w:left="480" w:hanging="480"/>
        <w:rPr>
          <w:rFonts w:ascii="Calibri" w:hAnsi="Calibri" w:cs="Calibri"/>
          <w:noProof/>
          <w:szCs w:val="24"/>
        </w:rPr>
      </w:pPr>
      <w:r>
        <w:rPr>
          <w:lang w:val="en-GB"/>
        </w:rPr>
        <w:fldChar w:fldCharType="begin" w:fldLock="1"/>
      </w:r>
      <w:r>
        <w:rPr>
          <w:lang w:val="en-GB"/>
        </w:rPr>
        <w:instrText xml:space="preserve">ADDIN Mendeley Bibliography CSL_BIBLIOGRAPHY </w:instrText>
      </w:r>
      <w:r>
        <w:rPr>
          <w:lang w:val="en-GB"/>
        </w:rPr>
        <w:fldChar w:fldCharType="separate"/>
      </w:r>
      <w:r w:rsidR="00BD0308" w:rsidRPr="00BD0308">
        <w:rPr>
          <w:rFonts w:ascii="Calibri" w:hAnsi="Calibri" w:cs="Calibri"/>
          <w:noProof/>
          <w:szCs w:val="24"/>
        </w:rPr>
        <w:t xml:space="preserve">Antonopoulos, C., &amp; Sakellaris, P. (2009). The contribution of Information and Communication Technology investments to Greek economic growth: An analytical growth accounting framework. </w:t>
      </w:r>
      <w:r w:rsidR="00BD0308" w:rsidRPr="00BD0308">
        <w:rPr>
          <w:rFonts w:ascii="Calibri" w:hAnsi="Calibri" w:cs="Calibri"/>
          <w:i/>
          <w:iCs/>
          <w:noProof/>
          <w:szCs w:val="24"/>
        </w:rPr>
        <w:t>Information Economics and Policy</w:t>
      </w:r>
      <w:r w:rsidR="00BD0308" w:rsidRPr="00BD0308">
        <w:rPr>
          <w:rFonts w:ascii="Calibri" w:hAnsi="Calibri" w:cs="Calibri"/>
          <w:noProof/>
          <w:szCs w:val="24"/>
        </w:rPr>
        <w:t xml:space="preserve">, </w:t>
      </w:r>
      <w:r w:rsidR="00BD0308" w:rsidRPr="00BD0308">
        <w:rPr>
          <w:rFonts w:ascii="Calibri" w:hAnsi="Calibri" w:cs="Calibri"/>
          <w:i/>
          <w:iCs/>
          <w:noProof/>
          <w:szCs w:val="24"/>
        </w:rPr>
        <w:t>21</w:t>
      </w:r>
      <w:r w:rsidR="00BD0308" w:rsidRPr="00BD0308">
        <w:rPr>
          <w:rFonts w:ascii="Calibri" w:hAnsi="Calibri" w:cs="Calibri"/>
          <w:noProof/>
          <w:szCs w:val="24"/>
        </w:rPr>
        <w:t>(3), 171–191. https://doi.org/10.1016/J.INFOECOPOL.2008.12.001</w:t>
      </w:r>
    </w:p>
    <w:p w14:paraId="30C90C0F" w14:textId="77777777" w:rsidR="00BD0308" w:rsidRPr="00BD0308" w:rsidRDefault="00BD0308" w:rsidP="00BD0308">
      <w:pPr>
        <w:widowControl w:val="0"/>
        <w:autoSpaceDE w:val="0"/>
        <w:autoSpaceDN w:val="0"/>
        <w:adjustRightInd w:val="0"/>
        <w:spacing w:line="240" w:lineRule="auto"/>
        <w:ind w:left="480" w:hanging="480"/>
        <w:rPr>
          <w:rFonts w:ascii="Calibri" w:hAnsi="Calibri" w:cs="Calibri"/>
          <w:noProof/>
          <w:szCs w:val="24"/>
        </w:rPr>
      </w:pPr>
      <w:r w:rsidRPr="00BD0308">
        <w:rPr>
          <w:rFonts w:ascii="Calibri" w:hAnsi="Calibri" w:cs="Calibri"/>
          <w:noProof/>
          <w:szCs w:val="24"/>
        </w:rPr>
        <w:t xml:space="preserve">Arie, Y., &amp; Mesch, G. S. (2016). Spatial distance and mobile business social network density. </w:t>
      </w:r>
      <w:r w:rsidRPr="00BD0308">
        <w:rPr>
          <w:rFonts w:ascii="Calibri" w:hAnsi="Calibri" w:cs="Calibri"/>
          <w:i/>
          <w:iCs/>
          <w:noProof/>
          <w:szCs w:val="24"/>
        </w:rPr>
        <w:t>Information Communication and Society</w:t>
      </w:r>
      <w:r w:rsidRPr="00BD0308">
        <w:rPr>
          <w:rFonts w:ascii="Calibri" w:hAnsi="Calibri" w:cs="Calibri"/>
          <w:noProof/>
          <w:szCs w:val="24"/>
        </w:rPr>
        <w:t xml:space="preserve">, </w:t>
      </w:r>
      <w:r w:rsidRPr="00BD0308">
        <w:rPr>
          <w:rFonts w:ascii="Calibri" w:hAnsi="Calibri" w:cs="Calibri"/>
          <w:i/>
          <w:iCs/>
          <w:noProof/>
          <w:szCs w:val="24"/>
        </w:rPr>
        <w:t>19</w:t>
      </w:r>
      <w:r w:rsidRPr="00BD0308">
        <w:rPr>
          <w:rFonts w:ascii="Calibri" w:hAnsi="Calibri" w:cs="Calibri"/>
          <w:noProof/>
          <w:szCs w:val="24"/>
        </w:rPr>
        <w:t>(11), 1572–1586. https://doi.org/10.1080/1369118X.2016.1140804</w:t>
      </w:r>
    </w:p>
    <w:p w14:paraId="2BE072D2" w14:textId="77777777" w:rsidR="00BD0308" w:rsidRPr="00BD0308" w:rsidRDefault="00BD0308" w:rsidP="00BD0308">
      <w:pPr>
        <w:widowControl w:val="0"/>
        <w:autoSpaceDE w:val="0"/>
        <w:autoSpaceDN w:val="0"/>
        <w:adjustRightInd w:val="0"/>
        <w:spacing w:line="240" w:lineRule="auto"/>
        <w:ind w:left="480" w:hanging="480"/>
        <w:rPr>
          <w:rFonts w:ascii="Calibri" w:hAnsi="Calibri" w:cs="Calibri"/>
          <w:noProof/>
          <w:szCs w:val="24"/>
        </w:rPr>
      </w:pPr>
      <w:r w:rsidRPr="00BD0308">
        <w:rPr>
          <w:rFonts w:ascii="Calibri" w:hAnsi="Calibri" w:cs="Calibri"/>
          <w:noProof/>
          <w:szCs w:val="24"/>
        </w:rPr>
        <w:t xml:space="preserve">Baron, L. F., &amp; Gomez, R. (2016). The Associations between Technologies and Societies: The Utility of Actor-Network Theory. </w:t>
      </w:r>
      <w:r w:rsidRPr="00BD0308">
        <w:rPr>
          <w:rFonts w:ascii="Calibri" w:hAnsi="Calibri" w:cs="Calibri"/>
          <w:i/>
          <w:iCs/>
          <w:noProof/>
          <w:szCs w:val="24"/>
        </w:rPr>
        <w:t>Science, Technology and Society</w:t>
      </w:r>
      <w:r w:rsidRPr="00BD0308">
        <w:rPr>
          <w:rFonts w:ascii="Calibri" w:hAnsi="Calibri" w:cs="Calibri"/>
          <w:noProof/>
          <w:szCs w:val="24"/>
        </w:rPr>
        <w:t xml:space="preserve">, </w:t>
      </w:r>
      <w:r w:rsidRPr="00BD0308">
        <w:rPr>
          <w:rFonts w:ascii="Calibri" w:hAnsi="Calibri" w:cs="Calibri"/>
          <w:i/>
          <w:iCs/>
          <w:noProof/>
          <w:szCs w:val="24"/>
        </w:rPr>
        <w:t>21</w:t>
      </w:r>
      <w:r w:rsidRPr="00BD0308">
        <w:rPr>
          <w:rFonts w:ascii="Calibri" w:hAnsi="Calibri" w:cs="Calibri"/>
          <w:noProof/>
          <w:szCs w:val="24"/>
        </w:rPr>
        <w:t>(2), 129–148. https://doi.org/10.1177/0971721816640615</w:t>
      </w:r>
    </w:p>
    <w:p w14:paraId="5CA19C35" w14:textId="77777777" w:rsidR="00BD0308" w:rsidRPr="00BD0308" w:rsidRDefault="00BD0308" w:rsidP="00BD0308">
      <w:pPr>
        <w:widowControl w:val="0"/>
        <w:autoSpaceDE w:val="0"/>
        <w:autoSpaceDN w:val="0"/>
        <w:adjustRightInd w:val="0"/>
        <w:spacing w:line="240" w:lineRule="auto"/>
        <w:ind w:left="480" w:hanging="480"/>
        <w:rPr>
          <w:rFonts w:ascii="Calibri" w:hAnsi="Calibri" w:cs="Calibri"/>
          <w:noProof/>
          <w:szCs w:val="24"/>
        </w:rPr>
      </w:pPr>
      <w:r w:rsidRPr="00BD0308">
        <w:rPr>
          <w:rFonts w:ascii="Calibri" w:hAnsi="Calibri" w:cs="Calibri"/>
          <w:noProof/>
          <w:szCs w:val="24"/>
        </w:rPr>
        <w:t xml:space="preserve">Brants, K. (1989). The Social Construction of the Information Revolution. </w:t>
      </w:r>
      <w:r w:rsidRPr="00BD0308">
        <w:rPr>
          <w:rFonts w:ascii="Calibri" w:hAnsi="Calibri" w:cs="Calibri"/>
          <w:i/>
          <w:iCs/>
          <w:noProof/>
          <w:szCs w:val="24"/>
        </w:rPr>
        <w:t>European Journal of Communication</w:t>
      </w:r>
      <w:r w:rsidRPr="00BD0308">
        <w:rPr>
          <w:rFonts w:ascii="Calibri" w:hAnsi="Calibri" w:cs="Calibri"/>
          <w:noProof/>
          <w:szCs w:val="24"/>
        </w:rPr>
        <w:t xml:space="preserve">, </w:t>
      </w:r>
      <w:r w:rsidRPr="00BD0308">
        <w:rPr>
          <w:rFonts w:ascii="Calibri" w:hAnsi="Calibri" w:cs="Calibri"/>
          <w:i/>
          <w:iCs/>
          <w:noProof/>
          <w:szCs w:val="24"/>
        </w:rPr>
        <w:t>4</w:t>
      </w:r>
      <w:r w:rsidRPr="00BD0308">
        <w:rPr>
          <w:rFonts w:ascii="Calibri" w:hAnsi="Calibri" w:cs="Calibri"/>
          <w:noProof/>
          <w:szCs w:val="24"/>
        </w:rPr>
        <w:t>(1), 79–97. https://doi.org/10.1177/0267323189004001005</w:t>
      </w:r>
    </w:p>
    <w:p w14:paraId="3EF286C1" w14:textId="77777777" w:rsidR="00BD0308" w:rsidRPr="00BD0308" w:rsidRDefault="00BD0308" w:rsidP="00BD0308">
      <w:pPr>
        <w:widowControl w:val="0"/>
        <w:autoSpaceDE w:val="0"/>
        <w:autoSpaceDN w:val="0"/>
        <w:adjustRightInd w:val="0"/>
        <w:spacing w:line="240" w:lineRule="auto"/>
        <w:ind w:left="480" w:hanging="480"/>
        <w:rPr>
          <w:rFonts w:ascii="Calibri" w:hAnsi="Calibri" w:cs="Calibri"/>
          <w:noProof/>
          <w:szCs w:val="24"/>
        </w:rPr>
      </w:pPr>
      <w:r w:rsidRPr="00BD0308">
        <w:rPr>
          <w:rFonts w:ascii="Calibri" w:hAnsi="Calibri" w:cs="Calibri"/>
          <w:noProof/>
          <w:szCs w:val="24"/>
        </w:rPr>
        <w:t xml:space="preserve">Coccia, M. (2019). Why do nations produce science advances and new technology? </w:t>
      </w:r>
      <w:r w:rsidRPr="00BD0308">
        <w:rPr>
          <w:rFonts w:ascii="Calibri" w:hAnsi="Calibri" w:cs="Calibri"/>
          <w:i/>
          <w:iCs/>
          <w:noProof/>
          <w:szCs w:val="24"/>
        </w:rPr>
        <w:t>Technology in Society</w:t>
      </w:r>
      <w:r w:rsidRPr="00BD0308">
        <w:rPr>
          <w:rFonts w:ascii="Calibri" w:hAnsi="Calibri" w:cs="Calibri"/>
          <w:noProof/>
          <w:szCs w:val="24"/>
        </w:rPr>
        <w:t>. https://doi.org/10.1016/J.TECHSOC.2019.03.007</w:t>
      </w:r>
    </w:p>
    <w:p w14:paraId="79286A5C" w14:textId="77777777" w:rsidR="00BD0308" w:rsidRPr="00BD0308" w:rsidRDefault="00BD0308" w:rsidP="00BD0308">
      <w:pPr>
        <w:widowControl w:val="0"/>
        <w:autoSpaceDE w:val="0"/>
        <w:autoSpaceDN w:val="0"/>
        <w:adjustRightInd w:val="0"/>
        <w:spacing w:line="240" w:lineRule="auto"/>
        <w:ind w:left="480" w:hanging="480"/>
        <w:rPr>
          <w:rFonts w:ascii="Calibri" w:hAnsi="Calibri" w:cs="Calibri"/>
          <w:noProof/>
          <w:szCs w:val="24"/>
        </w:rPr>
      </w:pPr>
      <w:r w:rsidRPr="00BD0308">
        <w:rPr>
          <w:rFonts w:ascii="Calibri" w:hAnsi="Calibri" w:cs="Calibri"/>
          <w:noProof/>
          <w:szCs w:val="24"/>
        </w:rPr>
        <w:t xml:space="preserve">Couldry, N. (2015). The myth of ‘us’: digital networks, political change and the production of collectivity. </w:t>
      </w:r>
      <w:r w:rsidRPr="00BD0308">
        <w:rPr>
          <w:rFonts w:ascii="Calibri" w:hAnsi="Calibri" w:cs="Calibri"/>
          <w:i/>
          <w:iCs/>
          <w:noProof/>
          <w:szCs w:val="24"/>
        </w:rPr>
        <w:t>Information Communication and Society</w:t>
      </w:r>
      <w:r w:rsidRPr="00BD0308">
        <w:rPr>
          <w:rFonts w:ascii="Calibri" w:hAnsi="Calibri" w:cs="Calibri"/>
          <w:noProof/>
          <w:szCs w:val="24"/>
        </w:rPr>
        <w:t xml:space="preserve">, </w:t>
      </w:r>
      <w:r w:rsidRPr="00BD0308">
        <w:rPr>
          <w:rFonts w:ascii="Calibri" w:hAnsi="Calibri" w:cs="Calibri"/>
          <w:i/>
          <w:iCs/>
          <w:noProof/>
          <w:szCs w:val="24"/>
        </w:rPr>
        <w:t>18</w:t>
      </w:r>
      <w:r w:rsidRPr="00BD0308">
        <w:rPr>
          <w:rFonts w:ascii="Calibri" w:hAnsi="Calibri" w:cs="Calibri"/>
          <w:noProof/>
          <w:szCs w:val="24"/>
        </w:rPr>
        <w:t>(6), 608–626. https://doi.org/10.1080/1369118X.2014.979216</w:t>
      </w:r>
    </w:p>
    <w:p w14:paraId="1E8539DE" w14:textId="77777777" w:rsidR="00BD0308" w:rsidRPr="00BD0308" w:rsidRDefault="00BD0308" w:rsidP="00BD0308">
      <w:pPr>
        <w:widowControl w:val="0"/>
        <w:autoSpaceDE w:val="0"/>
        <w:autoSpaceDN w:val="0"/>
        <w:adjustRightInd w:val="0"/>
        <w:spacing w:line="240" w:lineRule="auto"/>
        <w:ind w:left="480" w:hanging="480"/>
        <w:rPr>
          <w:rFonts w:ascii="Calibri" w:hAnsi="Calibri" w:cs="Calibri"/>
          <w:noProof/>
          <w:szCs w:val="24"/>
        </w:rPr>
      </w:pPr>
      <w:r w:rsidRPr="00BD0308">
        <w:rPr>
          <w:rFonts w:ascii="Calibri" w:hAnsi="Calibri" w:cs="Calibri"/>
          <w:noProof/>
          <w:szCs w:val="24"/>
        </w:rPr>
        <w:t xml:space="preserve">De Brasi, L. (2019). Democratic governance of information technologies: The need for citizen competance. </w:t>
      </w:r>
      <w:r w:rsidRPr="00BD0308">
        <w:rPr>
          <w:rFonts w:ascii="Calibri" w:hAnsi="Calibri" w:cs="Calibri"/>
          <w:i/>
          <w:iCs/>
          <w:noProof/>
          <w:szCs w:val="24"/>
        </w:rPr>
        <w:t>IEEE Technology and Society Magazine</w:t>
      </w:r>
      <w:r w:rsidRPr="00BD0308">
        <w:rPr>
          <w:rFonts w:ascii="Calibri" w:hAnsi="Calibri" w:cs="Calibri"/>
          <w:noProof/>
          <w:szCs w:val="24"/>
        </w:rPr>
        <w:t xml:space="preserve">, </w:t>
      </w:r>
      <w:r w:rsidRPr="00BD0308">
        <w:rPr>
          <w:rFonts w:ascii="Calibri" w:hAnsi="Calibri" w:cs="Calibri"/>
          <w:i/>
          <w:iCs/>
          <w:noProof/>
          <w:szCs w:val="24"/>
        </w:rPr>
        <w:t>38</w:t>
      </w:r>
      <w:r w:rsidRPr="00BD0308">
        <w:rPr>
          <w:rFonts w:ascii="Calibri" w:hAnsi="Calibri" w:cs="Calibri"/>
          <w:noProof/>
          <w:szCs w:val="24"/>
        </w:rPr>
        <w:t>(1), 51–57. https://doi.org/10.1109/MTS.2019.2894471</w:t>
      </w:r>
    </w:p>
    <w:p w14:paraId="7809C998" w14:textId="77777777" w:rsidR="00BD0308" w:rsidRPr="00BD0308" w:rsidRDefault="00BD0308" w:rsidP="00BD0308">
      <w:pPr>
        <w:widowControl w:val="0"/>
        <w:autoSpaceDE w:val="0"/>
        <w:autoSpaceDN w:val="0"/>
        <w:adjustRightInd w:val="0"/>
        <w:spacing w:line="240" w:lineRule="auto"/>
        <w:ind w:left="480" w:hanging="480"/>
        <w:rPr>
          <w:rFonts w:ascii="Calibri" w:hAnsi="Calibri" w:cs="Calibri"/>
          <w:noProof/>
          <w:szCs w:val="24"/>
        </w:rPr>
      </w:pPr>
      <w:r w:rsidRPr="00BD0308">
        <w:rPr>
          <w:rFonts w:ascii="Calibri" w:hAnsi="Calibri" w:cs="Calibri"/>
          <w:noProof/>
          <w:szCs w:val="24"/>
        </w:rPr>
        <w:t xml:space="preserve">Diaconescu, A., &amp; Pitt, J. (2017). Technological Impacts in Socio-Technical Communities: Values and Pathologies. </w:t>
      </w:r>
      <w:r w:rsidRPr="00BD0308">
        <w:rPr>
          <w:rFonts w:ascii="Calibri" w:hAnsi="Calibri" w:cs="Calibri"/>
          <w:i/>
          <w:iCs/>
          <w:noProof/>
          <w:szCs w:val="24"/>
        </w:rPr>
        <w:t>IEEE Technology and Society Magazine</w:t>
      </w:r>
      <w:r w:rsidRPr="00BD0308">
        <w:rPr>
          <w:rFonts w:ascii="Calibri" w:hAnsi="Calibri" w:cs="Calibri"/>
          <w:noProof/>
          <w:szCs w:val="24"/>
        </w:rPr>
        <w:t xml:space="preserve">, </w:t>
      </w:r>
      <w:r w:rsidRPr="00BD0308">
        <w:rPr>
          <w:rFonts w:ascii="Calibri" w:hAnsi="Calibri" w:cs="Calibri"/>
          <w:i/>
          <w:iCs/>
          <w:noProof/>
          <w:szCs w:val="24"/>
        </w:rPr>
        <w:t>36</w:t>
      </w:r>
      <w:r w:rsidRPr="00BD0308">
        <w:rPr>
          <w:rFonts w:ascii="Calibri" w:hAnsi="Calibri" w:cs="Calibri"/>
          <w:noProof/>
          <w:szCs w:val="24"/>
        </w:rPr>
        <w:t>(3), 63–71. https://doi.org/10.1109/MTS.2017.2728780</w:t>
      </w:r>
    </w:p>
    <w:p w14:paraId="2A87C528" w14:textId="77777777" w:rsidR="00BD0308" w:rsidRPr="00BD0308" w:rsidRDefault="00BD0308" w:rsidP="00BD0308">
      <w:pPr>
        <w:widowControl w:val="0"/>
        <w:autoSpaceDE w:val="0"/>
        <w:autoSpaceDN w:val="0"/>
        <w:adjustRightInd w:val="0"/>
        <w:spacing w:line="240" w:lineRule="auto"/>
        <w:ind w:left="480" w:hanging="480"/>
        <w:rPr>
          <w:rFonts w:ascii="Calibri" w:hAnsi="Calibri" w:cs="Calibri"/>
          <w:noProof/>
          <w:szCs w:val="24"/>
        </w:rPr>
      </w:pPr>
      <w:r w:rsidRPr="00BD0308">
        <w:rPr>
          <w:rFonts w:ascii="Calibri" w:hAnsi="Calibri" w:cs="Calibri"/>
          <w:noProof/>
          <w:szCs w:val="24"/>
        </w:rPr>
        <w:t xml:space="preserve">Economides, N., &amp; Hermalin, B. E. (2012). The economics of network neutrality. </w:t>
      </w:r>
      <w:r w:rsidRPr="00BD0308">
        <w:rPr>
          <w:rFonts w:ascii="Calibri" w:hAnsi="Calibri" w:cs="Calibri"/>
          <w:i/>
          <w:iCs/>
          <w:noProof/>
          <w:szCs w:val="24"/>
        </w:rPr>
        <w:t>RAND Journal of Economics</w:t>
      </w:r>
      <w:r w:rsidRPr="00BD0308">
        <w:rPr>
          <w:rFonts w:ascii="Calibri" w:hAnsi="Calibri" w:cs="Calibri"/>
          <w:noProof/>
          <w:szCs w:val="24"/>
        </w:rPr>
        <w:t xml:space="preserve">, </w:t>
      </w:r>
      <w:r w:rsidRPr="00BD0308">
        <w:rPr>
          <w:rFonts w:ascii="Calibri" w:hAnsi="Calibri" w:cs="Calibri"/>
          <w:i/>
          <w:iCs/>
          <w:noProof/>
          <w:szCs w:val="24"/>
        </w:rPr>
        <w:t>43</w:t>
      </w:r>
      <w:r w:rsidRPr="00BD0308">
        <w:rPr>
          <w:rFonts w:ascii="Calibri" w:hAnsi="Calibri" w:cs="Calibri"/>
          <w:noProof/>
          <w:szCs w:val="24"/>
        </w:rPr>
        <w:t>, 602–629. https://doi.org/10.1111/1756-2171.12001</w:t>
      </w:r>
    </w:p>
    <w:p w14:paraId="35A3499A" w14:textId="77777777" w:rsidR="00BD0308" w:rsidRPr="00BD0308" w:rsidRDefault="00BD0308" w:rsidP="00BD0308">
      <w:pPr>
        <w:widowControl w:val="0"/>
        <w:autoSpaceDE w:val="0"/>
        <w:autoSpaceDN w:val="0"/>
        <w:adjustRightInd w:val="0"/>
        <w:spacing w:line="240" w:lineRule="auto"/>
        <w:ind w:left="480" w:hanging="480"/>
        <w:rPr>
          <w:rFonts w:ascii="Calibri" w:hAnsi="Calibri" w:cs="Calibri"/>
          <w:noProof/>
          <w:szCs w:val="24"/>
        </w:rPr>
      </w:pPr>
      <w:r w:rsidRPr="00BD0308">
        <w:rPr>
          <w:rFonts w:ascii="Calibri" w:hAnsi="Calibri" w:cs="Calibri"/>
          <w:noProof/>
          <w:szCs w:val="24"/>
        </w:rPr>
        <w:t xml:space="preserve">Fernback, J. (2005, December). Information technology, networks and community voices. </w:t>
      </w:r>
      <w:r w:rsidRPr="00BD0308">
        <w:rPr>
          <w:rFonts w:ascii="Calibri" w:hAnsi="Calibri" w:cs="Calibri"/>
          <w:i/>
          <w:iCs/>
          <w:noProof/>
          <w:szCs w:val="24"/>
        </w:rPr>
        <w:t>Information Communication and Society</w:t>
      </w:r>
      <w:r w:rsidRPr="00BD0308">
        <w:rPr>
          <w:rFonts w:ascii="Calibri" w:hAnsi="Calibri" w:cs="Calibri"/>
          <w:noProof/>
          <w:szCs w:val="24"/>
        </w:rPr>
        <w:t>. https://doi.org/10.1080/13691180500418402</w:t>
      </w:r>
    </w:p>
    <w:p w14:paraId="544B6A04" w14:textId="77777777" w:rsidR="00BD0308" w:rsidRPr="00BD0308" w:rsidRDefault="00BD0308" w:rsidP="00BD0308">
      <w:pPr>
        <w:widowControl w:val="0"/>
        <w:autoSpaceDE w:val="0"/>
        <w:autoSpaceDN w:val="0"/>
        <w:adjustRightInd w:val="0"/>
        <w:spacing w:line="240" w:lineRule="auto"/>
        <w:ind w:left="480" w:hanging="480"/>
        <w:rPr>
          <w:rFonts w:ascii="Calibri" w:hAnsi="Calibri" w:cs="Calibri"/>
          <w:noProof/>
          <w:szCs w:val="24"/>
        </w:rPr>
      </w:pPr>
      <w:r w:rsidRPr="00BD0308">
        <w:rPr>
          <w:rFonts w:ascii="Calibri" w:hAnsi="Calibri" w:cs="Calibri"/>
          <w:noProof/>
          <w:szCs w:val="24"/>
        </w:rPr>
        <w:t xml:space="preserve">Flanagin, A. J., Flanagin, C., &amp; Flanagin, J. (2010). Technical code and the social construction of the internet. </w:t>
      </w:r>
      <w:r w:rsidRPr="00BD0308">
        <w:rPr>
          <w:rFonts w:ascii="Calibri" w:hAnsi="Calibri" w:cs="Calibri"/>
          <w:i/>
          <w:iCs/>
          <w:noProof/>
          <w:szCs w:val="24"/>
        </w:rPr>
        <w:t>New Media &amp; Society</w:t>
      </w:r>
      <w:r w:rsidRPr="00BD0308">
        <w:rPr>
          <w:rFonts w:ascii="Calibri" w:hAnsi="Calibri" w:cs="Calibri"/>
          <w:noProof/>
          <w:szCs w:val="24"/>
        </w:rPr>
        <w:t xml:space="preserve">, </w:t>
      </w:r>
      <w:r w:rsidRPr="00BD0308">
        <w:rPr>
          <w:rFonts w:ascii="Calibri" w:hAnsi="Calibri" w:cs="Calibri"/>
          <w:i/>
          <w:iCs/>
          <w:noProof/>
          <w:szCs w:val="24"/>
        </w:rPr>
        <w:t>12</w:t>
      </w:r>
      <w:r w:rsidRPr="00BD0308">
        <w:rPr>
          <w:rFonts w:ascii="Calibri" w:hAnsi="Calibri" w:cs="Calibri"/>
          <w:noProof/>
          <w:szCs w:val="24"/>
        </w:rPr>
        <w:t>(2), 179–196. https://doi.org/10.1177/1461444809341391</w:t>
      </w:r>
    </w:p>
    <w:p w14:paraId="6C2F09D2" w14:textId="77777777" w:rsidR="00BD0308" w:rsidRPr="00BD0308" w:rsidRDefault="00BD0308" w:rsidP="00BD0308">
      <w:pPr>
        <w:widowControl w:val="0"/>
        <w:autoSpaceDE w:val="0"/>
        <w:autoSpaceDN w:val="0"/>
        <w:adjustRightInd w:val="0"/>
        <w:spacing w:line="240" w:lineRule="auto"/>
        <w:ind w:left="480" w:hanging="480"/>
        <w:rPr>
          <w:rFonts w:ascii="Calibri" w:hAnsi="Calibri" w:cs="Calibri"/>
          <w:noProof/>
          <w:szCs w:val="24"/>
        </w:rPr>
      </w:pPr>
      <w:r w:rsidRPr="00BD0308">
        <w:rPr>
          <w:rFonts w:ascii="Calibri" w:hAnsi="Calibri" w:cs="Calibri"/>
          <w:noProof/>
          <w:szCs w:val="24"/>
        </w:rPr>
        <w:t xml:space="preserve">Fortunati, L., &amp; Taipale, S. (2012). Organization of the social sphere and typology of the residential setting: How the adoption of the mobile phone affects sociability in rural and urban locations. </w:t>
      </w:r>
      <w:r w:rsidRPr="00BD0308">
        <w:rPr>
          <w:rFonts w:ascii="Calibri" w:hAnsi="Calibri" w:cs="Calibri"/>
          <w:i/>
          <w:iCs/>
          <w:noProof/>
          <w:szCs w:val="24"/>
        </w:rPr>
        <w:t>Technology in Society</w:t>
      </w:r>
      <w:r w:rsidRPr="00BD0308">
        <w:rPr>
          <w:rFonts w:ascii="Calibri" w:hAnsi="Calibri" w:cs="Calibri"/>
          <w:noProof/>
          <w:szCs w:val="24"/>
        </w:rPr>
        <w:t xml:space="preserve">, </w:t>
      </w:r>
      <w:r w:rsidRPr="00BD0308">
        <w:rPr>
          <w:rFonts w:ascii="Calibri" w:hAnsi="Calibri" w:cs="Calibri"/>
          <w:i/>
          <w:iCs/>
          <w:noProof/>
          <w:szCs w:val="24"/>
        </w:rPr>
        <w:t>34</w:t>
      </w:r>
      <w:r w:rsidRPr="00BD0308">
        <w:rPr>
          <w:rFonts w:ascii="Calibri" w:hAnsi="Calibri" w:cs="Calibri"/>
          <w:noProof/>
          <w:szCs w:val="24"/>
        </w:rPr>
        <w:t>(1), 33–43. https://doi.org/10.1016/J.TECHSOC.2011.12.004</w:t>
      </w:r>
    </w:p>
    <w:p w14:paraId="6398AC7B" w14:textId="77777777" w:rsidR="00BD0308" w:rsidRPr="00BD0308" w:rsidRDefault="00BD0308" w:rsidP="00BD0308">
      <w:pPr>
        <w:widowControl w:val="0"/>
        <w:autoSpaceDE w:val="0"/>
        <w:autoSpaceDN w:val="0"/>
        <w:adjustRightInd w:val="0"/>
        <w:spacing w:line="240" w:lineRule="auto"/>
        <w:ind w:left="480" w:hanging="480"/>
        <w:rPr>
          <w:rFonts w:ascii="Calibri" w:hAnsi="Calibri" w:cs="Calibri"/>
          <w:noProof/>
          <w:szCs w:val="24"/>
        </w:rPr>
      </w:pPr>
      <w:r w:rsidRPr="00BD0308">
        <w:rPr>
          <w:rFonts w:ascii="Calibri" w:hAnsi="Calibri" w:cs="Calibri"/>
          <w:noProof/>
          <w:szCs w:val="24"/>
        </w:rPr>
        <w:t xml:space="preserve">Gabriel, D. (2016). Blogging while Black, British and female: a critical study on discursive activism. </w:t>
      </w:r>
      <w:r w:rsidRPr="00BD0308">
        <w:rPr>
          <w:rFonts w:ascii="Calibri" w:hAnsi="Calibri" w:cs="Calibri"/>
          <w:i/>
          <w:iCs/>
          <w:noProof/>
          <w:szCs w:val="24"/>
        </w:rPr>
        <w:t>Information Communication and Society</w:t>
      </w:r>
      <w:r w:rsidRPr="00BD0308">
        <w:rPr>
          <w:rFonts w:ascii="Calibri" w:hAnsi="Calibri" w:cs="Calibri"/>
          <w:noProof/>
          <w:szCs w:val="24"/>
        </w:rPr>
        <w:t xml:space="preserve">, </w:t>
      </w:r>
      <w:r w:rsidRPr="00BD0308">
        <w:rPr>
          <w:rFonts w:ascii="Calibri" w:hAnsi="Calibri" w:cs="Calibri"/>
          <w:i/>
          <w:iCs/>
          <w:noProof/>
          <w:szCs w:val="24"/>
        </w:rPr>
        <w:t>19</w:t>
      </w:r>
      <w:r w:rsidRPr="00BD0308">
        <w:rPr>
          <w:rFonts w:ascii="Calibri" w:hAnsi="Calibri" w:cs="Calibri"/>
          <w:noProof/>
          <w:szCs w:val="24"/>
        </w:rPr>
        <w:t>(11), 1622–1635. https://doi.org/10.1080/1369118X.2016.1146784</w:t>
      </w:r>
    </w:p>
    <w:p w14:paraId="731DD9CD" w14:textId="77777777" w:rsidR="00BD0308" w:rsidRPr="00BD0308" w:rsidRDefault="00BD0308" w:rsidP="00BD0308">
      <w:pPr>
        <w:widowControl w:val="0"/>
        <w:autoSpaceDE w:val="0"/>
        <w:autoSpaceDN w:val="0"/>
        <w:adjustRightInd w:val="0"/>
        <w:spacing w:line="240" w:lineRule="auto"/>
        <w:ind w:left="480" w:hanging="480"/>
        <w:rPr>
          <w:rFonts w:ascii="Calibri" w:hAnsi="Calibri" w:cs="Calibri"/>
          <w:noProof/>
          <w:szCs w:val="24"/>
        </w:rPr>
      </w:pPr>
      <w:r w:rsidRPr="00BD0308">
        <w:rPr>
          <w:rFonts w:ascii="Calibri" w:hAnsi="Calibri" w:cs="Calibri"/>
          <w:noProof/>
          <w:szCs w:val="24"/>
        </w:rPr>
        <w:t xml:space="preserve">García-Muñiz, A. S., &amp; Vicente, M. R. (2014). ICT technologies in Europe: A study of technological diffusion and economic growth under network theory. </w:t>
      </w:r>
      <w:r w:rsidRPr="00BD0308">
        <w:rPr>
          <w:rFonts w:ascii="Calibri" w:hAnsi="Calibri" w:cs="Calibri"/>
          <w:i/>
          <w:iCs/>
          <w:noProof/>
          <w:szCs w:val="24"/>
        </w:rPr>
        <w:t>Telecommunications Policy</w:t>
      </w:r>
      <w:r w:rsidRPr="00BD0308">
        <w:rPr>
          <w:rFonts w:ascii="Calibri" w:hAnsi="Calibri" w:cs="Calibri"/>
          <w:noProof/>
          <w:szCs w:val="24"/>
        </w:rPr>
        <w:t xml:space="preserve">, </w:t>
      </w:r>
      <w:r w:rsidRPr="00BD0308">
        <w:rPr>
          <w:rFonts w:ascii="Calibri" w:hAnsi="Calibri" w:cs="Calibri"/>
          <w:i/>
          <w:iCs/>
          <w:noProof/>
          <w:szCs w:val="24"/>
        </w:rPr>
        <w:t>38</w:t>
      </w:r>
      <w:r w:rsidRPr="00BD0308">
        <w:rPr>
          <w:rFonts w:ascii="Calibri" w:hAnsi="Calibri" w:cs="Calibri"/>
          <w:noProof/>
          <w:szCs w:val="24"/>
        </w:rPr>
        <w:t>(4), 360–370. https://doi.org/10.1016/j.telpol.2013.12.003</w:t>
      </w:r>
    </w:p>
    <w:p w14:paraId="5B39759F" w14:textId="77777777" w:rsidR="00BD0308" w:rsidRPr="00BD0308" w:rsidRDefault="00BD0308" w:rsidP="00BD0308">
      <w:pPr>
        <w:widowControl w:val="0"/>
        <w:autoSpaceDE w:val="0"/>
        <w:autoSpaceDN w:val="0"/>
        <w:adjustRightInd w:val="0"/>
        <w:spacing w:line="240" w:lineRule="auto"/>
        <w:ind w:left="480" w:hanging="480"/>
        <w:rPr>
          <w:rFonts w:ascii="Calibri" w:hAnsi="Calibri" w:cs="Calibri"/>
          <w:noProof/>
          <w:szCs w:val="24"/>
        </w:rPr>
      </w:pPr>
      <w:r w:rsidRPr="00BD0308">
        <w:rPr>
          <w:rFonts w:ascii="Calibri" w:hAnsi="Calibri" w:cs="Calibri"/>
          <w:noProof/>
          <w:szCs w:val="24"/>
        </w:rPr>
        <w:t xml:space="preserve">Gonzales, A. (2016). The contemporary US digital divide: from initial access to technology maintenance. </w:t>
      </w:r>
      <w:r w:rsidRPr="00BD0308">
        <w:rPr>
          <w:rFonts w:ascii="Calibri" w:hAnsi="Calibri" w:cs="Calibri"/>
          <w:i/>
          <w:iCs/>
          <w:noProof/>
          <w:szCs w:val="24"/>
        </w:rPr>
        <w:t>Information Communication and Society</w:t>
      </w:r>
      <w:r w:rsidRPr="00BD0308">
        <w:rPr>
          <w:rFonts w:ascii="Calibri" w:hAnsi="Calibri" w:cs="Calibri"/>
          <w:noProof/>
          <w:szCs w:val="24"/>
        </w:rPr>
        <w:t xml:space="preserve">, </w:t>
      </w:r>
      <w:r w:rsidRPr="00BD0308">
        <w:rPr>
          <w:rFonts w:ascii="Calibri" w:hAnsi="Calibri" w:cs="Calibri"/>
          <w:i/>
          <w:iCs/>
          <w:noProof/>
          <w:szCs w:val="24"/>
        </w:rPr>
        <w:t>19</w:t>
      </w:r>
      <w:r w:rsidRPr="00BD0308">
        <w:rPr>
          <w:rFonts w:ascii="Calibri" w:hAnsi="Calibri" w:cs="Calibri"/>
          <w:noProof/>
          <w:szCs w:val="24"/>
        </w:rPr>
        <w:t>(2), 234–248. https://doi.org/10.1080/1369118X.2015.1050438</w:t>
      </w:r>
    </w:p>
    <w:p w14:paraId="4662412F" w14:textId="77777777" w:rsidR="00BD0308" w:rsidRPr="00BD0308" w:rsidRDefault="00BD0308" w:rsidP="00BD0308">
      <w:pPr>
        <w:widowControl w:val="0"/>
        <w:autoSpaceDE w:val="0"/>
        <w:autoSpaceDN w:val="0"/>
        <w:adjustRightInd w:val="0"/>
        <w:spacing w:line="240" w:lineRule="auto"/>
        <w:ind w:left="480" w:hanging="480"/>
        <w:rPr>
          <w:rFonts w:ascii="Calibri" w:hAnsi="Calibri" w:cs="Calibri"/>
          <w:noProof/>
          <w:szCs w:val="24"/>
        </w:rPr>
      </w:pPr>
      <w:r w:rsidRPr="00BD0308">
        <w:rPr>
          <w:rFonts w:ascii="Calibri" w:hAnsi="Calibri" w:cs="Calibri"/>
          <w:noProof/>
          <w:szCs w:val="24"/>
        </w:rPr>
        <w:t xml:space="preserve">Haythornthwaite, C. (2005, June). Social networks and internet connectivity effects. </w:t>
      </w:r>
      <w:r w:rsidRPr="00BD0308">
        <w:rPr>
          <w:rFonts w:ascii="Calibri" w:hAnsi="Calibri" w:cs="Calibri"/>
          <w:i/>
          <w:iCs/>
          <w:noProof/>
          <w:szCs w:val="24"/>
        </w:rPr>
        <w:t>Information Communication and Society</w:t>
      </w:r>
      <w:r w:rsidRPr="00BD0308">
        <w:rPr>
          <w:rFonts w:ascii="Calibri" w:hAnsi="Calibri" w:cs="Calibri"/>
          <w:noProof/>
          <w:szCs w:val="24"/>
        </w:rPr>
        <w:t>. https://doi.org/10.1080/13691180500146185</w:t>
      </w:r>
    </w:p>
    <w:p w14:paraId="426B7B8B" w14:textId="77777777" w:rsidR="00BD0308" w:rsidRPr="00BD0308" w:rsidRDefault="00BD0308" w:rsidP="00BD0308">
      <w:pPr>
        <w:widowControl w:val="0"/>
        <w:autoSpaceDE w:val="0"/>
        <w:autoSpaceDN w:val="0"/>
        <w:adjustRightInd w:val="0"/>
        <w:spacing w:line="240" w:lineRule="auto"/>
        <w:ind w:left="480" w:hanging="480"/>
        <w:rPr>
          <w:rFonts w:ascii="Calibri" w:hAnsi="Calibri" w:cs="Calibri"/>
          <w:noProof/>
          <w:szCs w:val="24"/>
        </w:rPr>
      </w:pPr>
      <w:r w:rsidRPr="00BD0308">
        <w:rPr>
          <w:rFonts w:ascii="Calibri" w:hAnsi="Calibri" w:cs="Calibri"/>
          <w:noProof/>
          <w:szCs w:val="24"/>
        </w:rPr>
        <w:t xml:space="preserve">Kane, T. B. (2019). Artificial intelligence in politics: Establishing ethics. </w:t>
      </w:r>
      <w:r w:rsidRPr="00BD0308">
        <w:rPr>
          <w:rFonts w:ascii="Calibri" w:hAnsi="Calibri" w:cs="Calibri"/>
          <w:i/>
          <w:iCs/>
          <w:noProof/>
          <w:szCs w:val="24"/>
        </w:rPr>
        <w:t>IEEE Technology and Society Magazine</w:t>
      </w:r>
      <w:r w:rsidRPr="00BD0308">
        <w:rPr>
          <w:rFonts w:ascii="Calibri" w:hAnsi="Calibri" w:cs="Calibri"/>
          <w:noProof/>
          <w:szCs w:val="24"/>
        </w:rPr>
        <w:t xml:space="preserve">, </w:t>
      </w:r>
      <w:r w:rsidRPr="00BD0308">
        <w:rPr>
          <w:rFonts w:ascii="Calibri" w:hAnsi="Calibri" w:cs="Calibri"/>
          <w:i/>
          <w:iCs/>
          <w:noProof/>
          <w:szCs w:val="24"/>
        </w:rPr>
        <w:t>38</w:t>
      </w:r>
      <w:r w:rsidRPr="00BD0308">
        <w:rPr>
          <w:rFonts w:ascii="Calibri" w:hAnsi="Calibri" w:cs="Calibri"/>
          <w:noProof/>
          <w:szCs w:val="24"/>
        </w:rPr>
        <w:t>(1), 72–80. https://doi.org/10.1109/MTS.2019.2894474</w:t>
      </w:r>
    </w:p>
    <w:p w14:paraId="306F6AAC" w14:textId="77777777" w:rsidR="00BD0308" w:rsidRPr="00BD0308" w:rsidRDefault="00BD0308" w:rsidP="00BD0308">
      <w:pPr>
        <w:widowControl w:val="0"/>
        <w:autoSpaceDE w:val="0"/>
        <w:autoSpaceDN w:val="0"/>
        <w:adjustRightInd w:val="0"/>
        <w:spacing w:line="240" w:lineRule="auto"/>
        <w:ind w:left="480" w:hanging="480"/>
        <w:rPr>
          <w:rFonts w:ascii="Calibri" w:hAnsi="Calibri" w:cs="Calibri"/>
          <w:noProof/>
          <w:szCs w:val="24"/>
        </w:rPr>
      </w:pPr>
      <w:r w:rsidRPr="00BD0308">
        <w:rPr>
          <w:rFonts w:ascii="Calibri" w:hAnsi="Calibri" w:cs="Calibri"/>
          <w:noProof/>
          <w:szCs w:val="24"/>
        </w:rPr>
        <w:t xml:space="preserve">Keller, J. M. (2011). VIRTUAL FEMINISMS. </w:t>
      </w:r>
      <w:r w:rsidRPr="00BD0308">
        <w:rPr>
          <w:rFonts w:ascii="Calibri" w:hAnsi="Calibri" w:cs="Calibri"/>
          <w:i/>
          <w:iCs/>
          <w:noProof/>
          <w:szCs w:val="24"/>
        </w:rPr>
        <w:t>Information, Communication &amp; Society</w:t>
      </w:r>
      <w:r w:rsidRPr="00BD0308">
        <w:rPr>
          <w:rFonts w:ascii="Calibri" w:hAnsi="Calibri" w:cs="Calibri"/>
          <w:noProof/>
          <w:szCs w:val="24"/>
        </w:rPr>
        <w:t xml:space="preserve">, </w:t>
      </w:r>
      <w:r w:rsidRPr="00BD0308">
        <w:rPr>
          <w:rFonts w:ascii="Calibri" w:hAnsi="Calibri" w:cs="Calibri"/>
          <w:i/>
          <w:iCs/>
          <w:noProof/>
          <w:szCs w:val="24"/>
        </w:rPr>
        <w:t>15</w:t>
      </w:r>
      <w:r w:rsidRPr="00BD0308">
        <w:rPr>
          <w:rFonts w:ascii="Calibri" w:hAnsi="Calibri" w:cs="Calibri"/>
          <w:noProof/>
          <w:szCs w:val="24"/>
        </w:rPr>
        <w:t>(3), 429–447. https://doi.org/10.1080/1369118x.2011.642890</w:t>
      </w:r>
    </w:p>
    <w:p w14:paraId="3D5C26E5" w14:textId="77777777" w:rsidR="00BD0308" w:rsidRPr="00BD0308" w:rsidRDefault="00BD0308" w:rsidP="00BD0308">
      <w:pPr>
        <w:widowControl w:val="0"/>
        <w:autoSpaceDE w:val="0"/>
        <w:autoSpaceDN w:val="0"/>
        <w:adjustRightInd w:val="0"/>
        <w:spacing w:line="240" w:lineRule="auto"/>
        <w:ind w:left="480" w:hanging="480"/>
        <w:rPr>
          <w:rFonts w:ascii="Calibri" w:hAnsi="Calibri" w:cs="Calibri"/>
          <w:noProof/>
          <w:szCs w:val="24"/>
        </w:rPr>
      </w:pPr>
      <w:r w:rsidRPr="00BD0308">
        <w:rPr>
          <w:rFonts w:ascii="Calibri" w:hAnsi="Calibri" w:cs="Calibri"/>
          <w:noProof/>
          <w:szCs w:val="24"/>
        </w:rPr>
        <w:t xml:space="preserve">Krämer, J., Wiewiorra, L., &amp; Weinhardt, C. (2013). Net neutrality: A progress report. </w:t>
      </w:r>
      <w:r w:rsidRPr="00BD0308">
        <w:rPr>
          <w:rFonts w:ascii="Calibri" w:hAnsi="Calibri" w:cs="Calibri"/>
          <w:i/>
          <w:iCs/>
          <w:noProof/>
          <w:szCs w:val="24"/>
        </w:rPr>
        <w:t>Telecommunications Policy</w:t>
      </w:r>
      <w:r w:rsidRPr="00BD0308">
        <w:rPr>
          <w:rFonts w:ascii="Calibri" w:hAnsi="Calibri" w:cs="Calibri"/>
          <w:noProof/>
          <w:szCs w:val="24"/>
        </w:rPr>
        <w:t xml:space="preserve">, </w:t>
      </w:r>
      <w:r w:rsidRPr="00BD0308">
        <w:rPr>
          <w:rFonts w:ascii="Calibri" w:hAnsi="Calibri" w:cs="Calibri"/>
          <w:i/>
          <w:iCs/>
          <w:noProof/>
          <w:szCs w:val="24"/>
        </w:rPr>
        <w:t>37</w:t>
      </w:r>
      <w:r w:rsidRPr="00BD0308">
        <w:rPr>
          <w:rFonts w:ascii="Calibri" w:hAnsi="Calibri" w:cs="Calibri"/>
          <w:noProof/>
          <w:szCs w:val="24"/>
        </w:rPr>
        <w:t>(9), 794–813. https://doi.org/10.1016/j.telpol.2012.08.005</w:t>
      </w:r>
    </w:p>
    <w:p w14:paraId="134CF3F0" w14:textId="77777777" w:rsidR="00BD0308" w:rsidRPr="00BD0308" w:rsidRDefault="00BD0308" w:rsidP="00BD0308">
      <w:pPr>
        <w:widowControl w:val="0"/>
        <w:autoSpaceDE w:val="0"/>
        <w:autoSpaceDN w:val="0"/>
        <w:adjustRightInd w:val="0"/>
        <w:spacing w:line="240" w:lineRule="auto"/>
        <w:ind w:left="480" w:hanging="480"/>
        <w:rPr>
          <w:rFonts w:ascii="Calibri" w:hAnsi="Calibri" w:cs="Calibri"/>
          <w:noProof/>
          <w:szCs w:val="24"/>
        </w:rPr>
      </w:pPr>
      <w:r w:rsidRPr="00BD0308">
        <w:rPr>
          <w:rFonts w:ascii="Calibri" w:hAnsi="Calibri" w:cs="Calibri"/>
          <w:noProof/>
          <w:szCs w:val="24"/>
        </w:rPr>
        <w:t xml:space="preserve">Majumdar, S. K. (2014). Technology and wages: Why firms invest and what happens. </w:t>
      </w:r>
      <w:r w:rsidRPr="00BD0308">
        <w:rPr>
          <w:rFonts w:ascii="Calibri" w:hAnsi="Calibri" w:cs="Calibri"/>
          <w:i/>
          <w:iCs/>
          <w:noProof/>
          <w:szCs w:val="24"/>
        </w:rPr>
        <w:t>Technology in Society</w:t>
      </w:r>
      <w:r w:rsidRPr="00BD0308">
        <w:rPr>
          <w:rFonts w:ascii="Calibri" w:hAnsi="Calibri" w:cs="Calibri"/>
          <w:noProof/>
          <w:szCs w:val="24"/>
        </w:rPr>
        <w:t xml:space="preserve">, </w:t>
      </w:r>
      <w:r w:rsidRPr="00BD0308">
        <w:rPr>
          <w:rFonts w:ascii="Calibri" w:hAnsi="Calibri" w:cs="Calibri"/>
          <w:i/>
          <w:iCs/>
          <w:noProof/>
          <w:szCs w:val="24"/>
        </w:rPr>
        <w:t>39</w:t>
      </w:r>
      <w:r w:rsidRPr="00BD0308">
        <w:rPr>
          <w:rFonts w:ascii="Calibri" w:hAnsi="Calibri" w:cs="Calibri"/>
          <w:noProof/>
          <w:szCs w:val="24"/>
        </w:rPr>
        <w:t>, 44–54. https://doi.org/10.1016/J.TECHSOC.2014.07.005</w:t>
      </w:r>
    </w:p>
    <w:p w14:paraId="0A370260" w14:textId="77777777" w:rsidR="00BD0308" w:rsidRPr="00BD0308" w:rsidRDefault="00BD0308" w:rsidP="00BD0308">
      <w:pPr>
        <w:widowControl w:val="0"/>
        <w:autoSpaceDE w:val="0"/>
        <w:autoSpaceDN w:val="0"/>
        <w:adjustRightInd w:val="0"/>
        <w:spacing w:line="240" w:lineRule="auto"/>
        <w:ind w:left="480" w:hanging="480"/>
        <w:rPr>
          <w:rFonts w:ascii="Calibri" w:hAnsi="Calibri" w:cs="Calibri"/>
          <w:noProof/>
          <w:szCs w:val="24"/>
        </w:rPr>
      </w:pPr>
      <w:r w:rsidRPr="00BD0308">
        <w:rPr>
          <w:rFonts w:ascii="Calibri" w:hAnsi="Calibri" w:cs="Calibri"/>
          <w:noProof/>
          <w:szCs w:val="24"/>
        </w:rPr>
        <w:t xml:space="preserve">Majumdar, S. K., Mishra, B., &amp; Chang, H. (2007). Technology investment strategy in the presence of competitor entry: Broadband deployment in the US telecommunications industry. </w:t>
      </w:r>
      <w:r w:rsidRPr="00BD0308">
        <w:rPr>
          <w:rFonts w:ascii="Calibri" w:hAnsi="Calibri" w:cs="Calibri"/>
          <w:i/>
          <w:iCs/>
          <w:noProof/>
          <w:szCs w:val="24"/>
        </w:rPr>
        <w:t>Technology in Society</w:t>
      </w:r>
      <w:r w:rsidRPr="00BD0308">
        <w:rPr>
          <w:rFonts w:ascii="Calibri" w:hAnsi="Calibri" w:cs="Calibri"/>
          <w:noProof/>
          <w:szCs w:val="24"/>
        </w:rPr>
        <w:t xml:space="preserve">, </w:t>
      </w:r>
      <w:r w:rsidRPr="00BD0308">
        <w:rPr>
          <w:rFonts w:ascii="Calibri" w:hAnsi="Calibri" w:cs="Calibri"/>
          <w:i/>
          <w:iCs/>
          <w:noProof/>
          <w:szCs w:val="24"/>
        </w:rPr>
        <w:t>29</w:t>
      </w:r>
      <w:r w:rsidRPr="00BD0308">
        <w:rPr>
          <w:rFonts w:ascii="Calibri" w:hAnsi="Calibri" w:cs="Calibri"/>
          <w:noProof/>
          <w:szCs w:val="24"/>
        </w:rPr>
        <w:t>(4), 422–430. https://doi.org/10.1016/J.TECHSOC.2007.08.004</w:t>
      </w:r>
    </w:p>
    <w:p w14:paraId="7B62DB96" w14:textId="77777777" w:rsidR="00BD0308" w:rsidRPr="00BD0308" w:rsidRDefault="00BD0308" w:rsidP="00BD0308">
      <w:pPr>
        <w:widowControl w:val="0"/>
        <w:autoSpaceDE w:val="0"/>
        <w:autoSpaceDN w:val="0"/>
        <w:adjustRightInd w:val="0"/>
        <w:spacing w:line="240" w:lineRule="auto"/>
        <w:ind w:left="480" w:hanging="480"/>
        <w:rPr>
          <w:rFonts w:ascii="Calibri" w:hAnsi="Calibri" w:cs="Calibri"/>
          <w:noProof/>
          <w:szCs w:val="24"/>
        </w:rPr>
      </w:pPr>
      <w:r w:rsidRPr="00BD0308">
        <w:rPr>
          <w:rFonts w:ascii="Calibri" w:hAnsi="Calibri" w:cs="Calibri"/>
          <w:noProof/>
          <w:szCs w:val="24"/>
        </w:rPr>
        <w:t xml:space="preserve">Mesch, G. S., &amp; Talmud, I. (2011). Ethnic differences in internet access: The role of occupation and exposure. </w:t>
      </w:r>
      <w:r w:rsidRPr="00BD0308">
        <w:rPr>
          <w:rFonts w:ascii="Calibri" w:hAnsi="Calibri" w:cs="Calibri"/>
          <w:i/>
          <w:iCs/>
          <w:noProof/>
          <w:szCs w:val="24"/>
        </w:rPr>
        <w:t>Information Communication and Society</w:t>
      </w:r>
      <w:r w:rsidRPr="00BD0308">
        <w:rPr>
          <w:rFonts w:ascii="Calibri" w:hAnsi="Calibri" w:cs="Calibri"/>
          <w:noProof/>
          <w:szCs w:val="24"/>
        </w:rPr>
        <w:t xml:space="preserve">, </w:t>
      </w:r>
      <w:r w:rsidRPr="00BD0308">
        <w:rPr>
          <w:rFonts w:ascii="Calibri" w:hAnsi="Calibri" w:cs="Calibri"/>
          <w:i/>
          <w:iCs/>
          <w:noProof/>
          <w:szCs w:val="24"/>
        </w:rPr>
        <w:t>14</w:t>
      </w:r>
      <w:r w:rsidRPr="00BD0308">
        <w:rPr>
          <w:rFonts w:ascii="Calibri" w:hAnsi="Calibri" w:cs="Calibri"/>
          <w:noProof/>
          <w:szCs w:val="24"/>
        </w:rPr>
        <w:t>(4), 445–471. https://doi.org/10.1080/1369118X.2011.562218</w:t>
      </w:r>
    </w:p>
    <w:p w14:paraId="1A8F0AF9" w14:textId="77777777" w:rsidR="00BD0308" w:rsidRPr="00BD0308" w:rsidRDefault="00BD0308" w:rsidP="00BD0308">
      <w:pPr>
        <w:widowControl w:val="0"/>
        <w:autoSpaceDE w:val="0"/>
        <w:autoSpaceDN w:val="0"/>
        <w:adjustRightInd w:val="0"/>
        <w:spacing w:line="240" w:lineRule="auto"/>
        <w:ind w:left="480" w:hanging="480"/>
        <w:rPr>
          <w:rFonts w:ascii="Calibri" w:hAnsi="Calibri" w:cs="Calibri"/>
          <w:noProof/>
          <w:szCs w:val="24"/>
        </w:rPr>
      </w:pPr>
      <w:r w:rsidRPr="00BD0308">
        <w:rPr>
          <w:rFonts w:ascii="Calibri" w:hAnsi="Calibri" w:cs="Calibri"/>
          <w:noProof/>
          <w:szCs w:val="24"/>
        </w:rPr>
        <w:t xml:space="preserve">Misra, S., &amp; Stokols, D. (2012). A typology of people-environment relationships in the Digital Age. </w:t>
      </w:r>
      <w:r w:rsidRPr="00BD0308">
        <w:rPr>
          <w:rFonts w:ascii="Calibri" w:hAnsi="Calibri" w:cs="Calibri"/>
          <w:i/>
          <w:iCs/>
          <w:noProof/>
          <w:szCs w:val="24"/>
        </w:rPr>
        <w:t>Technology in Society</w:t>
      </w:r>
      <w:r w:rsidRPr="00BD0308">
        <w:rPr>
          <w:rFonts w:ascii="Calibri" w:hAnsi="Calibri" w:cs="Calibri"/>
          <w:noProof/>
          <w:szCs w:val="24"/>
        </w:rPr>
        <w:t xml:space="preserve">, </w:t>
      </w:r>
      <w:r w:rsidRPr="00BD0308">
        <w:rPr>
          <w:rFonts w:ascii="Calibri" w:hAnsi="Calibri" w:cs="Calibri"/>
          <w:i/>
          <w:iCs/>
          <w:noProof/>
          <w:szCs w:val="24"/>
        </w:rPr>
        <w:t>34</w:t>
      </w:r>
      <w:r w:rsidRPr="00BD0308">
        <w:rPr>
          <w:rFonts w:ascii="Calibri" w:hAnsi="Calibri" w:cs="Calibri"/>
          <w:noProof/>
          <w:szCs w:val="24"/>
        </w:rPr>
        <w:t>(4), 311–325. https://doi.org/10.1016/j.techsoc.2012.10.003</w:t>
      </w:r>
    </w:p>
    <w:p w14:paraId="7CA4A122" w14:textId="77777777" w:rsidR="00BD0308" w:rsidRPr="00BD0308" w:rsidRDefault="00BD0308" w:rsidP="00BD0308">
      <w:pPr>
        <w:widowControl w:val="0"/>
        <w:autoSpaceDE w:val="0"/>
        <w:autoSpaceDN w:val="0"/>
        <w:adjustRightInd w:val="0"/>
        <w:spacing w:line="240" w:lineRule="auto"/>
        <w:ind w:left="480" w:hanging="480"/>
        <w:rPr>
          <w:rFonts w:ascii="Calibri" w:hAnsi="Calibri" w:cs="Calibri"/>
          <w:noProof/>
          <w:szCs w:val="24"/>
        </w:rPr>
      </w:pPr>
      <w:r w:rsidRPr="00BD0308">
        <w:rPr>
          <w:rFonts w:ascii="Calibri" w:hAnsi="Calibri" w:cs="Calibri"/>
          <w:noProof/>
          <w:szCs w:val="24"/>
        </w:rPr>
        <w:t xml:space="preserve">Moss, M. L., Kaufman, S. M., &amp; Townsend, A. M. (2006). The relationship of sustainability to telecommunications. </w:t>
      </w:r>
      <w:r w:rsidRPr="00BD0308">
        <w:rPr>
          <w:rFonts w:ascii="Calibri" w:hAnsi="Calibri" w:cs="Calibri"/>
          <w:i/>
          <w:iCs/>
          <w:noProof/>
          <w:szCs w:val="24"/>
        </w:rPr>
        <w:t>Technology in Society</w:t>
      </w:r>
      <w:r w:rsidRPr="00BD0308">
        <w:rPr>
          <w:rFonts w:ascii="Calibri" w:hAnsi="Calibri" w:cs="Calibri"/>
          <w:noProof/>
          <w:szCs w:val="24"/>
        </w:rPr>
        <w:t xml:space="preserve">, </w:t>
      </w:r>
      <w:r w:rsidRPr="00BD0308">
        <w:rPr>
          <w:rFonts w:ascii="Calibri" w:hAnsi="Calibri" w:cs="Calibri"/>
          <w:i/>
          <w:iCs/>
          <w:noProof/>
          <w:szCs w:val="24"/>
        </w:rPr>
        <w:t>28</w:t>
      </w:r>
      <w:r w:rsidRPr="00BD0308">
        <w:rPr>
          <w:rFonts w:ascii="Calibri" w:hAnsi="Calibri" w:cs="Calibri"/>
          <w:noProof/>
          <w:szCs w:val="24"/>
        </w:rPr>
        <w:t>(1–2), 235–244. https://doi.org/10.1016/J.TECHSOC.2005.10.011</w:t>
      </w:r>
    </w:p>
    <w:p w14:paraId="52C69BC6" w14:textId="77777777" w:rsidR="00BD0308" w:rsidRPr="00BD0308" w:rsidRDefault="00BD0308" w:rsidP="00BD0308">
      <w:pPr>
        <w:widowControl w:val="0"/>
        <w:autoSpaceDE w:val="0"/>
        <w:autoSpaceDN w:val="0"/>
        <w:adjustRightInd w:val="0"/>
        <w:spacing w:line="240" w:lineRule="auto"/>
        <w:ind w:left="480" w:hanging="480"/>
        <w:rPr>
          <w:rFonts w:ascii="Calibri" w:hAnsi="Calibri" w:cs="Calibri"/>
          <w:noProof/>
          <w:szCs w:val="24"/>
        </w:rPr>
      </w:pPr>
      <w:r w:rsidRPr="00BD0308">
        <w:rPr>
          <w:rFonts w:ascii="Calibri" w:hAnsi="Calibri" w:cs="Calibri"/>
          <w:noProof/>
          <w:szCs w:val="24"/>
        </w:rPr>
        <w:t xml:space="preserve">Mossberger, K., Tolbert, C. J., &amp; Anderson, C. (2017). The mobile Internet and digital citizenship in African-American and Latino communities. </w:t>
      </w:r>
      <w:r w:rsidRPr="00BD0308">
        <w:rPr>
          <w:rFonts w:ascii="Calibri" w:hAnsi="Calibri" w:cs="Calibri"/>
          <w:i/>
          <w:iCs/>
          <w:noProof/>
          <w:szCs w:val="24"/>
        </w:rPr>
        <w:t>Information Communication and Society</w:t>
      </w:r>
      <w:r w:rsidRPr="00BD0308">
        <w:rPr>
          <w:rFonts w:ascii="Calibri" w:hAnsi="Calibri" w:cs="Calibri"/>
          <w:noProof/>
          <w:szCs w:val="24"/>
        </w:rPr>
        <w:t xml:space="preserve">, </w:t>
      </w:r>
      <w:r w:rsidRPr="00BD0308">
        <w:rPr>
          <w:rFonts w:ascii="Calibri" w:hAnsi="Calibri" w:cs="Calibri"/>
          <w:i/>
          <w:iCs/>
          <w:noProof/>
          <w:szCs w:val="24"/>
        </w:rPr>
        <w:t>20</w:t>
      </w:r>
      <w:r w:rsidRPr="00BD0308">
        <w:rPr>
          <w:rFonts w:ascii="Calibri" w:hAnsi="Calibri" w:cs="Calibri"/>
          <w:noProof/>
          <w:szCs w:val="24"/>
        </w:rPr>
        <w:t>(10), 1587–1606. https://doi.org/10.1080/1369118X.2016.1243142</w:t>
      </w:r>
    </w:p>
    <w:p w14:paraId="2852CFAD" w14:textId="77777777" w:rsidR="00BD0308" w:rsidRPr="00BD0308" w:rsidRDefault="00BD0308" w:rsidP="00BD0308">
      <w:pPr>
        <w:widowControl w:val="0"/>
        <w:autoSpaceDE w:val="0"/>
        <w:autoSpaceDN w:val="0"/>
        <w:adjustRightInd w:val="0"/>
        <w:spacing w:line="240" w:lineRule="auto"/>
        <w:ind w:left="480" w:hanging="480"/>
        <w:rPr>
          <w:rFonts w:ascii="Calibri" w:hAnsi="Calibri" w:cs="Calibri"/>
          <w:noProof/>
          <w:szCs w:val="24"/>
        </w:rPr>
      </w:pPr>
      <w:r w:rsidRPr="00BD0308">
        <w:rPr>
          <w:rFonts w:ascii="Calibri" w:hAnsi="Calibri" w:cs="Calibri"/>
          <w:noProof/>
          <w:szCs w:val="24"/>
        </w:rPr>
        <w:t xml:space="preserve">Park, S., &amp; Humphry, J. (2019). Exclusion by design: intersections of social, digital and data exclusion. </w:t>
      </w:r>
      <w:r w:rsidRPr="00BD0308">
        <w:rPr>
          <w:rFonts w:ascii="Calibri" w:hAnsi="Calibri" w:cs="Calibri"/>
          <w:i/>
          <w:iCs/>
          <w:noProof/>
          <w:szCs w:val="24"/>
        </w:rPr>
        <w:t>Information, Communication &amp; Society</w:t>
      </w:r>
      <w:r w:rsidRPr="00BD0308">
        <w:rPr>
          <w:rFonts w:ascii="Calibri" w:hAnsi="Calibri" w:cs="Calibri"/>
          <w:noProof/>
          <w:szCs w:val="24"/>
        </w:rPr>
        <w:t xml:space="preserve">, </w:t>
      </w:r>
      <w:r w:rsidRPr="00BD0308">
        <w:rPr>
          <w:rFonts w:ascii="Calibri" w:hAnsi="Calibri" w:cs="Calibri"/>
          <w:i/>
          <w:iCs/>
          <w:noProof/>
          <w:szCs w:val="24"/>
        </w:rPr>
        <w:t>22</w:t>
      </w:r>
      <w:r w:rsidRPr="00BD0308">
        <w:rPr>
          <w:rFonts w:ascii="Calibri" w:hAnsi="Calibri" w:cs="Calibri"/>
          <w:noProof/>
          <w:szCs w:val="24"/>
        </w:rPr>
        <w:t>(7), 934–953. https://doi.org/10.1080/1369118X.2019.1606266</w:t>
      </w:r>
    </w:p>
    <w:p w14:paraId="0BF5E409" w14:textId="77777777" w:rsidR="00BD0308" w:rsidRPr="00BD0308" w:rsidRDefault="00BD0308" w:rsidP="00BD0308">
      <w:pPr>
        <w:widowControl w:val="0"/>
        <w:autoSpaceDE w:val="0"/>
        <w:autoSpaceDN w:val="0"/>
        <w:adjustRightInd w:val="0"/>
        <w:spacing w:line="240" w:lineRule="auto"/>
        <w:ind w:left="480" w:hanging="480"/>
        <w:rPr>
          <w:rFonts w:ascii="Calibri" w:hAnsi="Calibri" w:cs="Calibri"/>
          <w:noProof/>
          <w:szCs w:val="24"/>
        </w:rPr>
      </w:pPr>
      <w:r w:rsidRPr="00BD0308">
        <w:rPr>
          <w:rFonts w:ascii="Calibri" w:hAnsi="Calibri" w:cs="Calibri"/>
          <w:noProof/>
          <w:szCs w:val="24"/>
        </w:rPr>
        <w:t xml:space="preserve">Robinson, J. P. (2011). IT use and leisure time displacement convergent evidence over the last 15 years. </w:t>
      </w:r>
      <w:r w:rsidRPr="00BD0308">
        <w:rPr>
          <w:rFonts w:ascii="Calibri" w:hAnsi="Calibri" w:cs="Calibri"/>
          <w:i/>
          <w:iCs/>
          <w:noProof/>
          <w:szCs w:val="24"/>
        </w:rPr>
        <w:t>Information Communication and Society</w:t>
      </w:r>
      <w:r w:rsidRPr="00BD0308">
        <w:rPr>
          <w:rFonts w:ascii="Calibri" w:hAnsi="Calibri" w:cs="Calibri"/>
          <w:noProof/>
          <w:szCs w:val="24"/>
        </w:rPr>
        <w:t xml:space="preserve">, </w:t>
      </w:r>
      <w:r w:rsidRPr="00BD0308">
        <w:rPr>
          <w:rFonts w:ascii="Calibri" w:hAnsi="Calibri" w:cs="Calibri"/>
          <w:i/>
          <w:iCs/>
          <w:noProof/>
          <w:szCs w:val="24"/>
        </w:rPr>
        <w:t>14</w:t>
      </w:r>
      <w:r w:rsidRPr="00BD0308">
        <w:rPr>
          <w:rFonts w:ascii="Calibri" w:hAnsi="Calibri" w:cs="Calibri"/>
          <w:noProof/>
          <w:szCs w:val="24"/>
        </w:rPr>
        <w:t>(4), 495–509. https://doi.org/10.1080/1369118X.2011.562223</w:t>
      </w:r>
    </w:p>
    <w:p w14:paraId="7339EBFB" w14:textId="77777777" w:rsidR="00BD0308" w:rsidRPr="00BD0308" w:rsidRDefault="00BD0308" w:rsidP="00BD0308">
      <w:pPr>
        <w:widowControl w:val="0"/>
        <w:autoSpaceDE w:val="0"/>
        <w:autoSpaceDN w:val="0"/>
        <w:adjustRightInd w:val="0"/>
        <w:spacing w:line="240" w:lineRule="auto"/>
        <w:ind w:left="480" w:hanging="480"/>
        <w:rPr>
          <w:rFonts w:ascii="Calibri" w:hAnsi="Calibri" w:cs="Calibri"/>
          <w:noProof/>
          <w:szCs w:val="24"/>
        </w:rPr>
      </w:pPr>
      <w:r w:rsidRPr="00BD0308">
        <w:rPr>
          <w:rFonts w:ascii="Calibri" w:hAnsi="Calibri" w:cs="Calibri"/>
          <w:noProof/>
          <w:szCs w:val="24"/>
        </w:rPr>
        <w:t xml:space="preserve">Selwyn, N. (2004). ICT for all? Access and use of Public ICT Sites in the UK. </w:t>
      </w:r>
      <w:r w:rsidRPr="00BD0308">
        <w:rPr>
          <w:rFonts w:ascii="Calibri" w:hAnsi="Calibri" w:cs="Calibri"/>
          <w:i/>
          <w:iCs/>
          <w:noProof/>
          <w:szCs w:val="24"/>
        </w:rPr>
        <w:t>Information, Communication &amp; Society</w:t>
      </w:r>
      <w:r w:rsidRPr="00BD0308">
        <w:rPr>
          <w:rFonts w:ascii="Calibri" w:hAnsi="Calibri" w:cs="Calibri"/>
          <w:noProof/>
          <w:szCs w:val="24"/>
        </w:rPr>
        <w:t xml:space="preserve">, </w:t>
      </w:r>
      <w:r w:rsidRPr="00BD0308">
        <w:rPr>
          <w:rFonts w:ascii="Calibri" w:hAnsi="Calibri" w:cs="Calibri"/>
          <w:i/>
          <w:iCs/>
          <w:noProof/>
          <w:szCs w:val="24"/>
        </w:rPr>
        <w:t>6</w:t>
      </w:r>
      <w:r w:rsidRPr="00BD0308">
        <w:rPr>
          <w:rFonts w:ascii="Calibri" w:hAnsi="Calibri" w:cs="Calibri"/>
          <w:noProof/>
          <w:szCs w:val="24"/>
        </w:rPr>
        <w:t>(3), 350–375. https://doi.org/10.1080/1369118032000155285</w:t>
      </w:r>
    </w:p>
    <w:p w14:paraId="101EFDAA" w14:textId="77777777" w:rsidR="00BD0308" w:rsidRPr="00BD0308" w:rsidRDefault="00BD0308" w:rsidP="00BD0308">
      <w:pPr>
        <w:widowControl w:val="0"/>
        <w:autoSpaceDE w:val="0"/>
        <w:autoSpaceDN w:val="0"/>
        <w:adjustRightInd w:val="0"/>
        <w:spacing w:line="240" w:lineRule="auto"/>
        <w:ind w:left="480" w:hanging="480"/>
        <w:rPr>
          <w:rFonts w:ascii="Calibri" w:hAnsi="Calibri" w:cs="Calibri"/>
          <w:noProof/>
          <w:szCs w:val="24"/>
        </w:rPr>
      </w:pPr>
      <w:r w:rsidRPr="00BD0308">
        <w:rPr>
          <w:rFonts w:ascii="Calibri" w:hAnsi="Calibri" w:cs="Calibri"/>
          <w:noProof/>
          <w:szCs w:val="24"/>
        </w:rPr>
        <w:t xml:space="preserve">Tirado-Morueta, R., Aguaded-Gómez, J. I., &amp; Hernando-Gómez, Á. (2018). The socio-demographic divide in Internet usage moderated by digital literacy support. </w:t>
      </w:r>
      <w:r w:rsidRPr="00BD0308">
        <w:rPr>
          <w:rFonts w:ascii="Calibri" w:hAnsi="Calibri" w:cs="Calibri"/>
          <w:i/>
          <w:iCs/>
          <w:noProof/>
          <w:szCs w:val="24"/>
        </w:rPr>
        <w:t>Technology in Society</w:t>
      </w:r>
      <w:r w:rsidRPr="00BD0308">
        <w:rPr>
          <w:rFonts w:ascii="Calibri" w:hAnsi="Calibri" w:cs="Calibri"/>
          <w:noProof/>
          <w:szCs w:val="24"/>
        </w:rPr>
        <w:t xml:space="preserve">, </w:t>
      </w:r>
      <w:r w:rsidRPr="00BD0308">
        <w:rPr>
          <w:rFonts w:ascii="Calibri" w:hAnsi="Calibri" w:cs="Calibri"/>
          <w:i/>
          <w:iCs/>
          <w:noProof/>
          <w:szCs w:val="24"/>
        </w:rPr>
        <w:t>55</w:t>
      </w:r>
      <w:r w:rsidRPr="00BD0308">
        <w:rPr>
          <w:rFonts w:ascii="Calibri" w:hAnsi="Calibri" w:cs="Calibri"/>
          <w:noProof/>
          <w:szCs w:val="24"/>
        </w:rPr>
        <w:t>, 47–55. https://doi.org/10.1016/J.TECHSOC.2018.06.001</w:t>
      </w:r>
    </w:p>
    <w:p w14:paraId="0FF61171" w14:textId="77777777" w:rsidR="00BD0308" w:rsidRPr="00BD0308" w:rsidRDefault="00BD0308" w:rsidP="00BD0308">
      <w:pPr>
        <w:widowControl w:val="0"/>
        <w:autoSpaceDE w:val="0"/>
        <w:autoSpaceDN w:val="0"/>
        <w:adjustRightInd w:val="0"/>
        <w:spacing w:line="240" w:lineRule="auto"/>
        <w:ind w:left="480" w:hanging="480"/>
        <w:rPr>
          <w:rFonts w:ascii="Calibri" w:hAnsi="Calibri" w:cs="Calibri"/>
          <w:noProof/>
          <w:szCs w:val="24"/>
        </w:rPr>
      </w:pPr>
      <w:r w:rsidRPr="00BD0308">
        <w:rPr>
          <w:rFonts w:ascii="Calibri" w:hAnsi="Calibri" w:cs="Calibri"/>
          <w:noProof/>
          <w:szCs w:val="24"/>
        </w:rPr>
        <w:t xml:space="preserve">Vilhelmson, B., Thulin, E., &amp; Elldér, E. (2017). Where does time spent on the Internet come from? Tracing the influence of information and communications technology use on daily activities. </w:t>
      </w:r>
      <w:r w:rsidRPr="00BD0308">
        <w:rPr>
          <w:rFonts w:ascii="Calibri" w:hAnsi="Calibri" w:cs="Calibri"/>
          <w:i/>
          <w:iCs/>
          <w:noProof/>
          <w:szCs w:val="24"/>
        </w:rPr>
        <w:t>Information Communication and Society</w:t>
      </w:r>
      <w:r w:rsidRPr="00BD0308">
        <w:rPr>
          <w:rFonts w:ascii="Calibri" w:hAnsi="Calibri" w:cs="Calibri"/>
          <w:noProof/>
          <w:szCs w:val="24"/>
        </w:rPr>
        <w:t xml:space="preserve">, </w:t>
      </w:r>
      <w:r w:rsidRPr="00BD0308">
        <w:rPr>
          <w:rFonts w:ascii="Calibri" w:hAnsi="Calibri" w:cs="Calibri"/>
          <w:i/>
          <w:iCs/>
          <w:noProof/>
          <w:szCs w:val="24"/>
        </w:rPr>
        <w:t>20</w:t>
      </w:r>
      <w:r w:rsidRPr="00BD0308">
        <w:rPr>
          <w:rFonts w:ascii="Calibri" w:hAnsi="Calibri" w:cs="Calibri"/>
          <w:noProof/>
          <w:szCs w:val="24"/>
        </w:rPr>
        <w:t>(2), 250–263. https://doi.org/10.1080/1369118X.2016.1164741</w:t>
      </w:r>
    </w:p>
    <w:p w14:paraId="6E07D5BE" w14:textId="77777777" w:rsidR="00BD0308" w:rsidRPr="00BD0308" w:rsidRDefault="00BD0308" w:rsidP="00BD0308">
      <w:pPr>
        <w:widowControl w:val="0"/>
        <w:autoSpaceDE w:val="0"/>
        <w:autoSpaceDN w:val="0"/>
        <w:adjustRightInd w:val="0"/>
        <w:spacing w:line="240" w:lineRule="auto"/>
        <w:ind w:left="480" w:hanging="480"/>
        <w:rPr>
          <w:rFonts w:ascii="Calibri" w:hAnsi="Calibri" w:cs="Calibri"/>
          <w:noProof/>
          <w:szCs w:val="24"/>
        </w:rPr>
      </w:pPr>
      <w:r w:rsidRPr="00BD0308">
        <w:rPr>
          <w:rFonts w:ascii="Calibri" w:hAnsi="Calibri" w:cs="Calibri"/>
          <w:noProof/>
          <w:szCs w:val="24"/>
        </w:rPr>
        <w:t xml:space="preserve">Whitacre, B., Gallardo, R., &amp; Strover, S. (2014a). Broadbands contribution to economic growth in rural areas: Moving towards a causal relationship. </w:t>
      </w:r>
      <w:r w:rsidRPr="00BD0308">
        <w:rPr>
          <w:rFonts w:ascii="Calibri" w:hAnsi="Calibri" w:cs="Calibri"/>
          <w:i/>
          <w:iCs/>
          <w:noProof/>
          <w:szCs w:val="24"/>
        </w:rPr>
        <w:t>Telecommunications Policy</w:t>
      </w:r>
      <w:r w:rsidRPr="00BD0308">
        <w:rPr>
          <w:rFonts w:ascii="Calibri" w:hAnsi="Calibri" w:cs="Calibri"/>
          <w:noProof/>
          <w:szCs w:val="24"/>
        </w:rPr>
        <w:t xml:space="preserve">, </w:t>
      </w:r>
      <w:r w:rsidRPr="00BD0308">
        <w:rPr>
          <w:rFonts w:ascii="Calibri" w:hAnsi="Calibri" w:cs="Calibri"/>
          <w:i/>
          <w:iCs/>
          <w:noProof/>
          <w:szCs w:val="24"/>
        </w:rPr>
        <w:t>38</w:t>
      </w:r>
      <w:r w:rsidRPr="00BD0308">
        <w:rPr>
          <w:rFonts w:ascii="Calibri" w:hAnsi="Calibri" w:cs="Calibri"/>
          <w:noProof/>
          <w:szCs w:val="24"/>
        </w:rPr>
        <w:t>(11), 1011–1023. https://doi.org/10.1016/j.telpol.2014.05.005</w:t>
      </w:r>
    </w:p>
    <w:p w14:paraId="3D9FD4FB" w14:textId="77777777" w:rsidR="00BD0308" w:rsidRPr="00BD0308" w:rsidRDefault="00BD0308" w:rsidP="00BD0308">
      <w:pPr>
        <w:widowControl w:val="0"/>
        <w:autoSpaceDE w:val="0"/>
        <w:autoSpaceDN w:val="0"/>
        <w:adjustRightInd w:val="0"/>
        <w:spacing w:line="240" w:lineRule="auto"/>
        <w:ind w:left="480" w:hanging="480"/>
        <w:rPr>
          <w:rFonts w:ascii="Calibri" w:hAnsi="Calibri" w:cs="Calibri"/>
          <w:noProof/>
          <w:szCs w:val="24"/>
        </w:rPr>
      </w:pPr>
      <w:r w:rsidRPr="00BD0308">
        <w:rPr>
          <w:rFonts w:ascii="Calibri" w:hAnsi="Calibri" w:cs="Calibri"/>
          <w:noProof/>
          <w:szCs w:val="24"/>
        </w:rPr>
        <w:t xml:space="preserve">Whitacre, B., Gallardo, R., &amp; Strover, S. (2014b). Does rural broadband impact jobs and income? Evidence from spatial and first-differenced regressions. </w:t>
      </w:r>
      <w:r w:rsidRPr="00BD0308">
        <w:rPr>
          <w:rFonts w:ascii="Calibri" w:hAnsi="Calibri" w:cs="Calibri"/>
          <w:i/>
          <w:iCs/>
          <w:noProof/>
          <w:szCs w:val="24"/>
        </w:rPr>
        <w:t>Annals of Regional Science</w:t>
      </w:r>
      <w:r w:rsidRPr="00BD0308">
        <w:rPr>
          <w:rFonts w:ascii="Calibri" w:hAnsi="Calibri" w:cs="Calibri"/>
          <w:noProof/>
          <w:szCs w:val="24"/>
        </w:rPr>
        <w:t xml:space="preserve">, </w:t>
      </w:r>
      <w:r w:rsidRPr="00BD0308">
        <w:rPr>
          <w:rFonts w:ascii="Calibri" w:hAnsi="Calibri" w:cs="Calibri"/>
          <w:i/>
          <w:iCs/>
          <w:noProof/>
          <w:szCs w:val="24"/>
        </w:rPr>
        <w:t>53</w:t>
      </w:r>
      <w:r w:rsidRPr="00BD0308">
        <w:rPr>
          <w:rFonts w:ascii="Calibri" w:hAnsi="Calibri" w:cs="Calibri"/>
          <w:noProof/>
          <w:szCs w:val="24"/>
        </w:rPr>
        <w:t>(3). https://doi.org/10.1007/s00168-014-0637-x</w:t>
      </w:r>
    </w:p>
    <w:p w14:paraId="37BA7DDF" w14:textId="77777777" w:rsidR="00BD0308" w:rsidRPr="00BD0308" w:rsidRDefault="00BD0308" w:rsidP="00BD0308">
      <w:pPr>
        <w:widowControl w:val="0"/>
        <w:autoSpaceDE w:val="0"/>
        <w:autoSpaceDN w:val="0"/>
        <w:adjustRightInd w:val="0"/>
        <w:spacing w:line="240" w:lineRule="auto"/>
        <w:ind w:left="480" w:hanging="480"/>
        <w:rPr>
          <w:rFonts w:ascii="Calibri" w:hAnsi="Calibri" w:cs="Calibri"/>
          <w:noProof/>
        </w:rPr>
      </w:pPr>
      <w:r w:rsidRPr="00BD0308">
        <w:rPr>
          <w:rFonts w:ascii="Calibri" w:hAnsi="Calibri" w:cs="Calibri"/>
          <w:noProof/>
          <w:szCs w:val="24"/>
        </w:rPr>
        <w:t xml:space="preserve">Willson, M. (2010). Technology, networks and communities: An exploration of network and community theory and technosocial forms. </w:t>
      </w:r>
      <w:r w:rsidRPr="00BD0308">
        <w:rPr>
          <w:rFonts w:ascii="Calibri" w:hAnsi="Calibri" w:cs="Calibri"/>
          <w:i/>
          <w:iCs/>
          <w:noProof/>
          <w:szCs w:val="24"/>
        </w:rPr>
        <w:t>Information Communication and Society</w:t>
      </w:r>
      <w:r w:rsidRPr="00BD0308">
        <w:rPr>
          <w:rFonts w:ascii="Calibri" w:hAnsi="Calibri" w:cs="Calibri"/>
          <w:noProof/>
          <w:szCs w:val="24"/>
        </w:rPr>
        <w:t xml:space="preserve">, </w:t>
      </w:r>
      <w:r w:rsidRPr="00BD0308">
        <w:rPr>
          <w:rFonts w:ascii="Calibri" w:hAnsi="Calibri" w:cs="Calibri"/>
          <w:i/>
          <w:iCs/>
          <w:noProof/>
          <w:szCs w:val="24"/>
        </w:rPr>
        <w:t>13</w:t>
      </w:r>
      <w:r w:rsidRPr="00BD0308">
        <w:rPr>
          <w:rFonts w:ascii="Calibri" w:hAnsi="Calibri" w:cs="Calibri"/>
          <w:noProof/>
          <w:szCs w:val="24"/>
        </w:rPr>
        <w:t>(5), 747–764. https://doi.org/10.1080/13691180903271572</w:t>
      </w:r>
    </w:p>
    <w:p w14:paraId="19397E5C" w14:textId="758CC213" w:rsidR="00841F49" w:rsidRPr="00841F49" w:rsidRDefault="00841F49" w:rsidP="00841F49">
      <w:pPr>
        <w:rPr>
          <w:lang w:val="en-GB"/>
        </w:rPr>
      </w:pPr>
      <w:r>
        <w:rPr>
          <w:lang w:val="en-GB"/>
        </w:rPr>
        <w:fldChar w:fldCharType="end"/>
      </w:r>
    </w:p>
    <w:p w14:paraId="7C058AB2" w14:textId="77777777" w:rsidR="004B1D85" w:rsidRPr="004B1D85" w:rsidRDefault="004B1D85" w:rsidP="00841F49"/>
    <w:sectPr w:rsidR="004B1D85" w:rsidRPr="004B1D8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6D30C" w14:textId="77777777" w:rsidR="00841F49" w:rsidRDefault="00841F49" w:rsidP="00841F49">
      <w:pPr>
        <w:spacing w:before="0" w:after="0" w:line="240" w:lineRule="auto"/>
      </w:pPr>
      <w:r>
        <w:separator/>
      </w:r>
    </w:p>
  </w:endnote>
  <w:endnote w:type="continuationSeparator" w:id="0">
    <w:p w14:paraId="00BADEEE" w14:textId="77777777" w:rsidR="00841F49" w:rsidRDefault="00841F49" w:rsidP="00841F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976C6" w14:textId="77777777" w:rsidR="00841F49" w:rsidRDefault="00841F49" w:rsidP="00841F49">
      <w:pPr>
        <w:spacing w:before="0" w:after="0" w:line="240" w:lineRule="auto"/>
      </w:pPr>
      <w:r>
        <w:separator/>
      </w:r>
    </w:p>
  </w:footnote>
  <w:footnote w:type="continuationSeparator" w:id="0">
    <w:p w14:paraId="6B11C620" w14:textId="77777777" w:rsidR="00841F49" w:rsidRDefault="00841F49" w:rsidP="00841F49">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IzszCxsLAwNzUxsTRX0lEKTi0uzszPAykwqgUAeeU1jSwAAAA="/>
  </w:docVars>
  <w:rsids>
    <w:rsidRoot w:val="00374FF7"/>
    <w:rsid w:val="000D3B55"/>
    <w:rsid w:val="000E2C0A"/>
    <w:rsid w:val="00171CF9"/>
    <w:rsid w:val="00196204"/>
    <w:rsid w:val="00217986"/>
    <w:rsid w:val="00273CC0"/>
    <w:rsid w:val="00303FCF"/>
    <w:rsid w:val="00317BD0"/>
    <w:rsid w:val="00374FF7"/>
    <w:rsid w:val="003A0ACA"/>
    <w:rsid w:val="004B1D85"/>
    <w:rsid w:val="00536B5F"/>
    <w:rsid w:val="006A42B5"/>
    <w:rsid w:val="00736619"/>
    <w:rsid w:val="00737E29"/>
    <w:rsid w:val="00747DAB"/>
    <w:rsid w:val="00790961"/>
    <w:rsid w:val="007D0BF6"/>
    <w:rsid w:val="00841F49"/>
    <w:rsid w:val="00860D55"/>
    <w:rsid w:val="008C1299"/>
    <w:rsid w:val="00941F8C"/>
    <w:rsid w:val="00946643"/>
    <w:rsid w:val="009844FA"/>
    <w:rsid w:val="00A27DB2"/>
    <w:rsid w:val="00AC6995"/>
    <w:rsid w:val="00B412D2"/>
    <w:rsid w:val="00BD0308"/>
    <w:rsid w:val="00BE5F8B"/>
    <w:rsid w:val="00C30453"/>
    <w:rsid w:val="00C91898"/>
    <w:rsid w:val="00E17A4F"/>
    <w:rsid w:val="00E91550"/>
    <w:rsid w:val="00EB4D9D"/>
    <w:rsid w:val="00EC7A3D"/>
    <w:rsid w:val="00F8339C"/>
    <w:rsid w:val="00FB70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8D61E"/>
  <w15:chartTrackingRefBased/>
  <w15:docId w15:val="{396F48E2-F197-4E55-9435-7689953AF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l-G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F49"/>
  </w:style>
  <w:style w:type="paragraph" w:styleId="Heading1">
    <w:name w:val="heading 1"/>
    <w:basedOn w:val="Normal"/>
    <w:next w:val="Normal"/>
    <w:link w:val="Heading1Char"/>
    <w:uiPriority w:val="9"/>
    <w:qFormat/>
    <w:rsid w:val="00841F49"/>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841F49"/>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841F49"/>
    <w:pPr>
      <w:pBdr>
        <w:top w:val="single" w:sz="6" w:space="2" w:color="1CADE4" w:themeColor="accent1"/>
      </w:pBdr>
      <w:spacing w:before="300" w:after="0"/>
      <w:outlineLvl w:val="2"/>
    </w:pPr>
    <w:rPr>
      <w:caps/>
      <w:color w:val="0D5571" w:themeColor="accent1" w:themeShade="7F"/>
      <w:spacing w:val="15"/>
    </w:rPr>
  </w:style>
  <w:style w:type="paragraph" w:styleId="Heading4">
    <w:name w:val="heading 4"/>
    <w:basedOn w:val="Normal"/>
    <w:next w:val="Normal"/>
    <w:link w:val="Heading4Char"/>
    <w:uiPriority w:val="9"/>
    <w:semiHidden/>
    <w:unhideWhenUsed/>
    <w:qFormat/>
    <w:rsid w:val="00841F49"/>
    <w:pPr>
      <w:pBdr>
        <w:top w:val="dotted" w:sz="6" w:space="2" w:color="1CADE4" w:themeColor="accent1"/>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semiHidden/>
    <w:unhideWhenUsed/>
    <w:qFormat/>
    <w:rsid w:val="00841F49"/>
    <w:pPr>
      <w:pBdr>
        <w:bottom w:val="single" w:sz="6" w:space="1" w:color="1CADE4" w:themeColor="accent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semiHidden/>
    <w:unhideWhenUsed/>
    <w:qFormat/>
    <w:rsid w:val="00841F49"/>
    <w:pPr>
      <w:pBdr>
        <w:bottom w:val="dotted" w:sz="6" w:space="1" w:color="1CADE4" w:themeColor="accent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semiHidden/>
    <w:unhideWhenUsed/>
    <w:qFormat/>
    <w:rsid w:val="00841F49"/>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semiHidden/>
    <w:unhideWhenUsed/>
    <w:qFormat/>
    <w:rsid w:val="00841F4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41F4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4D9D"/>
    <w:rPr>
      <w:color w:val="6B9F25" w:themeColor="hyperlink"/>
      <w:u w:val="single"/>
    </w:rPr>
  </w:style>
  <w:style w:type="character" w:customStyle="1" w:styleId="Heading1Char">
    <w:name w:val="Heading 1 Char"/>
    <w:basedOn w:val="DefaultParagraphFont"/>
    <w:link w:val="Heading1"/>
    <w:uiPriority w:val="9"/>
    <w:rsid w:val="00841F49"/>
    <w:rPr>
      <w:caps/>
      <w:color w:val="FFFFFF" w:themeColor="background1"/>
      <w:spacing w:val="15"/>
      <w:sz w:val="22"/>
      <w:szCs w:val="22"/>
      <w:shd w:val="clear" w:color="auto" w:fill="1CADE4" w:themeFill="accent1"/>
    </w:rPr>
  </w:style>
  <w:style w:type="character" w:customStyle="1" w:styleId="Heading2Char">
    <w:name w:val="Heading 2 Char"/>
    <w:basedOn w:val="DefaultParagraphFont"/>
    <w:link w:val="Heading2"/>
    <w:uiPriority w:val="9"/>
    <w:rsid w:val="00841F49"/>
    <w:rPr>
      <w:caps/>
      <w:spacing w:val="15"/>
      <w:shd w:val="clear" w:color="auto" w:fill="D1EEF9" w:themeFill="accent1" w:themeFillTint="33"/>
    </w:rPr>
  </w:style>
  <w:style w:type="paragraph" w:styleId="TOCHeading">
    <w:name w:val="TOC Heading"/>
    <w:basedOn w:val="Heading1"/>
    <w:next w:val="Normal"/>
    <w:uiPriority w:val="39"/>
    <w:unhideWhenUsed/>
    <w:qFormat/>
    <w:rsid w:val="00841F49"/>
    <w:pPr>
      <w:outlineLvl w:val="9"/>
    </w:pPr>
  </w:style>
  <w:style w:type="paragraph" w:styleId="TOC1">
    <w:name w:val="toc 1"/>
    <w:basedOn w:val="Normal"/>
    <w:next w:val="Normal"/>
    <w:autoRedefine/>
    <w:uiPriority w:val="39"/>
    <w:unhideWhenUsed/>
    <w:rsid w:val="00841F49"/>
    <w:pPr>
      <w:spacing w:after="100"/>
    </w:pPr>
  </w:style>
  <w:style w:type="paragraph" w:styleId="TOC2">
    <w:name w:val="toc 2"/>
    <w:basedOn w:val="Normal"/>
    <w:next w:val="Normal"/>
    <w:autoRedefine/>
    <w:uiPriority w:val="39"/>
    <w:unhideWhenUsed/>
    <w:rsid w:val="00841F49"/>
    <w:pPr>
      <w:spacing w:after="100"/>
      <w:ind w:left="220"/>
    </w:pPr>
  </w:style>
  <w:style w:type="character" w:customStyle="1" w:styleId="Heading3Char">
    <w:name w:val="Heading 3 Char"/>
    <w:basedOn w:val="DefaultParagraphFont"/>
    <w:link w:val="Heading3"/>
    <w:uiPriority w:val="9"/>
    <w:semiHidden/>
    <w:rsid w:val="00841F49"/>
    <w:rPr>
      <w:caps/>
      <w:color w:val="0D5571" w:themeColor="accent1" w:themeShade="7F"/>
      <w:spacing w:val="15"/>
    </w:rPr>
  </w:style>
  <w:style w:type="character" w:customStyle="1" w:styleId="Heading4Char">
    <w:name w:val="Heading 4 Char"/>
    <w:basedOn w:val="DefaultParagraphFont"/>
    <w:link w:val="Heading4"/>
    <w:uiPriority w:val="9"/>
    <w:semiHidden/>
    <w:rsid w:val="00841F49"/>
    <w:rPr>
      <w:caps/>
      <w:color w:val="1481AB" w:themeColor="accent1" w:themeShade="BF"/>
      <w:spacing w:val="10"/>
    </w:rPr>
  </w:style>
  <w:style w:type="character" w:customStyle="1" w:styleId="Heading5Char">
    <w:name w:val="Heading 5 Char"/>
    <w:basedOn w:val="DefaultParagraphFont"/>
    <w:link w:val="Heading5"/>
    <w:uiPriority w:val="9"/>
    <w:semiHidden/>
    <w:rsid w:val="00841F49"/>
    <w:rPr>
      <w:caps/>
      <w:color w:val="1481AB" w:themeColor="accent1" w:themeShade="BF"/>
      <w:spacing w:val="10"/>
    </w:rPr>
  </w:style>
  <w:style w:type="character" w:customStyle="1" w:styleId="Heading6Char">
    <w:name w:val="Heading 6 Char"/>
    <w:basedOn w:val="DefaultParagraphFont"/>
    <w:link w:val="Heading6"/>
    <w:uiPriority w:val="9"/>
    <w:semiHidden/>
    <w:rsid w:val="00841F49"/>
    <w:rPr>
      <w:caps/>
      <w:color w:val="1481AB" w:themeColor="accent1" w:themeShade="BF"/>
      <w:spacing w:val="10"/>
    </w:rPr>
  </w:style>
  <w:style w:type="character" w:customStyle="1" w:styleId="Heading7Char">
    <w:name w:val="Heading 7 Char"/>
    <w:basedOn w:val="DefaultParagraphFont"/>
    <w:link w:val="Heading7"/>
    <w:uiPriority w:val="9"/>
    <w:semiHidden/>
    <w:rsid w:val="00841F49"/>
    <w:rPr>
      <w:caps/>
      <w:color w:val="1481AB" w:themeColor="accent1" w:themeShade="BF"/>
      <w:spacing w:val="10"/>
    </w:rPr>
  </w:style>
  <w:style w:type="character" w:customStyle="1" w:styleId="Heading8Char">
    <w:name w:val="Heading 8 Char"/>
    <w:basedOn w:val="DefaultParagraphFont"/>
    <w:link w:val="Heading8"/>
    <w:uiPriority w:val="9"/>
    <w:semiHidden/>
    <w:rsid w:val="00841F49"/>
    <w:rPr>
      <w:caps/>
      <w:spacing w:val="10"/>
      <w:sz w:val="18"/>
      <w:szCs w:val="18"/>
    </w:rPr>
  </w:style>
  <w:style w:type="character" w:customStyle="1" w:styleId="Heading9Char">
    <w:name w:val="Heading 9 Char"/>
    <w:basedOn w:val="DefaultParagraphFont"/>
    <w:link w:val="Heading9"/>
    <w:uiPriority w:val="9"/>
    <w:semiHidden/>
    <w:rsid w:val="00841F49"/>
    <w:rPr>
      <w:i/>
      <w:iCs/>
      <w:caps/>
      <w:spacing w:val="10"/>
      <w:sz w:val="18"/>
      <w:szCs w:val="18"/>
    </w:rPr>
  </w:style>
  <w:style w:type="paragraph" w:styleId="Caption">
    <w:name w:val="caption"/>
    <w:basedOn w:val="Normal"/>
    <w:next w:val="Normal"/>
    <w:uiPriority w:val="35"/>
    <w:semiHidden/>
    <w:unhideWhenUsed/>
    <w:qFormat/>
    <w:rsid w:val="00841F49"/>
    <w:rPr>
      <w:b/>
      <w:bCs/>
      <w:color w:val="1481AB" w:themeColor="accent1" w:themeShade="BF"/>
      <w:sz w:val="16"/>
      <w:szCs w:val="16"/>
    </w:rPr>
  </w:style>
  <w:style w:type="paragraph" w:styleId="Title">
    <w:name w:val="Title"/>
    <w:basedOn w:val="Normal"/>
    <w:next w:val="Normal"/>
    <w:link w:val="TitleChar"/>
    <w:uiPriority w:val="10"/>
    <w:qFormat/>
    <w:rsid w:val="00841F49"/>
    <w:pPr>
      <w:spacing w:before="0" w:after="0"/>
    </w:pPr>
    <w:rPr>
      <w:rFonts w:asciiTheme="majorHAnsi" w:eastAsiaTheme="majorEastAsia" w:hAnsiTheme="majorHAnsi" w:cstheme="majorBidi"/>
      <w:caps/>
      <w:color w:val="1CADE4" w:themeColor="accent1"/>
      <w:spacing w:val="10"/>
      <w:sz w:val="52"/>
      <w:szCs w:val="52"/>
    </w:rPr>
  </w:style>
  <w:style w:type="character" w:customStyle="1" w:styleId="TitleChar">
    <w:name w:val="Title Char"/>
    <w:basedOn w:val="DefaultParagraphFont"/>
    <w:link w:val="Title"/>
    <w:uiPriority w:val="10"/>
    <w:rsid w:val="00841F49"/>
    <w:rPr>
      <w:rFonts w:asciiTheme="majorHAnsi" w:eastAsiaTheme="majorEastAsia" w:hAnsiTheme="majorHAnsi" w:cstheme="majorBidi"/>
      <w:caps/>
      <w:color w:val="1CADE4" w:themeColor="accent1"/>
      <w:spacing w:val="10"/>
      <w:sz w:val="52"/>
      <w:szCs w:val="52"/>
    </w:rPr>
  </w:style>
  <w:style w:type="paragraph" w:styleId="Subtitle">
    <w:name w:val="Subtitle"/>
    <w:basedOn w:val="Normal"/>
    <w:next w:val="Normal"/>
    <w:link w:val="SubtitleChar"/>
    <w:uiPriority w:val="11"/>
    <w:qFormat/>
    <w:rsid w:val="00841F4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41F49"/>
    <w:rPr>
      <w:caps/>
      <w:color w:val="595959" w:themeColor="text1" w:themeTint="A6"/>
      <w:spacing w:val="10"/>
      <w:sz w:val="21"/>
      <w:szCs w:val="21"/>
    </w:rPr>
  </w:style>
  <w:style w:type="character" w:styleId="Strong">
    <w:name w:val="Strong"/>
    <w:uiPriority w:val="22"/>
    <w:qFormat/>
    <w:rsid w:val="00841F49"/>
    <w:rPr>
      <w:b/>
      <w:bCs/>
    </w:rPr>
  </w:style>
  <w:style w:type="character" w:styleId="Emphasis">
    <w:name w:val="Emphasis"/>
    <w:uiPriority w:val="20"/>
    <w:qFormat/>
    <w:rsid w:val="00841F49"/>
    <w:rPr>
      <w:caps/>
      <w:color w:val="0D5571" w:themeColor="accent1" w:themeShade="7F"/>
      <w:spacing w:val="5"/>
    </w:rPr>
  </w:style>
  <w:style w:type="paragraph" w:styleId="NoSpacing">
    <w:name w:val="No Spacing"/>
    <w:uiPriority w:val="1"/>
    <w:qFormat/>
    <w:rsid w:val="00841F49"/>
    <w:pPr>
      <w:spacing w:after="0" w:line="240" w:lineRule="auto"/>
    </w:pPr>
  </w:style>
  <w:style w:type="paragraph" w:styleId="Quote">
    <w:name w:val="Quote"/>
    <w:basedOn w:val="Normal"/>
    <w:next w:val="Normal"/>
    <w:link w:val="QuoteChar"/>
    <w:uiPriority w:val="29"/>
    <w:qFormat/>
    <w:rsid w:val="00841F49"/>
    <w:rPr>
      <w:i/>
      <w:iCs/>
      <w:sz w:val="24"/>
      <w:szCs w:val="24"/>
    </w:rPr>
  </w:style>
  <w:style w:type="character" w:customStyle="1" w:styleId="QuoteChar">
    <w:name w:val="Quote Char"/>
    <w:basedOn w:val="DefaultParagraphFont"/>
    <w:link w:val="Quote"/>
    <w:uiPriority w:val="29"/>
    <w:rsid w:val="00841F49"/>
    <w:rPr>
      <w:i/>
      <w:iCs/>
      <w:sz w:val="24"/>
      <w:szCs w:val="24"/>
    </w:rPr>
  </w:style>
  <w:style w:type="paragraph" w:styleId="IntenseQuote">
    <w:name w:val="Intense Quote"/>
    <w:basedOn w:val="Normal"/>
    <w:next w:val="Normal"/>
    <w:link w:val="IntenseQuoteChar"/>
    <w:uiPriority w:val="30"/>
    <w:qFormat/>
    <w:rsid w:val="00841F49"/>
    <w:pPr>
      <w:spacing w:before="240" w:after="240" w:line="240" w:lineRule="auto"/>
      <w:ind w:left="1080" w:right="1080"/>
      <w:jc w:val="center"/>
    </w:pPr>
    <w:rPr>
      <w:color w:val="1CADE4" w:themeColor="accent1"/>
      <w:sz w:val="24"/>
      <w:szCs w:val="24"/>
    </w:rPr>
  </w:style>
  <w:style w:type="character" w:customStyle="1" w:styleId="IntenseQuoteChar">
    <w:name w:val="Intense Quote Char"/>
    <w:basedOn w:val="DefaultParagraphFont"/>
    <w:link w:val="IntenseQuote"/>
    <w:uiPriority w:val="30"/>
    <w:rsid w:val="00841F49"/>
    <w:rPr>
      <w:color w:val="1CADE4" w:themeColor="accent1"/>
      <w:sz w:val="24"/>
      <w:szCs w:val="24"/>
    </w:rPr>
  </w:style>
  <w:style w:type="character" w:styleId="SubtleEmphasis">
    <w:name w:val="Subtle Emphasis"/>
    <w:uiPriority w:val="19"/>
    <w:qFormat/>
    <w:rsid w:val="00841F49"/>
    <w:rPr>
      <w:i/>
      <w:iCs/>
      <w:color w:val="0D5571" w:themeColor="accent1" w:themeShade="7F"/>
    </w:rPr>
  </w:style>
  <w:style w:type="character" w:styleId="IntenseEmphasis">
    <w:name w:val="Intense Emphasis"/>
    <w:uiPriority w:val="21"/>
    <w:qFormat/>
    <w:rsid w:val="00841F49"/>
    <w:rPr>
      <w:b/>
      <w:bCs/>
      <w:caps/>
      <w:color w:val="0D5571" w:themeColor="accent1" w:themeShade="7F"/>
      <w:spacing w:val="10"/>
    </w:rPr>
  </w:style>
  <w:style w:type="character" w:styleId="SubtleReference">
    <w:name w:val="Subtle Reference"/>
    <w:uiPriority w:val="31"/>
    <w:qFormat/>
    <w:rsid w:val="00841F49"/>
    <w:rPr>
      <w:b/>
      <w:bCs/>
      <w:color w:val="1CADE4" w:themeColor="accent1"/>
    </w:rPr>
  </w:style>
  <w:style w:type="character" w:styleId="IntenseReference">
    <w:name w:val="Intense Reference"/>
    <w:uiPriority w:val="32"/>
    <w:qFormat/>
    <w:rsid w:val="00841F49"/>
    <w:rPr>
      <w:b/>
      <w:bCs/>
      <w:i/>
      <w:iCs/>
      <w:caps/>
      <w:color w:val="1CADE4" w:themeColor="accent1"/>
    </w:rPr>
  </w:style>
  <w:style w:type="character" w:styleId="BookTitle">
    <w:name w:val="Book Title"/>
    <w:uiPriority w:val="33"/>
    <w:qFormat/>
    <w:rsid w:val="00841F49"/>
    <w:rPr>
      <w:b/>
      <w:bCs/>
      <w:i/>
      <w:iCs/>
      <w:spacing w:val="0"/>
    </w:rPr>
  </w:style>
  <w:style w:type="paragraph" w:styleId="FootnoteText">
    <w:name w:val="footnote text"/>
    <w:basedOn w:val="Normal"/>
    <w:link w:val="FootnoteTextChar"/>
    <w:uiPriority w:val="99"/>
    <w:semiHidden/>
    <w:unhideWhenUsed/>
    <w:rsid w:val="00841F49"/>
    <w:pPr>
      <w:spacing w:before="0" w:after="0" w:line="240" w:lineRule="auto"/>
    </w:pPr>
  </w:style>
  <w:style w:type="character" w:customStyle="1" w:styleId="FootnoteTextChar">
    <w:name w:val="Footnote Text Char"/>
    <w:basedOn w:val="DefaultParagraphFont"/>
    <w:link w:val="FootnoteText"/>
    <w:uiPriority w:val="99"/>
    <w:semiHidden/>
    <w:rsid w:val="00841F49"/>
  </w:style>
  <w:style w:type="character" w:styleId="FootnoteReference">
    <w:name w:val="footnote reference"/>
    <w:basedOn w:val="DefaultParagraphFont"/>
    <w:uiPriority w:val="99"/>
    <w:semiHidden/>
    <w:unhideWhenUsed/>
    <w:rsid w:val="00841F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CEFA0-C55A-4122-A3E4-2C941DBE8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989</TotalTime>
  <Pages>6</Pages>
  <Words>11959</Words>
  <Characters>68172</Characters>
  <Application>Microsoft Office Word</Application>
  <DocSecurity>0</DocSecurity>
  <Lines>568</Lines>
  <Paragraphs>159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Yannis Fotopoulos</dc:creator>
  <cp:keywords/>
  <dc:description/>
  <cp:lastModifiedBy>Dimitris Varoutas</cp:lastModifiedBy>
  <cp:revision>14</cp:revision>
  <dcterms:created xsi:type="dcterms:W3CDTF">2019-05-18T18:15:00Z</dcterms:created>
  <dcterms:modified xsi:type="dcterms:W3CDTF">2019-05-19T10:44:00Z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http://www.zotero.org/styles/bmc-psychiatry</vt:lpwstr>
  </property>
  <property fmtid="{D5CDD505-2E9C-101B-9397-08002B2CF9AE}" pid="9" name="Mendeley Recent Style Name 3_1">
    <vt:lpwstr>BMC Psychiatry</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d9d04fc7-070e-34e4-8ada-316a76542727</vt:lpwstr>
  </property>
  <property fmtid="{D5CDD505-2E9C-101B-9397-08002B2CF9AE}" pid="24" name="Mendeley Citation Style_1">
    <vt:lpwstr>http://www.zotero.org/styles/apa</vt:lpwstr>
  </property>
</Properties>
</file>