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3A07" w14:textId="43FA2778" w:rsidR="003C5C80" w:rsidRDefault="003C5C80" w:rsidP="00592D3C">
      <w:pPr>
        <w:autoSpaceDE w:val="0"/>
        <w:autoSpaceDN w:val="0"/>
        <w:adjustRightInd w:val="0"/>
        <w:rPr>
          <w:rFonts w:ascii="Times New Roman" w:hAnsi="Times New Roman" w:cs="Times New Roman"/>
          <w:b/>
          <w:bCs/>
          <w:kern w:val="0"/>
          <w:sz w:val="22"/>
          <w:szCs w:val="22"/>
          <w:lang w:val="en-GB"/>
        </w:rPr>
      </w:pPr>
      <w:r>
        <w:rPr>
          <w:rFonts w:ascii="Times New Roman" w:hAnsi="Times New Roman" w:cs="Times New Roman"/>
          <w:b/>
          <w:bCs/>
          <w:kern w:val="0"/>
          <w:sz w:val="22"/>
          <w:szCs w:val="22"/>
          <w:lang w:val="en-GB"/>
        </w:rPr>
        <w:t>Conceptions and Concepts</w:t>
      </w:r>
    </w:p>
    <w:p w14:paraId="303F32B4" w14:textId="77777777" w:rsidR="003C5C80" w:rsidRDefault="003C5C80" w:rsidP="00592D3C">
      <w:pPr>
        <w:autoSpaceDE w:val="0"/>
        <w:autoSpaceDN w:val="0"/>
        <w:adjustRightInd w:val="0"/>
        <w:rPr>
          <w:rFonts w:ascii="Times New Roman" w:hAnsi="Times New Roman" w:cs="Times New Roman"/>
          <w:b/>
          <w:bCs/>
          <w:kern w:val="0"/>
          <w:sz w:val="22"/>
          <w:szCs w:val="22"/>
          <w:lang w:val="en-GB"/>
        </w:rPr>
      </w:pPr>
    </w:p>
    <w:p w14:paraId="540E1508" w14:textId="51868006" w:rsidR="00592D3C" w:rsidRPr="00592D3C" w:rsidRDefault="00592D3C" w:rsidP="00592D3C">
      <w:pPr>
        <w:autoSpaceDE w:val="0"/>
        <w:autoSpaceDN w:val="0"/>
        <w:adjustRightInd w:val="0"/>
        <w:rPr>
          <w:rFonts w:ascii="Times New Roman" w:hAnsi="Times New Roman" w:cs="Times New Roman"/>
          <w:b/>
          <w:bCs/>
          <w:kern w:val="0"/>
          <w:sz w:val="22"/>
          <w:szCs w:val="22"/>
          <w:lang w:val="en-GB"/>
        </w:rPr>
      </w:pPr>
      <w:r w:rsidRPr="00592D3C">
        <w:rPr>
          <w:rFonts w:ascii="Times New Roman" w:hAnsi="Times New Roman" w:cs="Times New Roman"/>
          <w:b/>
          <w:bCs/>
          <w:kern w:val="0"/>
          <w:sz w:val="22"/>
          <w:szCs w:val="22"/>
          <w:lang w:val="en-GB"/>
        </w:rPr>
        <w:t xml:space="preserve">LS27A. Seneca, </w:t>
      </w:r>
      <w:r w:rsidRPr="00592D3C">
        <w:rPr>
          <w:rFonts w:ascii="Times New Roman" w:hAnsi="Times New Roman" w:cs="Times New Roman"/>
          <w:b/>
          <w:bCs/>
          <w:i/>
          <w:iCs/>
          <w:kern w:val="0"/>
          <w:sz w:val="22"/>
          <w:szCs w:val="22"/>
          <w:lang w:val="en-GB"/>
        </w:rPr>
        <w:t>Letters</w:t>
      </w:r>
      <w:r w:rsidRPr="00592D3C">
        <w:rPr>
          <w:rFonts w:ascii="Times New Roman" w:hAnsi="Times New Roman" w:cs="Times New Roman"/>
          <w:b/>
          <w:bCs/>
          <w:kern w:val="0"/>
          <w:sz w:val="22"/>
          <w:szCs w:val="22"/>
          <w:lang w:val="en-GB"/>
        </w:rPr>
        <w:t xml:space="preserve"> 58.13–15 (SVF 2.332, part)</w:t>
      </w:r>
    </w:p>
    <w:p w14:paraId="5A2CEF6F" w14:textId="6E8036E1" w:rsidR="00592D3C" w:rsidRPr="00592D3C" w:rsidRDefault="00592D3C" w:rsidP="00592D3C">
      <w:pPr>
        <w:autoSpaceDE w:val="0"/>
        <w:autoSpaceDN w:val="0"/>
        <w:adjustRightInd w:val="0"/>
        <w:rPr>
          <w:rFonts w:ascii="Times New Roman" w:hAnsi="Times New Roman" w:cs="Times New Roman"/>
          <w:kern w:val="0"/>
          <w:sz w:val="22"/>
          <w:szCs w:val="22"/>
          <w:lang w:val="en-GB"/>
        </w:rPr>
      </w:pPr>
      <w:r w:rsidRPr="00592D3C">
        <w:rPr>
          <w:rFonts w:ascii="Times New Roman" w:hAnsi="Times New Roman" w:cs="Times New Roman"/>
          <w:kern w:val="0"/>
          <w:sz w:val="22"/>
          <w:szCs w:val="22"/>
          <w:lang w:val="en-GB"/>
        </w:rPr>
        <w:t>The Stoics want to place above this [the existent</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 xml:space="preserve"> yet another, more primary genus... Some Stoics consider </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something</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 xml:space="preserve"> the first genus, and I shall add the reason why they do. In nature, they say, some things exist, some do not exist. But nature includes even those which do not exist – things which enter the mind, such as Centaurs, giants, and whatever else falsely formed by thought takes on some image despite lacking substance.</w:t>
      </w:r>
    </w:p>
    <w:p w14:paraId="66C45996" w14:textId="77777777" w:rsidR="00592D3C" w:rsidRPr="00592D3C" w:rsidRDefault="00592D3C" w:rsidP="00592D3C">
      <w:pPr>
        <w:autoSpaceDE w:val="0"/>
        <w:autoSpaceDN w:val="0"/>
        <w:adjustRightInd w:val="0"/>
        <w:rPr>
          <w:rFonts w:ascii="Times New Roman" w:hAnsi="Times New Roman" w:cs="Times New Roman"/>
          <w:kern w:val="0"/>
          <w:sz w:val="22"/>
          <w:szCs w:val="22"/>
          <w:lang w:val="en-GB"/>
        </w:rPr>
      </w:pPr>
    </w:p>
    <w:p w14:paraId="08EA584F" w14:textId="34F83B77" w:rsidR="00592D3C" w:rsidRPr="00592D3C" w:rsidRDefault="00592D3C" w:rsidP="00592D3C">
      <w:pPr>
        <w:autoSpaceDE w:val="0"/>
        <w:autoSpaceDN w:val="0"/>
        <w:adjustRightInd w:val="0"/>
        <w:rPr>
          <w:rFonts w:ascii="Times New Roman" w:hAnsi="Times New Roman" w:cs="Times New Roman"/>
          <w:b/>
          <w:bCs/>
          <w:kern w:val="0"/>
          <w:sz w:val="22"/>
          <w:szCs w:val="22"/>
          <w:lang w:val="en-GB"/>
        </w:rPr>
      </w:pPr>
      <w:r w:rsidRPr="00592D3C">
        <w:rPr>
          <w:rFonts w:ascii="Times New Roman" w:hAnsi="Times New Roman" w:cs="Times New Roman"/>
          <w:b/>
          <w:bCs/>
          <w:kern w:val="0"/>
          <w:sz w:val="22"/>
          <w:szCs w:val="22"/>
          <w:lang w:val="en-GB"/>
        </w:rPr>
        <w:t xml:space="preserve">B. Alexander, </w:t>
      </w:r>
      <w:r w:rsidRPr="00592D3C">
        <w:rPr>
          <w:rFonts w:ascii="Times New Roman" w:hAnsi="Times New Roman" w:cs="Times New Roman"/>
          <w:b/>
          <w:bCs/>
          <w:i/>
          <w:iCs/>
          <w:kern w:val="0"/>
          <w:sz w:val="22"/>
          <w:szCs w:val="22"/>
          <w:lang w:val="en-GB"/>
        </w:rPr>
        <w:t>On Aristotle's Topics</w:t>
      </w:r>
      <w:r w:rsidRPr="00592D3C">
        <w:rPr>
          <w:rFonts w:ascii="Times New Roman" w:hAnsi="Times New Roman" w:cs="Times New Roman"/>
          <w:b/>
          <w:bCs/>
          <w:kern w:val="0"/>
          <w:sz w:val="22"/>
          <w:szCs w:val="22"/>
          <w:lang w:val="en-GB"/>
        </w:rPr>
        <w:t xml:space="preserve"> 301,10–25 (SVF 2.329)</w:t>
      </w:r>
    </w:p>
    <w:p w14:paraId="780F0A77" w14:textId="25E16DDF" w:rsidR="00592D3C" w:rsidRPr="00592D3C" w:rsidRDefault="00592D3C" w:rsidP="00592D3C">
      <w:pPr>
        <w:autoSpaceDE w:val="0"/>
        <w:autoSpaceDN w:val="0"/>
        <w:adjustRightInd w:val="0"/>
        <w:rPr>
          <w:rFonts w:ascii="Times New Roman" w:hAnsi="Times New Roman" w:cs="Times New Roman"/>
          <w:kern w:val="0"/>
          <w:sz w:val="22"/>
          <w:szCs w:val="22"/>
          <w:lang w:val="en-GB"/>
        </w:rPr>
      </w:pPr>
      <w:r w:rsidRPr="00592D3C">
        <w:rPr>
          <w:rFonts w:ascii="Times New Roman" w:hAnsi="Times New Roman" w:cs="Times New Roman"/>
          <w:kern w:val="0"/>
          <w:sz w:val="22"/>
          <w:szCs w:val="22"/>
          <w:lang w:val="en-GB"/>
        </w:rPr>
        <w:t>This is how you could show the impropriety of the Stoics</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 xml:space="preserve"> making </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something</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 xml:space="preserve"> the genus </w:t>
      </w:r>
      <w:r>
        <w:rPr>
          <w:rFonts w:ascii="Times New Roman" w:hAnsi="Times New Roman" w:cs="Times New Roman"/>
          <w:kern w:val="0"/>
          <w:sz w:val="22"/>
          <w:szCs w:val="22"/>
          <w:lang w:val="en-GB"/>
        </w:rPr>
        <w:t>t</w:t>
      </w:r>
      <w:r w:rsidRPr="00592D3C">
        <w:rPr>
          <w:rFonts w:ascii="Times New Roman" w:hAnsi="Times New Roman" w:cs="Times New Roman"/>
          <w:kern w:val="0"/>
          <w:sz w:val="22"/>
          <w:szCs w:val="22"/>
          <w:lang w:val="en-GB"/>
        </w:rPr>
        <w:t xml:space="preserve">o which the existent belongs: if it is something it is obviously also existent, and if existent it would receive the definition of the existent. But they would escape the difficulty by legislating for themselves </w:t>
      </w:r>
      <w:r>
        <w:rPr>
          <w:rFonts w:ascii="Times New Roman" w:hAnsi="Times New Roman" w:cs="Times New Roman"/>
          <w:kern w:val="0"/>
          <w:sz w:val="22"/>
          <w:szCs w:val="22"/>
          <w:lang w:val="en-GB"/>
        </w:rPr>
        <w:t>t</w:t>
      </w:r>
      <w:r w:rsidRPr="00592D3C">
        <w:rPr>
          <w:rFonts w:ascii="Times New Roman" w:hAnsi="Times New Roman" w:cs="Times New Roman"/>
          <w:kern w:val="0"/>
          <w:sz w:val="22"/>
          <w:szCs w:val="22"/>
          <w:lang w:val="en-GB"/>
        </w:rPr>
        <w:t xml:space="preserve">hat </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existent</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 xml:space="preserve"> is said only of bodies; for on this ground they say that </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something</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 xml:space="preserve"> is more generic than it, being predicated not only of bodies but also of incorporeals.</w:t>
      </w:r>
    </w:p>
    <w:p w14:paraId="4A55BE7B" w14:textId="77777777" w:rsidR="00592D3C" w:rsidRPr="00592D3C" w:rsidRDefault="00592D3C" w:rsidP="00592D3C">
      <w:pPr>
        <w:autoSpaceDE w:val="0"/>
        <w:autoSpaceDN w:val="0"/>
        <w:adjustRightInd w:val="0"/>
        <w:rPr>
          <w:rFonts w:ascii="Times New Roman" w:hAnsi="Times New Roman" w:cs="Times New Roman"/>
          <w:kern w:val="0"/>
          <w:sz w:val="22"/>
          <w:szCs w:val="22"/>
          <w:lang w:val="en-GB"/>
        </w:rPr>
      </w:pPr>
    </w:p>
    <w:p w14:paraId="7411812C" w14:textId="52504222" w:rsidR="00592D3C" w:rsidRPr="00592D3C" w:rsidRDefault="00592D3C" w:rsidP="00592D3C">
      <w:pPr>
        <w:autoSpaceDE w:val="0"/>
        <w:autoSpaceDN w:val="0"/>
        <w:adjustRightInd w:val="0"/>
        <w:rPr>
          <w:rFonts w:ascii="Times New Roman" w:hAnsi="Times New Roman" w:cs="Times New Roman"/>
          <w:b/>
          <w:bCs/>
          <w:kern w:val="0"/>
          <w:sz w:val="22"/>
          <w:szCs w:val="22"/>
          <w:lang w:val="en-GB"/>
        </w:rPr>
      </w:pPr>
      <w:r w:rsidRPr="00592D3C">
        <w:rPr>
          <w:rFonts w:ascii="Times New Roman" w:hAnsi="Times New Roman" w:cs="Times New Roman"/>
          <w:b/>
          <w:bCs/>
          <w:kern w:val="0"/>
          <w:sz w:val="22"/>
          <w:szCs w:val="22"/>
          <w:lang w:val="en-GB"/>
        </w:rPr>
        <w:t xml:space="preserve">C. Sextus Empiricus, </w:t>
      </w:r>
      <w:r w:rsidRPr="00592D3C">
        <w:rPr>
          <w:rFonts w:ascii="Times New Roman" w:hAnsi="Times New Roman" w:cs="Times New Roman"/>
          <w:b/>
          <w:bCs/>
          <w:i/>
          <w:iCs/>
          <w:kern w:val="0"/>
          <w:sz w:val="22"/>
          <w:szCs w:val="22"/>
          <w:lang w:val="en-GB"/>
        </w:rPr>
        <w:t>Against the professors</w:t>
      </w:r>
      <w:r w:rsidRPr="00592D3C">
        <w:rPr>
          <w:rFonts w:ascii="Times New Roman" w:hAnsi="Times New Roman" w:cs="Times New Roman"/>
          <w:b/>
          <w:bCs/>
          <w:kern w:val="0"/>
          <w:sz w:val="22"/>
          <w:szCs w:val="22"/>
          <w:lang w:val="en-GB"/>
        </w:rPr>
        <w:t xml:space="preserve"> 1.17 (S</w:t>
      </w:r>
      <w:r>
        <w:rPr>
          <w:rFonts w:ascii="Times New Roman" w:hAnsi="Times New Roman" w:cs="Times New Roman"/>
          <w:b/>
          <w:bCs/>
          <w:kern w:val="0"/>
          <w:sz w:val="22"/>
          <w:szCs w:val="22"/>
          <w:lang w:val="en-GB"/>
        </w:rPr>
        <w:t>V</w:t>
      </w:r>
      <w:r w:rsidRPr="00592D3C">
        <w:rPr>
          <w:rFonts w:ascii="Times New Roman" w:hAnsi="Times New Roman" w:cs="Times New Roman"/>
          <w:b/>
          <w:bCs/>
          <w:kern w:val="0"/>
          <w:sz w:val="22"/>
          <w:szCs w:val="22"/>
          <w:lang w:val="en-GB"/>
        </w:rPr>
        <w:t>F 2.330)</w:t>
      </w:r>
    </w:p>
    <w:p w14:paraId="46449162" w14:textId="14C977B2" w:rsidR="00592D3C" w:rsidRPr="00592D3C" w:rsidRDefault="00592D3C" w:rsidP="00592D3C">
      <w:pPr>
        <w:autoSpaceDE w:val="0"/>
        <w:autoSpaceDN w:val="0"/>
        <w:adjustRightInd w:val="0"/>
        <w:rPr>
          <w:rFonts w:ascii="Times New Roman" w:hAnsi="Times New Roman" w:cs="Times New Roman"/>
          <w:kern w:val="0"/>
          <w:sz w:val="22"/>
          <w:szCs w:val="22"/>
          <w:lang w:val="en-GB"/>
        </w:rPr>
      </w:pPr>
      <w:r w:rsidRPr="00592D3C">
        <w:rPr>
          <w:rFonts w:ascii="Times New Roman" w:hAnsi="Times New Roman" w:cs="Times New Roman"/>
          <w:kern w:val="0"/>
          <w:sz w:val="22"/>
          <w:szCs w:val="22"/>
          <w:lang w:val="en-GB"/>
        </w:rPr>
        <w:t>If something is taught, it will be taught either through not-somethings, or through somethings. But it cannot be taught through not-somethings, for these have no subsistence for the mind, according to the Stoics.</w:t>
      </w:r>
    </w:p>
    <w:p w14:paraId="285349A2" w14:textId="77777777" w:rsidR="00592D3C" w:rsidRPr="00592D3C" w:rsidRDefault="00592D3C" w:rsidP="00592D3C">
      <w:pPr>
        <w:autoSpaceDE w:val="0"/>
        <w:autoSpaceDN w:val="0"/>
        <w:adjustRightInd w:val="0"/>
        <w:rPr>
          <w:rFonts w:ascii="Times New Roman" w:hAnsi="Times New Roman" w:cs="Times New Roman"/>
          <w:kern w:val="0"/>
          <w:sz w:val="22"/>
          <w:szCs w:val="22"/>
          <w:lang w:val="en-GB"/>
        </w:rPr>
      </w:pPr>
    </w:p>
    <w:p w14:paraId="4F8A2C40" w14:textId="1323FD39" w:rsidR="00592D3C" w:rsidRPr="00592D3C" w:rsidRDefault="00592D3C" w:rsidP="00592D3C">
      <w:pPr>
        <w:autoSpaceDE w:val="0"/>
        <w:autoSpaceDN w:val="0"/>
        <w:adjustRightInd w:val="0"/>
        <w:rPr>
          <w:rFonts w:ascii="Times New Roman" w:hAnsi="Times New Roman" w:cs="Times New Roman"/>
          <w:b/>
          <w:bCs/>
          <w:kern w:val="0"/>
          <w:sz w:val="22"/>
          <w:szCs w:val="22"/>
          <w:lang w:val="en-GB"/>
        </w:rPr>
      </w:pPr>
      <w:r w:rsidRPr="00592D3C">
        <w:rPr>
          <w:rFonts w:ascii="Times New Roman" w:hAnsi="Times New Roman" w:cs="Times New Roman"/>
          <w:b/>
          <w:bCs/>
          <w:kern w:val="0"/>
          <w:sz w:val="22"/>
          <w:szCs w:val="22"/>
          <w:lang w:val="en-GB"/>
        </w:rPr>
        <w:t xml:space="preserve">D. Sextus Empiricus, </w:t>
      </w:r>
      <w:r w:rsidRPr="00592D3C">
        <w:rPr>
          <w:rFonts w:ascii="Times New Roman" w:hAnsi="Times New Roman" w:cs="Times New Roman"/>
          <w:b/>
          <w:bCs/>
          <w:i/>
          <w:iCs/>
          <w:kern w:val="0"/>
          <w:sz w:val="22"/>
          <w:szCs w:val="22"/>
          <w:lang w:val="en-GB"/>
        </w:rPr>
        <w:t>Against the professors</w:t>
      </w:r>
      <w:r w:rsidRPr="00592D3C">
        <w:rPr>
          <w:rFonts w:ascii="Times New Roman" w:hAnsi="Times New Roman" w:cs="Times New Roman"/>
          <w:b/>
          <w:bCs/>
          <w:kern w:val="0"/>
          <w:sz w:val="22"/>
          <w:szCs w:val="22"/>
          <w:lang w:val="en-GB"/>
        </w:rPr>
        <w:t xml:space="preserve"> 10.218 (SVF 2.331, part)</w:t>
      </w:r>
    </w:p>
    <w:p w14:paraId="0D7E6594" w14:textId="3A87E25F" w:rsidR="00592D3C" w:rsidRPr="00592D3C" w:rsidRDefault="00592D3C" w:rsidP="00592D3C">
      <w:pPr>
        <w:autoSpaceDE w:val="0"/>
        <w:autoSpaceDN w:val="0"/>
        <w:adjustRightInd w:val="0"/>
        <w:rPr>
          <w:rFonts w:ascii="Times New Roman" w:hAnsi="Times New Roman" w:cs="Times New Roman"/>
          <w:kern w:val="0"/>
          <w:sz w:val="22"/>
          <w:szCs w:val="22"/>
          <w:lang w:val="en-GB"/>
        </w:rPr>
      </w:pPr>
      <w:r w:rsidRPr="00592D3C">
        <w:rPr>
          <w:rFonts w:ascii="Times New Roman" w:hAnsi="Times New Roman" w:cs="Times New Roman"/>
          <w:kern w:val="0"/>
          <w:sz w:val="22"/>
          <w:szCs w:val="22"/>
          <w:lang w:val="en-GB"/>
        </w:rPr>
        <w:t xml:space="preserve">They [the Stoics] say that of somethings some are bodies, others incorporeals, and they list four species of incorporeals </w:t>
      </w:r>
      <w:r>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 xml:space="preserve"> sayable (</w:t>
      </w:r>
      <w:r w:rsidRPr="00592D3C">
        <w:rPr>
          <w:rFonts w:ascii="Times New Roman" w:hAnsi="Times New Roman" w:cs="Times New Roman"/>
          <w:i/>
          <w:iCs/>
          <w:kern w:val="0"/>
          <w:sz w:val="22"/>
          <w:szCs w:val="22"/>
          <w:lang w:val="en-GB"/>
        </w:rPr>
        <w:t>lekton</w:t>
      </w:r>
      <w:r w:rsidRPr="00592D3C">
        <w:rPr>
          <w:rFonts w:ascii="Times New Roman" w:hAnsi="Times New Roman" w:cs="Times New Roman"/>
          <w:kern w:val="0"/>
          <w:sz w:val="22"/>
          <w:szCs w:val="22"/>
          <w:lang w:val="en-GB"/>
        </w:rPr>
        <w:t>), void, place, and time.</w:t>
      </w:r>
    </w:p>
    <w:p w14:paraId="6ACA859A" w14:textId="77777777" w:rsidR="00592D3C" w:rsidRPr="00592D3C" w:rsidRDefault="00592D3C" w:rsidP="009B5517">
      <w:pPr>
        <w:autoSpaceDE w:val="0"/>
        <w:autoSpaceDN w:val="0"/>
        <w:adjustRightInd w:val="0"/>
        <w:rPr>
          <w:rFonts w:ascii="Times New Roman" w:hAnsi="Times New Roman" w:cs="Times New Roman"/>
          <w:b/>
          <w:bCs/>
          <w:kern w:val="0"/>
          <w:sz w:val="22"/>
          <w:szCs w:val="22"/>
          <w:lang w:val="en-GB"/>
        </w:rPr>
      </w:pPr>
    </w:p>
    <w:p w14:paraId="06025A9C" w14:textId="450BA520" w:rsidR="009B5517" w:rsidRPr="00592D3C" w:rsidRDefault="00592D3C" w:rsidP="009B5517">
      <w:pPr>
        <w:autoSpaceDE w:val="0"/>
        <w:autoSpaceDN w:val="0"/>
        <w:adjustRightInd w:val="0"/>
        <w:rPr>
          <w:rFonts w:ascii="Times New Roman" w:hAnsi="Times New Roman" w:cs="Times New Roman"/>
          <w:b/>
          <w:bCs/>
          <w:kern w:val="0"/>
          <w:sz w:val="22"/>
          <w:szCs w:val="22"/>
          <w:lang w:val="en-GB"/>
        </w:rPr>
      </w:pPr>
      <w:r w:rsidRPr="00592D3C">
        <w:rPr>
          <w:rFonts w:ascii="Times New Roman" w:hAnsi="Times New Roman" w:cs="Times New Roman"/>
          <w:b/>
          <w:bCs/>
          <w:kern w:val="0"/>
          <w:sz w:val="22"/>
          <w:szCs w:val="22"/>
          <w:lang w:val="en-GB"/>
        </w:rPr>
        <w:t>LS 30</w:t>
      </w:r>
      <w:r w:rsidR="009B5517" w:rsidRPr="00592D3C">
        <w:rPr>
          <w:rFonts w:ascii="Times New Roman" w:hAnsi="Times New Roman" w:cs="Times New Roman"/>
          <w:b/>
          <w:bCs/>
          <w:kern w:val="0"/>
          <w:sz w:val="22"/>
          <w:szCs w:val="22"/>
          <w:lang w:val="en-GB"/>
        </w:rPr>
        <w:t>A. Stobaeus 1.136,21–137,6 (SVF 1.65)</w:t>
      </w:r>
    </w:p>
    <w:p w14:paraId="47855901" w14:textId="68E548EA" w:rsidR="009B5517" w:rsidRPr="00592D3C" w:rsidRDefault="009B5517" w:rsidP="00592D3C">
      <w:pPr>
        <w:autoSpaceDE w:val="0"/>
        <w:autoSpaceDN w:val="0"/>
        <w:adjustRightInd w:val="0"/>
        <w:rPr>
          <w:rFonts w:ascii="Times New Roman" w:hAnsi="Times New Roman" w:cs="Times New Roman"/>
          <w:kern w:val="0"/>
          <w:sz w:val="22"/>
          <w:szCs w:val="22"/>
          <w:lang w:val="en-GB"/>
        </w:rPr>
      </w:pPr>
      <w:r w:rsidRPr="00592D3C">
        <w:rPr>
          <w:rFonts w:ascii="Times New Roman" w:hAnsi="Times New Roman" w:cs="Times New Roman"/>
          <w:kern w:val="0"/>
          <w:sz w:val="22"/>
          <w:szCs w:val="22"/>
          <w:lang w:val="en-GB"/>
        </w:rPr>
        <w:t>(l) (Zeno</w:t>
      </w:r>
      <w:r w:rsidR="00592D3C">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s doctrine) They say that concepts are neither somethings nor qualified, but figments of the soul which are quasi-somethings and quasi-qualified. (2) These, they say, are what the old philosophers called Ideas. For the Ideas are of the things which are classified under the concepts, such as men, horses, and in general all the animals and other things of</w:t>
      </w:r>
      <w:r w:rsidR="00592D3C">
        <w:rPr>
          <w:rFonts w:ascii="Times New Roman" w:hAnsi="Times New Roman" w:cs="Times New Roman"/>
          <w:kern w:val="0"/>
          <w:sz w:val="22"/>
          <w:szCs w:val="22"/>
          <w:lang w:val="en-GB"/>
        </w:rPr>
        <w:t xml:space="preserve"> </w:t>
      </w:r>
      <w:r w:rsidRPr="00592D3C">
        <w:rPr>
          <w:rFonts w:ascii="Times New Roman" w:hAnsi="Times New Roman" w:cs="Times New Roman"/>
          <w:kern w:val="0"/>
          <w:sz w:val="22"/>
          <w:szCs w:val="22"/>
          <w:lang w:val="en-GB"/>
        </w:rPr>
        <w:t>which they say that there are Ideas. (3) The Stoic philosophers say that there are no Ideas, and that what we ‘participate in’ is the concepts, while what we ‘bear’ is those cases which they call ‘appellatives’.</w:t>
      </w:r>
    </w:p>
    <w:p w14:paraId="29A99503" w14:textId="77777777" w:rsidR="009B5517" w:rsidRPr="00592D3C" w:rsidRDefault="009B5517" w:rsidP="009B5517">
      <w:pPr>
        <w:autoSpaceDE w:val="0"/>
        <w:autoSpaceDN w:val="0"/>
        <w:adjustRightInd w:val="0"/>
        <w:rPr>
          <w:rFonts w:ascii="Times New Roman" w:hAnsi="Times New Roman" w:cs="Times New Roman"/>
          <w:kern w:val="0"/>
          <w:sz w:val="22"/>
          <w:szCs w:val="22"/>
          <w:lang w:val="en-GB"/>
        </w:rPr>
      </w:pPr>
    </w:p>
    <w:p w14:paraId="4EEEA799" w14:textId="75EE78ED" w:rsidR="009B5517" w:rsidRPr="00592D3C" w:rsidRDefault="009B5517" w:rsidP="009B5517">
      <w:pPr>
        <w:autoSpaceDE w:val="0"/>
        <w:autoSpaceDN w:val="0"/>
        <w:adjustRightInd w:val="0"/>
        <w:rPr>
          <w:rFonts w:ascii="Times New Roman" w:hAnsi="Times New Roman" w:cs="Times New Roman"/>
          <w:b/>
          <w:bCs/>
          <w:kern w:val="0"/>
          <w:sz w:val="22"/>
          <w:szCs w:val="22"/>
          <w:lang w:val="en-GB"/>
        </w:rPr>
      </w:pPr>
      <w:r w:rsidRPr="00592D3C">
        <w:rPr>
          <w:rFonts w:ascii="Times New Roman" w:hAnsi="Times New Roman" w:cs="Times New Roman"/>
          <w:b/>
          <w:bCs/>
          <w:kern w:val="0"/>
          <w:sz w:val="22"/>
          <w:szCs w:val="22"/>
          <w:lang w:val="en-GB"/>
        </w:rPr>
        <w:t>C. Diogenes Laertius 7.60</w:t>
      </w:r>
      <w:r w:rsidR="00592D3C">
        <w:rPr>
          <w:rFonts w:ascii="Times New Roman" w:hAnsi="Times New Roman" w:cs="Times New Roman"/>
          <w:b/>
          <w:bCs/>
          <w:kern w:val="0"/>
          <w:sz w:val="22"/>
          <w:szCs w:val="22"/>
          <w:lang w:val="en-GB"/>
        </w:rPr>
        <w:t>–</w:t>
      </w:r>
      <w:r w:rsidRPr="00592D3C">
        <w:rPr>
          <w:rFonts w:ascii="Times New Roman" w:hAnsi="Times New Roman" w:cs="Times New Roman"/>
          <w:b/>
          <w:bCs/>
          <w:kern w:val="0"/>
          <w:sz w:val="22"/>
          <w:szCs w:val="22"/>
          <w:lang w:val="en-GB"/>
        </w:rPr>
        <w:t>1</w:t>
      </w:r>
    </w:p>
    <w:p w14:paraId="107366C7" w14:textId="5B142729" w:rsidR="009B5517" w:rsidRPr="00592D3C" w:rsidRDefault="009B5517" w:rsidP="00592D3C">
      <w:pPr>
        <w:autoSpaceDE w:val="0"/>
        <w:autoSpaceDN w:val="0"/>
        <w:adjustRightInd w:val="0"/>
        <w:rPr>
          <w:rFonts w:ascii="Times New Roman" w:hAnsi="Times New Roman" w:cs="Times New Roman"/>
          <w:kern w:val="0"/>
          <w:sz w:val="22"/>
          <w:szCs w:val="22"/>
          <w:lang w:val="en-GB"/>
        </w:rPr>
      </w:pPr>
      <w:r w:rsidRPr="00592D3C">
        <w:rPr>
          <w:rFonts w:ascii="Times New Roman" w:hAnsi="Times New Roman" w:cs="Times New Roman"/>
          <w:kern w:val="0"/>
          <w:sz w:val="22"/>
          <w:szCs w:val="22"/>
          <w:lang w:val="en-GB"/>
        </w:rPr>
        <w:t>(1) A genus is a collection of a plurality of inseparable concepts, such as animal. For this embraces all the distinct animals. (2) A concept is a figment of the mind, which is neither something nor qualified, but a quasi-some thing and quasi-qualified, in the way that the pattern of horse arises even though none is present. (3) A species is that which is contained</w:t>
      </w:r>
      <w:r w:rsidR="00592D3C">
        <w:rPr>
          <w:rFonts w:ascii="Times New Roman" w:hAnsi="Times New Roman" w:cs="Times New Roman"/>
          <w:kern w:val="0"/>
          <w:sz w:val="22"/>
          <w:szCs w:val="22"/>
          <w:lang w:val="en-GB"/>
        </w:rPr>
        <w:t xml:space="preserve"> </w:t>
      </w:r>
      <w:r w:rsidRPr="00592D3C">
        <w:rPr>
          <w:rFonts w:ascii="Times New Roman" w:hAnsi="Times New Roman" w:cs="Times New Roman"/>
          <w:kern w:val="0"/>
          <w:sz w:val="22"/>
          <w:szCs w:val="22"/>
          <w:lang w:val="en-GB"/>
        </w:rPr>
        <w:t xml:space="preserve">within a genus, as man is contained within animal. (4) Most generic is that which is a genus but has no genus </w:t>
      </w:r>
      <w:r w:rsidR="00592D3C">
        <w:rPr>
          <w:rFonts w:ascii="Times New Roman" w:hAnsi="Times New Roman" w:cs="Times New Roman"/>
          <w:kern w:val="0"/>
          <w:sz w:val="22"/>
          <w:szCs w:val="22"/>
          <w:lang w:val="en-GB"/>
        </w:rPr>
        <w:t>–</w:t>
      </w:r>
      <w:r w:rsidRPr="00592D3C">
        <w:rPr>
          <w:rFonts w:ascii="Times New Roman" w:hAnsi="Times New Roman" w:cs="Times New Roman"/>
          <w:kern w:val="0"/>
          <w:sz w:val="22"/>
          <w:szCs w:val="22"/>
          <w:lang w:val="en-GB"/>
        </w:rPr>
        <w:t xml:space="preserve"> the existent, (5) Most specific is that which is a species but has no species, for example Socrates.</w:t>
      </w:r>
    </w:p>
    <w:p w14:paraId="1A5EB21A" w14:textId="77777777" w:rsidR="009B5517" w:rsidRPr="00592D3C" w:rsidRDefault="009B5517" w:rsidP="009B5517">
      <w:pPr>
        <w:autoSpaceDE w:val="0"/>
        <w:autoSpaceDN w:val="0"/>
        <w:adjustRightInd w:val="0"/>
        <w:rPr>
          <w:rFonts w:ascii="Times New Roman" w:hAnsi="Times New Roman" w:cs="Times New Roman"/>
          <w:kern w:val="0"/>
          <w:sz w:val="22"/>
          <w:szCs w:val="22"/>
          <w:lang w:val="en-GB"/>
        </w:rPr>
      </w:pPr>
    </w:p>
    <w:p w14:paraId="77A266C4" w14:textId="189A5759" w:rsidR="009B5517" w:rsidRPr="00592D3C" w:rsidRDefault="009B5517" w:rsidP="009B5517">
      <w:pPr>
        <w:autoSpaceDE w:val="0"/>
        <w:autoSpaceDN w:val="0"/>
        <w:adjustRightInd w:val="0"/>
        <w:rPr>
          <w:rFonts w:ascii="Times New Roman" w:hAnsi="Times New Roman" w:cs="Times New Roman"/>
          <w:b/>
          <w:bCs/>
          <w:kern w:val="0"/>
          <w:sz w:val="22"/>
          <w:szCs w:val="22"/>
          <w:lang w:val="en-GB"/>
        </w:rPr>
      </w:pPr>
      <w:r w:rsidRPr="00592D3C">
        <w:rPr>
          <w:rFonts w:ascii="Times New Roman" w:hAnsi="Times New Roman" w:cs="Times New Roman"/>
          <w:b/>
          <w:bCs/>
          <w:kern w:val="0"/>
          <w:sz w:val="22"/>
          <w:szCs w:val="22"/>
          <w:lang w:val="en-GB"/>
        </w:rPr>
        <w:t xml:space="preserve">E. Simplicius, </w:t>
      </w:r>
      <w:r w:rsidRPr="00592D3C">
        <w:rPr>
          <w:rFonts w:ascii="Times New Roman" w:hAnsi="Times New Roman" w:cs="Times New Roman"/>
          <w:b/>
          <w:bCs/>
          <w:i/>
          <w:iCs/>
          <w:kern w:val="0"/>
          <w:sz w:val="22"/>
          <w:szCs w:val="22"/>
          <w:lang w:val="en-GB"/>
        </w:rPr>
        <w:t>On Aristotle's Categories</w:t>
      </w:r>
      <w:r w:rsidRPr="00592D3C">
        <w:rPr>
          <w:rFonts w:ascii="Times New Roman" w:hAnsi="Times New Roman" w:cs="Times New Roman"/>
          <w:b/>
          <w:bCs/>
          <w:kern w:val="0"/>
          <w:sz w:val="22"/>
          <w:szCs w:val="22"/>
          <w:lang w:val="en-GB"/>
        </w:rPr>
        <w:t xml:space="preserve"> 105,8</w:t>
      </w:r>
      <w:r w:rsidR="00592D3C">
        <w:rPr>
          <w:rFonts w:ascii="Times New Roman" w:hAnsi="Times New Roman" w:cs="Times New Roman"/>
          <w:b/>
          <w:bCs/>
          <w:kern w:val="0"/>
          <w:sz w:val="22"/>
          <w:szCs w:val="22"/>
          <w:lang w:val="en-GB"/>
        </w:rPr>
        <w:t>–</w:t>
      </w:r>
      <w:r w:rsidRPr="00592D3C">
        <w:rPr>
          <w:rFonts w:ascii="Times New Roman" w:hAnsi="Times New Roman" w:cs="Times New Roman"/>
          <w:b/>
          <w:bCs/>
          <w:kern w:val="0"/>
          <w:sz w:val="22"/>
          <w:szCs w:val="22"/>
          <w:lang w:val="en-GB"/>
        </w:rPr>
        <w:t>16 (SVF 2.278, part)</w:t>
      </w:r>
    </w:p>
    <w:p w14:paraId="35FE64B9" w14:textId="0DAFE030" w:rsidR="009B5517" w:rsidRPr="00592D3C" w:rsidRDefault="009B5517" w:rsidP="009B5517">
      <w:pPr>
        <w:autoSpaceDE w:val="0"/>
        <w:autoSpaceDN w:val="0"/>
        <w:adjustRightInd w:val="0"/>
        <w:rPr>
          <w:rFonts w:ascii="Times New Roman" w:hAnsi="Times New Roman" w:cs="Times New Roman"/>
          <w:kern w:val="0"/>
          <w:sz w:val="22"/>
          <w:szCs w:val="22"/>
          <w:lang w:val="en-GB"/>
        </w:rPr>
      </w:pPr>
      <w:r w:rsidRPr="00592D3C">
        <w:rPr>
          <w:rFonts w:ascii="Times New Roman" w:hAnsi="Times New Roman" w:cs="Times New Roman"/>
          <w:kern w:val="0"/>
          <w:sz w:val="22"/>
          <w:szCs w:val="22"/>
          <w:lang w:val="en-GB"/>
        </w:rPr>
        <w:t>(1) Indeed, Chrysippus too raises problems as to whether the Idea will be called a ‘this something’. (2) One must also take into account the usage of the Stoics about generically qualified things - how according to them cases are expressed, how in their school universals are called ‘not-somethings’, and how their ignorance of the fact that not every substance signifies a ‘this something’ gives rise to the Not-someone [</w:t>
      </w:r>
      <w:r w:rsidRPr="00592D3C">
        <w:rPr>
          <w:rFonts w:ascii="Times New Roman" w:hAnsi="Times New Roman" w:cs="Times New Roman"/>
          <w:i/>
          <w:iCs/>
          <w:kern w:val="0"/>
          <w:sz w:val="22"/>
          <w:szCs w:val="22"/>
          <w:lang w:val="en-GB"/>
        </w:rPr>
        <w:t>Outis</w:t>
      </w:r>
      <w:r w:rsidRPr="00592D3C">
        <w:rPr>
          <w:rFonts w:ascii="Times New Roman" w:hAnsi="Times New Roman" w:cs="Times New Roman"/>
          <w:kern w:val="0"/>
          <w:sz w:val="22"/>
          <w:szCs w:val="22"/>
          <w:lang w:val="en-GB"/>
        </w:rPr>
        <w:t>] sophism, which relies on the form of expression. (3) Namely: ‘If someone is in Athens, he is not in Megara; &lt;but man is in Athens; therefore man is not in Megara. &gt;’  (4) For man is not someone, since the universal is not someone, and that is why the argument has this name, being called the ‘Not-someone’ argument.</w:t>
      </w:r>
    </w:p>
    <w:sectPr w:rsidR="009B5517" w:rsidRPr="00592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17"/>
    <w:rsid w:val="003C5C80"/>
    <w:rsid w:val="004731CE"/>
    <w:rsid w:val="00592D3C"/>
    <w:rsid w:val="009B5517"/>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C084910"/>
  <w15:chartTrackingRefBased/>
  <w15:docId w15:val="{524CD711-62C4-F546-914E-F28E9EA5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H"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Ierodiakonou</dc:creator>
  <cp:keywords/>
  <dc:description/>
  <cp:lastModifiedBy>Katerina Ierodiakonou</cp:lastModifiedBy>
  <cp:revision>3</cp:revision>
  <dcterms:created xsi:type="dcterms:W3CDTF">2023-11-08T08:27:00Z</dcterms:created>
  <dcterms:modified xsi:type="dcterms:W3CDTF">2023-11-08T13:55:00Z</dcterms:modified>
</cp:coreProperties>
</file>