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2A3E" w14:textId="78CE8173" w:rsidR="000C63FF" w:rsidRPr="00AE533A" w:rsidRDefault="000C63FF" w:rsidP="000C63FF">
      <w:pPr>
        <w:spacing w:before="100" w:beforeAutospacing="1" w:after="100" w:afterAutospacing="1" w:line="360" w:lineRule="auto"/>
        <w:jc w:val="center"/>
        <w:rPr>
          <w:rFonts w:ascii="Times New Roman" w:eastAsia="Times New Roman" w:hAnsi="Times New Roman" w:cs="Times New Roman"/>
          <w:b/>
          <w:bCs/>
          <w:color w:val="000000"/>
          <w:lang w:val="en-US" w:eastAsia="en-GB"/>
        </w:rPr>
      </w:pPr>
      <w:r w:rsidRPr="00AE533A">
        <w:rPr>
          <w:rFonts w:ascii="Times New Roman" w:eastAsia="Times New Roman" w:hAnsi="Times New Roman" w:cs="Times New Roman"/>
          <w:b/>
          <w:bCs/>
          <w:color w:val="000000"/>
          <w:lang w:val="en-US" w:eastAsia="en-GB"/>
        </w:rPr>
        <w:t>Elements of Fregean Logic</w:t>
      </w:r>
    </w:p>
    <w:p w14:paraId="0207F313" w14:textId="078975ED" w:rsidR="000C63FF" w:rsidRPr="00AE533A" w:rsidRDefault="000C63FF" w:rsidP="000C63FF">
      <w:pPr>
        <w:spacing w:before="100" w:beforeAutospacing="1" w:after="100" w:afterAutospacing="1" w:line="360" w:lineRule="auto"/>
        <w:jc w:val="center"/>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D</w:t>
      </w:r>
      <w:r w:rsidR="00416DDF">
        <w:rPr>
          <w:rFonts w:ascii="Times New Roman" w:eastAsia="Times New Roman" w:hAnsi="Times New Roman" w:cs="Times New Roman"/>
          <w:color w:val="000000"/>
          <w:lang w:val="en-US" w:eastAsia="en-GB"/>
        </w:rPr>
        <w:t>oukas</w:t>
      </w:r>
      <w:r w:rsidRPr="00AE533A">
        <w:rPr>
          <w:rFonts w:ascii="Times New Roman" w:eastAsia="Times New Roman" w:hAnsi="Times New Roman" w:cs="Times New Roman"/>
          <w:color w:val="000000"/>
          <w:lang w:val="en-US" w:eastAsia="en-GB"/>
        </w:rPr>
        <w:t xml:space="preserve"> </w:t>
      </w:r>
      <w:proofErr w:type="spellStart"/>
      <w:r w:rsidRPr="00AE533A">
        <w:rPr>
          <w:rFonts w:ascii="Times New Roman" w:eastAsia="Times New Roman" w:hAnsi="Times New Roman" w:cs="Times New Roman"/>
          <w:color w:val="000000"/>
          <w:lang w:val="en-US" w:eastAsia="en-GB"/>
        </w:rPr>
        <w:t>Kapanta</w:t>
      </w:r>
      <w:r w:rsidR="00416DDF">
        <w:rPr>
          <w:rFonts w:ascii="Times New Roman" w:eastAsia="Times New Roman" w:hAnsi="Times New Roman" w:cs="Times New Roman"/>
          <w:color w:val="000000"/>
          <w:lang w:val="en-US" w:eastAsia="en-GB"/>
        </w:rPr>
        <w:t>ï</w:t>
      </w:r>
      <w:r w:rsidRPr="00AE533A">
        <w:rPr>
          <w:rFonts w:ascii="Times New Roman" w:eastAsia="Times New Roman" w:hAnsi="Times New Roman" w:cs="Times New Roman"/>
          <w:color w:val="000000"/>
          <w:lang w:val="en-US" w:eastAsia="en-GB"/>
        </w:rPr>
        <w:t>s</w:t>
      </w:r>
      <w:proofErr w:type="spellEnd"/>
    </w:p>
    <w:p w14:paraId="43BB7D00" w14:textId="4C180172" w:rsidR="000C63FF" w:rsidRPr="00AE533A" w:rsidRDefault="000C63FF" w:rsidP="000C63FF">
      <w:pPr>
        <w:spacing w:before="100" w:beforeAutospacing="1" w:after="100" w:afterAutospacing="1" w:line="360" w:lineRule="auto"/>
        <w:jc w:val="center"/>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(winter semester</w:t>
      </w:r>
      <w:r w:rsidR="004121A8" w:rsidRPr="00AE533A">
        <w:rPr>
          <w:rFonts w:ascii="Times New Roman" w:eastAsia="Times New Roman" w:hAnsi="Times New Roman" w:cs="Times New Roman"/>
          <w:color w:val="000000"/>
          <w:lang w:val="en-US" w:eastAsia="en-GB"/>
        </w:rPr>
        <w:t xml:space="preserve"> 2025-26</w:t>
      </w:r>
      <w:r w:rsidRPr="00AE533A">
        <w:rPr>
          <w:rFonts w:ascii="Times New Roman" w:eastAsia="Times New Roman" w:hAnsi="Times New Roman" w:cs="Times New Roman"/>
          <w:color w:val="000000"/>
          <w:lang w:val="en-US" w:eastAsia="en-GB"/>
        </w:rPr>
        <w:t>, MA Logic)</w:t>
      </w:r>
    </w:p>
    <w:p w14:paraId="300C61C0" w14:textId="77777777" w:rsidR="000C63FF" w:rsidRPr="00AE533A" w:rsidRDefault="000C63FF" w:rsidP="000C63FF">
      <w:pPr>
        <w:spacing w:before="100" w:beforeAutospacing="1" w:after="100" w:afterAutospacing="1" w:line="360" w:lineRule="auto"/>
        <w:rPr>
          <w:rFonts w:ascii="Times New Roman" w:eastAsia="Times New Roman" w:hAnsi="Times New Roman" w:cs="Times New Roman"/>
          <w:b/>
          <w:bCs/>
          <w:color w:val="000000"/>
          <w:lang w:val="en-US" w:eastAsia="en-GB"/>
        </w:rPr>
      </w:pPr>
    </w:p>
    <w:p w14:paraId="21FF1499" w14:textId="2F7B80E3" w:rsidR="004073DD" w:rsidRPr="00AE533A" w:rsidRDefault="004073DD" w:rsidP="000C63FF">
      <w:pPr>
        <w:spacing w:before="100" w:beforeAutospacing="1" w:after="100" w:afterAutospacing="1" w:line="360" w:lineRule="auto"/>
        <w:jc w:val="center"/>
        <w:rPr>
          <w:rFonts w:ascii="Times New Roman" w:eastAsia="Times New Roman" w:hAnsi="Times New Roman" w:cs="Times New Roman"/>
          <w:b/>
          <w:bCs/>
          <w:i/>
          <w:iCs/>
          <w:color w:val="000000"/>
          <w:sz w:val="32"/>
          <w:szCs w:val="32"/>
          <w:lang w:val="en-US" w:eastAsia="en-GB"/>
        </w:rPr>
      </w:pPr>
      <w:r w:rsidRPr="00AE533A">
        <w:rPr>
          <w:rFonts w:ascii="Times New Roman" w:eastAsia="Times New Roman" w:hAnsi="Times New Roman" w:cs="Times New Roman"/>
          <w:b/>
          <w:bCs/>
          <w:color w:val="000000"/>
          <w:sz w:val="32"/>
          <w:szCs w:val="32"/>
          <w:lang w:val="en-US" w:eastAsia="en-GB"/>
        </w:rPr>
        <w:t>The Innovations of Gottlob Frege’s </w:t>
      </w:r>
      <w:r w:rsidRPr="00AE533A">
        <w:rPr>
          <w:rFonts w:ascii="Times New Roman" w:eastAsia="Times New Roman" w:hAnsi="Times New Roman" w:cs="Times New Roman"/>
          <w:b/>
          <w:bCs/>
          <w:i/>
          <w:iCs/>
          <w:color w:val="000000"/>
          <w:sz w:val="32"/>
          <w:szCs w:val="32"/>
          <w:lang w:val="en-US" w:eastAsia="en-GB"/>
        </w:rPr>
        <w:t>Ideography</w:t>
      </w:r>
    </w:p>
    <w:p w14:paraId="652175A0" w14:textId="77777777" w:rsidR="000C63FF" w:rsidRPr="00AE533A" w:rsidRDefault="000C63FF" w:rsidP="000C63FF">
      <w:pPr>
        <w:spacing w:before="100" w:beforeAutospacing="1" w:after="100" w:afterAutospacing="1" w:line="360" w:lineRule="auto"/>
        <w:jc w:val="center"/>
        <w:rPr>
          <w:rFonts w:ascii="Times New Roman" w:eastAsia="Times New Roman" w:hAnsi="Times New Roman" w:cs="Times New Roman"/>
          <w:color w:val="000000"/>
          <w:lang w:val="en-US" w:eastAsia="en-GB"/>
        </w:rPr>
      </w:pPr>
    </w:p>
    <w:p w14:paraId="51C5FE15" w14:textId="2BC03111"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According to a well-known remark by Immanuel Kant, the part of philosophy that the Stoics called “Logic” had made, from the days of Aristotle up to his own time, scarcely a single step of progress.</w:t>
      </w:r>
      <w:r w:rsidR="00047E93" w:rsidRPr="00AE533A">
        <w:rPr>
          <w:rStyle w:val="FootnoteReference"/>
          <w:rFonts w:ascii="Times New Roman" w:eastAsia="Times New Roman" w:hAnsi="Times New Roman" w:cs="Times New Roman"/>
          <w:color w:val="000000"/>
          <w:lang w:val="en-US" w:eastAsia="en-GB"/>
        </w:rPr>
        <w:footnoteReference w:id="1"/>
      </w:r>
      <w:r w:rsidRPr="00AE533A">
        <w:rPr>
          <w:rFonts w:ascii="Times New Roman" w:eastAsia="Times New Roman" w:hAnsi="Times New Roman" w:cs="Times New Roman"/>
          <w:color w:val="000000"/>
          <w:lang w:val="en-US" w:eastAsia="en-GB"/>
        </w:rPr>
        <w:t xml:space="preserve"> This remark is usually invoked by proponents of so-called “mathematical,” or “symbolic,” logic both as evidence of the alleged static character of the discipline prior to Frege and as a criterion for its progress from Frege onward.</w:t>
      </w:r>
    </w:p>
    <w:p w14:paraId="3560A022" w14:textId="27076215" w:rsidR="004073DD" w:rsidRPr="00AE533A" w:rsidRDefault="004073DD" w:rsidP="000C63FF">
      <w:pPr>
        <w:spacing w:line="360" w:lineRule="auto"/>
        <w:rPr>
          <w:rFonts w:ascii="Times New Roman" w:eastAsia="Times New Roman" w:hAnsi="Times New Roman" w:cs="Times New Roman"/>
          <w:lang w:val="en-US" w:eastAsia="en-GB"/>
        </w:rPr>
      </w:pPr>
    </w:p>
    <w:p w14:paraId="56EC109E" w14:textId="77777777" w:rsidR="004073DD" w:rsidRPr="00AE533A" w:rsidRDefault="004073DD"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I. Historical Remarks and Clarification of Terms</w:t>
      </w:r>
    </w:p>
    <w:p w14:paraId="39465630" w14:textId="439DD301"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Many hold that modern logic was born in 1</w:t>
      </w:r>
      <w:r w:rsidR="00203CF3" w:rsidRPr="00AE533A">
        <w:rPr>
          <w:rFonts w:ascii="Times New Roman" w:eastAsia="Times New Roman" w:hAnsi="Times New Roman" w:cs="Times New Roman"/>
          <w:color w:val="000000"/>
          <w:lang w:val="en-US" w:eastAsia="en-GB"/>
        </w:rPr>
        <w:t>8</w:t>
      </w:r>
      <w:r w:rsidRPr="00AE533A">
        <w:rPr>
          <w:rFonts w:ascii="Times New Roman" w:eastAsia="Times New Roman" w:hAnsi="Times New Roman" w:cs="Times New Roman"/>
          <w:color w:val="000000"/>
          <w:lang w:val="en-US" w:eastAsia="en-GB"/>
        </w:rPr>
        <w:t>79 in Jena, Germany, when the then young mathematician Gottlob Frege</w:t>
      </w:r>
      <w:r w:rsidR="00AE533A">
        <w:rPr>
          <w:rFonts w:ascii="Times New Roman" w:eastAsia="Times New Roman" w:hAnsi="Times New Roman" w:cs="Times New Roman"/>
          <w:color w:val="000000"/>
          <w:lang w:val="en-US" w:eastAsia="en-GB"/>
        </w:rPr>
        <w:t xml:space="preserve"> </w:t>
      </w:r>
      <w:r w:rsidRPr="00AE533A">
        <w:rPr>
          <w:rFonts w:ascii="Times New Roman" w:eastAsia="Times New Roman" w:hAnsi="Times New Roman" w:cs="Times New Roman"/>
          <w:color w:val="000000"/>
          <w:lang w:val="en-US" w:eastAsia="en-GB"/>
        </w:rPr>
        <w:t>published his now famous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w:t>
      </w:r>
      <w:r w:rsidR="00047E93" w:rsidRPr="00AE533A">
        <w:rPr>
          <w:rStyle w:val="FootnoteReference"/>
          <w:rFonts w:ascii="Times New Roman" w:eastAsia="Times New Roman" w:hAnsi="Times New Roman" w:cs="Times New Roman"/>
          <w:color w:val="000000"/>
          <w:lang w:val="en-US" w:eastAsia="en-GB"/>
        </w:rPr>
        <w:footnoteReference w:id="2"/>
      </w:r>
      <w:r w:rsidR="00047E93" w:rsidRPr="00AE533A">
        <w:rPr>
          <w:rFonts w:ascii="Times New Roman" w:eastAsia="Times New Roman" w:hAnsi="Times New Roman" w:cs="Times New Roman"/>
          <w:color w:val="000000"/>
          <w:vertAlign w:val="superscript"/>
          <w:lang w:val="en-US" w:eastAsia="en-GB"/>
        </w:rPr>
        <w:t xml:space="preserve"> </w:t>
      </w:r>
      <w:r w:rsidRPr="00AE533A">
        <w:rPr>
          <w:rFonts w:ascii="Times New Roman" w:eastAsia="Times New Roman" w:hAnsi="Times New Roman" w:cs="Times New Roman"/>
          <w:color w:val="000000"/>
          <w:lang w:val="en-US" w:eastAsia="en-GB"/>
        </w:rPr>
        <w:t>However extreme this view may sound, it nonetheless brings out the magnitude of his achievement. This work introduces an almost entirely new way of treating argumentative forms, of which classical Aristotelian syllogistic may be regarded as a subset. The innovations are many and significant. We shall survey the most important of them, but only after first undertaking certain terminological and historical clarifications.</w:t>
      </w:r>
    </w:p>
    <w:p w14:paraId="5A6552A4"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proofErr w:type="spellStart"/>
      <w:r w:rsidRPr="00AE533A">
        <w:rPr>
          <w:rFonts w:ascii="Times New Roman" w:eastAsia="Times New Roman" w:hAnsi="Times New Roman" w:cs="Times New Roman"/>
          <w:b/>
          <w:bCs/>
          <w:color w:val="000000"/>
          <w:lang w:val="en-US" w:eastAsia="en-GB"/>
        </w:rPr>
        <w:t>i</w:t>
      </w:r>
      <w:proofErr w:type="spellEnd"/>
      <w:r w:rsidRPr="00AE533A">
        <w:rPr>
          <w:rFonts w:ascii="Times New Roman" w:eastAsia="Times New Roman" w:hAnsi="Times New Roman" w:cs="Times New Roman"/>
          <w:b/>
          <w:bCs/>
          <w:color w:val="000000"/>
          <w:lang w:val="en-US" w:eastAsia="en-GB"/>
        </w:rPr>
        <w:t>)</w:t>
      </w:r>
      <w:r w:rsidRPr="00AE533A">
        <w:rPr>
          <w:rFonts w:ascii="Times New Roman" w:eastAsia="Times New Roman" w:hAnsi="Times New Roman" w:cs="Times New Roman"/>
          <w:color w:val="000000"/>
          <w:lang w:val="en-US" w:eastAsia="en-GB"/>
        </w:rPr>
        <w:t> The symbolism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xml:space="preserve">, although it constitutes the foundation of modern logic, is no longer in use. The symbolism employed today is an evolution of that of the Italian mathematician Giuseppe Peano, as well as of that developed by Bertrand Russell and Alfred North Whitehead. Nevertheless, both the logic of Russell and Whitehead and contemporary </w:t>
      </w:r>
      <w:r w:rsidRPr="00AE533A">
        <w:rPr>
          <w:rFonts w:ascii="Times New Roman" w:eastAsia="Times New Roman" w:hAnsi="Times New Roman" w:cs="Times New Roman"/>
          <w:color w:val="000000"/>
          <w:lang w:val="en-US" w:eastAsia="en-GB"/>
        </w:rPr>
        <w:lastRenderedPageBreak/>
        <w:t>symbolic logic follow, in most respects, the guiding lines laid down by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Although neglected by its contemporaries,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by a curious coincidence, was common intellectual property among those philosophers who later laid the foundations of Logical Positivism and Logicism. Russell and Whitehead studied it and introduced it into the Anglo-Saxon world at a time when the dominant philosophical current there was the Neo-Hegelianism of F. H. Bradley. Ludwig Wittgenstein attended Frege’s seminars on his new language; indeed, it was Frege himself who urged the young Wittgenstein to study logic under Russell. Rudolf Carnap had also attended these seminars. Finally, it should be noted that Frege never ceased teaching logic exclusively on the basis of the symbolism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Toward the end of his life, he even notes in his personal diary that, were he to ask himself what the outcome of his life’s work had been, the answer would be: “the essential part points to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w:t>
      </w:r>
    </w:p>
    <w:p w14:paraId="7C204A4C" w14:textId="57F5500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b/>
          <w:bCs/>
          <w:color w:val="000000"/>
          <w:lang w:val="en-US" w:eastAsia="en-GB"/>
        </w:rPr>
        <w:t>ii)</w:t>
      </w:r>
      <w:r w:rsidRPr="00AE533A">
        <w:rPr>
          <w:rFonts w:ascii="Times New Roman" w:eastAsia="Times New Roman" w:hAnsi="Times New Roman" w:cs="Times New Roman"/>
          <w:color w:val="000000"/>
          <w:lang w:val="en-US" w:eastAsia="en-GB"/>
        </w:rPr>
        <w:t> At a few, but very specific, points Frege himself revises his views concerning symbolism over time. The most substantial of these concerns the use of the equality sign. Whereas in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he takes it to express what he himself calls the “identity of content,” after the composition of the essay “On Sense and Reference”</w:t>
      </w:r>
      <w:r w:rsidR="00047E93" w:rsidRPr="00AE533A">
        <w:rPr>
          <w:rStyle w:val="FootnoteReference"/>
          <w:rFonts w:ascii="Times New Roman" w:eastAsia="Times New Roman" w:hAnsi="Times New Roman" w:cs="Times New Roman"/>
          <w:color w:val="000000"/>
          <w:lang w:val="en-US" w:eastAsia="en-GB"/>
        </w:rPr>
        <w:footnoteReference w:id="3"/>
      </w:r>
      <w:r w:rsidRPr="00AE533A">
        <w:rPr>
          <w:rFonts w:ascii="Times New Roman" w:eastAsia="Times New Roman" w:hAnsi="Times New Roman" w:cs="Times New Roman"/>
          <w:color w:val="000000"/>
          <w:lang w:val="en-US" w:eastAsia="en-GB"/>
        </w:rPr>
        <w:t xml:space="preserve"> and the articulation of that distinction, he takes it to express identity of reference. For example, in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the well-formed formula</w:t>
      </w:r>
      <w:r w:rsidRPr="00AE533A">
        <w:rPr>
          <w:rFonts w:ascii="Times New Roman" w:eastAsia="Times New Roman" w:hAnsi="Times New Roman" w:cs="Times New Roman"/>
          <w:color w:val="000000"/>
          <w:lang w:val="en-US" w:eastAsia="en-GB"/>
        </w:rPr>
        <w:br/>
        <w:t>——— A ≡ B</w:t>
      </w:r>
      <w:r w:rsidRPr="00AE533A">
        <w:rPr>
          <w:rFonts w:ascii="Times New Roman" w:eastAsia="Times New Roman" w:hAnsi="Times New Roman" w:cs="Times New Roman"/>
          <w:color w:val="000000"/>
          <w:lang w:val="en-US" w:eastAsia="en-GB"/>
        </w:rPr>
        <w:br/>
        <w:t>means that the sense-content of A is identical with the content of B. In the </w:t>
      </w:r>
      <w:proofErr w:type="spellStart"/>
      <w:r w:rsidRPr="00AE533A">
        <w:rPr>
          <w:rFonts w:ascii="Times New Roman" w:eastAsia="Times New Roman" w:hAnsi="Times New Roman" w:cs="Times New Roman"/>
          <w:i/>
          <w:iCs/>
          <w:color w:val="000000"/>
          <w:lang w:val="en-US" w:eastAsia="en-GB"/>
        </w:rPr>
        <w:t>Grundgesetze</w:t>
      </w:r>
      <w:proofErr w:type="spellEnd"/>
      <w:r w:rsidRPr="00AE533A">
        <w:rPr>
          <w:rFonts w:ascii="Times New Roman" w:eastAsia="Times New Roman" w:hAnsi="Times New Roman" w:cs="Times New Roman"/>
          <w:i/>
          <w:iCs/>
          <w:color w:val="000000"/>
          <w:lang w:val="en-US" w:eastAsia="en-GB"/>
        </w:rPr>
        <w:t xml:space="preserve"> der </w:t>
      </w:r>
      <w:proofErr w:type="spellStart"/>
      <w:r w:rsidRPr="00AE533A">
        <w:rPr>
          <w:rFonts w:ascii="Times New Roman" w:eastAsia="Times New Roman" w:hAnsi="Times New Roman" w:cs="Times New Roman"/>
          <w:i/>
          <w:iCs/>
          <w:color w:val="000000"/>
          <w:lang w:val="en-US" w:eastAsia="en-GB"/>
        </w:rPr>
        <w:t>Arithmetik</w:t>
      </w:r>
      <w:proofErr w:type="spellEnd"/>
      <w:r w:rsidRPr="00AE533A">
        <w:rPr>
          <w:rFonts w:ascii="Times New Roman" w:eastAsia="Times New Roman" w:hAnsi="Times New Roman" w:cs="Times New Roman"/>
          <w:color w:val="000000"/>
          <w:lang w:val="en-US" w:eastAsia="en-GB"/>
        </w:rPr>
        <w:t>,</w:t>
      </w:r>
      <w:r w:rsidR="00047E93" w:rsidRPr="00AE533A">
        <w:rPr>
          <w:rStyle w:val="FootnoteReference"/>
          <w:rFonts w:ascii="Times New Roman" w:eastAsia="Times New Roman" w:hAnsi="Times New Roman" w:cs="Times New Roman"/>
          <w:color w:val="000000"/>
          <w:lang w:val="en-US" w:eastAsia="en-GB"/>
        </w:rPr>
        <w:footnoteReference w:id="4"/>
      </w:r>
      <w:r w:rsidRPr="00AE533A">
        <w:rPr>
          <w:rFonts w:ascii="Times New Roman" w:eastAsia="Times New Roman" w:hAnsi="Times New Roman" w:cs="Times New Roman"/>
          <w:color w:val="000000"/>
          <w:lang w:val="en-US" w:eastAsia="en-GB"/>
        </w:rPr>
        <w:t xml:space="preserve"> by contrast, the well-formed formula</w:t>
      </w:r>
      <w:r w:rsidRPr="00AE533A">
        <w:rPr>
          <w:rFonts w:ascii="Times New Roman" w:eastAsia="Times New Roman" w:hAnsi="Times New Roman" w:cs="Times New Roman"/>
          <w:color w:val="000000"/>
          <w:lang w:val="en-US" w:eastAsia="en-GB"/>
        </w:rPr>
        <w:br/>
        <w:t>——— A = B</w:t>
      </w:r>
      <w:r w:rsidRPr="00AE533A">
        <w:rPr>
          <w:rFonts w:ascii="Times New Roman" w:eastAsia="Times New Roman" w:hAnsi="Times New Roman" w:cs="Times New Roman"/>
          <w:color w:val="000000"/>
          <w:lang w:val="en-US" w:eastAsia="en-GB"/>
        </w:rPr>
        <w:br/>
        <w:t>means that the reference of A is identical with the reference of B. The changes brought about by the discovery of the distinction between sense and reference are the most significant ones as far as the symbolism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is concerned.</w:t>
      </w:r>
    </w:p>
    <w:p w14:paraId="2F788079" w14:textId="1993A6CA" w:rsidR="004073DD" w:rsidRPr="00AE533A" w:rsidRDefault="004073DD" w:rsidP="000C63FF">
      <w:pPr>
        <w:pStyle w:val="NormalWeb"/>
        <w:spacing w:line="360" w:lineRule="auto"/>
        <w:rPr>
          <w:color w:val="000000"/>
          <w:lang w:val="en-US"/>
        </w:rPr>
      </w:pPr>
      <w:r w:rsidRPr="00AE533A">
        <w:rPr>
          <w:rStyle w:val="Strong"/>
          <w:rFonts w:eastAsiaTheme="majorEastAsia"/>
          <w:color w:val="000000"/>
          <w:lang w:val="en-US"/>
        </w:rPr>
        <w:t>iii)</w:t>
      </w:r>
      <w:r w:rsidRPr="00AE533A">
        <w:rPr>
          <w:rStyle w:val="apple-converted-space"/>
          <w:rFonts w:eastAsiaTheme="majorEastAsia"/>
          <w:color w:val="000000"/>
          <w:lang w:val="en-US"/>
        </w:rPr>
        <w:t> </w:t>
      </w:r>
      <w:r w:rsidRPr="00AE533A">
        <w:rPr>
          <w:color w:val="000000"/>
          <w:lang w:val="en-US"/>
        </w:rPr>
        <w:t>The establishment of this classical Fregean distinction is also connected with a second innovation of the</w:t>
      </w:r>
      <w:r w:rsidRPr="00AE533A">
        <w:rPr>
          <w:rStyle w:val="apple-converted-space"/>
          <w:rFonts w:eastAsiaTheme="majorEastAsia"/>
          <w:color w:val="000000"/>
          <w:lang w:val="en-US"/>
        </w:rPr>
        <w:t> </w:t>
      </w:r>
      <w:proofErr w:type="spellStart"/>
      <w:r w:rsidRPr="00AE533A">
        <w:rPr>
          <w:rStyle w:val="whitespace-normal"/>
          <w:rFonts w:eastAsiaTheme="majorEastAsia"/>
          <w:i/>
          <w:iCs/>
          <w:color w:val="000000"/>
          <w:lang w:val="en-US"/>
        </w:rPr>
        <w:t>Grundgesetze</w:t>
      </w:r>
      <w:proofErr w:type="spellEnd"/>
      <w:r w:rsidRPr="00AE533A">
        <w:rPr>
          <w:rStyle w:val="whitespace-normal"/>
          <w:rFonts w:eastAsiaTheme="majorEastAsia"/>
          <w:i/>
          <w:iCs/>
          <w:color w:val="000000"/>
          <w:lang w:val="en-US"/>
        </w:rPr>
        <w:t xml:space="preserve"> der </w:t>
      </w:r>
      <w:proofErr w:type="spellStart"/>
      <w:r w:rsidRPr="00AE533A">
        <w:rPr>
          <w:rStyle w:val="whitespace-normal"/>
          <w:rFonts w:eastAsiaTheme="majorEastAsia"/>
          <w:i/>
          <w:iCs/>
          <w:color w:val="000000"/>
          <w:lang w:val="en-US"/>
        </w:rPr>
        <w:t>Arithmetik</w:t>
      </w:r>
      <w:proofErr w:type="spellEnd"/>
      <w:r w:rsidRPr="00AE533A">
        <w:rPr>
          <w:rStyle w:val="apple-converted-space"/>
          <w:rFonts w:eastAsiaTheme="majorEastAsia"/>
          <w:color w:val="000000"/>
          <w:lang w:val="en-US"/>
        </w:rPr>
        <w:t> </w:t>
      </w:r>
      <w:r w:rsidRPr="00AE533A">
        <w:rPr>
          <w:color w:val="000000"/>
          <w:lang w:val="en-US"/>
        </w:rPr>
        <w:t>in relation to the</w:t>
      </w:r>
      <w:r w:rsidRPr="00AE533A">
        <w:rPr>
          <w:rStyle w:val="apple-converted-space"/>
          <w:rFonts w:eastAsiaTheme="majorEastAsia"/>
          <w:color w:val="000000"/>
          <w:lang w:val="en-US"/>
        </w:rPr>
        <w:t> </w:t>
      </w:r>
      <w:r w:rsidRPr="00AE533A">
        <w:rPr>
          <w:rStyle w:val="Emphasis"/>
          <w:rFonts w:eastAsiaTheme="majorEastAsia"/>
          <w:color w:val="000000"/>
          <w:lang w:val="en-US"/>
        </w:rPr>
        <w:t>Ideography</w:t>
      </w:r>
      <w:r w:rsidRPr="00AE533A">
        <w:rPr>
          <w:color w:val="000000"/>
          <w:lang w:val="en-US"/>
        </w:rPr>
        <w:t>. Function symbols (“Φ(ξ)”, “Ψ(ξ)”, etc.) are now regarded as proper names whose reference is the course of values (</w:t>
      </w:r>
      <w:proofErr w:type="spellStart"/>
      <w:r w:rsidRPr="00AE533A">
        <w:rPr>
          <w:i/>
          <w:iCs/>
          <w:color w:val="000000"/>
          <w:lang w:val="en-US"/>
        </w:rPr>
        <w:t>Wertverlauf</w:t>
      </w:r>
      <w:proofErr w:type="spellEnd"/>
      <w:r w:rsidRPr="00AE533A">
        <w:rPr>
          <w:color w:val="000000"/>
          <w:lang w:val="en-US"/>
        </w:rPr>
        <w:t xml:space="preserve">) of the arguments for which the function is satisfied. In contemporary set-theoretic terms, one would say that the reference of a function symbol is </w:t>
      </w:r>
      <w:r w:rsidRPr="00AE533A">
        <w:rPr>
          <w:color w:val="000000"/>
          <w:lang w:val="en-US"/>
        </w:rPr>
        <w:lastRenderedPageBreak/>
        <w:t>the set of objects for which it is true. In the</w:t>
      </w:r>
      <w:r w:rsidRPr="00AE533A">
        <w:rPr>
          <w:rStyle w:val="apple-converted-space"/>
          <w:rFonts w:eastAsiaTheme="majorEastAsia"/>
          <w:color w:val="000000"/>
          <w:lang w:val="en-US"/>
        </w:rPr>
        <w:t> </w:t>
      </w:r>
      <w:proofErr w:type="spellStart"/>
      <w:r w:rsidRPr="00AE533A">
        <w:rPr>
          <w:rStyle w:val="Emphasis"/>
          <w:rFonts w:eastAsiaTheme="majorEastAsia"/>
          <w:color w:val="000000"/>
          <w:lang w:val="en-US"/>
        </w:rPr>
        <w:t>Grundgesetze</w:t>
      </w:r>
      <w:proofErr w:type="spellEnd"/>
      <w:r w:rsidRPr="00AE533A">
        <w:rPr>
          <w:rStyle w:val="apple-converted-space"/>
          <w:rFonts w:eastAsiaTheme="majorEastAsia"/>
          <w:color w:val="000000"/>
          <w:lang w:val="en-US"/>
        </w:rPr>
        <w:t> </w:t>
      </w:r>
      <w:r w:rsidRPr="00AE533A">
        <w:rPr>
          <w:color w:val="000000"/>
          <w:lang w:val="en-US"/>
        </w:rPr>
        <w:t xml:space="preserve">this set is symbolized as follows: for example, for the function Φ(ξ) it is the course of values </w:t>
      </w:r>
      <w:r w:rsidR="00E21745">
        <w:rPr>
          <w:color w:val="000000"/>
          <w:lang w:val="el-GR"/>
        </w:rPr>
        <w:t>ἐ</w:t>
      </w:r>
      <w:r w:rsidRPr="00AE533A">
        <w:rPr>
          <w:color w:val="000000"/>
          <w:lang w:val="en-US"/>
        </w:rPr>
        <w:t xml:space="preserve">Φ(ε), for the function Ψ(ξ) the course of values </w:t>
      </w:r>
      <w:r w:rsidR="00E21745">
        <w:rPr>
          <w:color w:val="000000"/>
          <w:lang w:val="el-GR"/>
        </w:rPr>
        <w:t>ἀ</w:t>
      </w:r>
      <w:r w:rsidRPr="00AE533A">
        <w:rPr>
          <w:color w:val="000000"/>
          <w:lang w:val="en-US"/>
        </w:rPr>
        <w:t>Ψ(α), and so on. It should be noted here that this latter innovation of the</w:t>
      </w:r>
      <w:r w:rsidRPr="00AE533A">
        <w:rPr>
          <w:rStyle w:val="apple-converted-space"/>
          <w:rFonts w:eastAsiaTheme="majorEastAsia"/>
          <w:color w:val="000000"/>
          <w:lang w:val="en-US"/>
        </w:rPr>
        <w:t> </w:t>
      </w:r>
      <w:proofErr w:type="spellStart"/>
      <w:r w:rsidRPr="00AE533A">
        <w:rPr>
          <w:rStyle w:val="Emphasis"/>
          <w:rFonts w:eastAsiaTheme="majorEastAsia"/>
          <w:color w:val="000000"/>
          <w:lang w:val="en-US"/>
        </w:rPr>
        <w:t>Grundgesetze</w:t>
      </w:r>
      <w:proofErr w:type="spellEnd"/>
      <w:r w:rsidRPr="00AE533A">
        <w:rPr>
          <w:rStyle w:val="apple-converted-space"/>
          <w:rFonts w:eastAsiaTheme="majorEastAsia"/>
          <w:color w:val="000000"/>
          <w:lang w:val="en-US"/>
        </w:rPr>
        <w:t> </w:t>
      </w:r>
      <w:r w:rsidRPr="00AE533A">
        <w:rPr>
          <w:color w:val="000000"/>
          <w:lang w:val="en-US"/>
        </w:rPr>
        <w:t>is also connected with the fifth axiom of the same work, which became the target of Russell’s paradox.</w:t>
      </w:r>
    </w:p>
    <w:p w14:paraId="3CE55B6D" w14:textId="0220366A" w:rsidR="004073DD" w:rsidRPr="00AE533A" w:rsidRDefault="004073DD" w:rsidP="000C63FF">
      <w:pPr>
        <w:pStyle w:val="NormalWeb"/>
        <w:spacing w:line="360" w:lineRule="auto"/>
        <w:rPr>
          <w:color w:val="000000"/>
          <w:lang w:val="en-US"/>
        </w:rPr>
      </w:pPr>
      <w:r w:rsidRPr="00AE533A">
        <w:rPr>
          <w:rStyle w:val="Strong"/>
          <w:rFonts w:eastAsiaTheme="majorEastAsia"/>
          <w:color w:val="000000"/>
          <w:lang w:val="en-US"/>
        </w:rPr>
        <w:t>iv)</w:t>
      </w:r>
      <w:r w:rsidRPr="00AE533A">
        <w:rPr>
          <w:rStyle w:val="apple-converted-space"/>
          <w:rFonts w:eastAsiaTheme="majorEastAsia"/>
          <w:color w:val="000000"/>
          <w:lang w:val="en-US"/>
        </w:rPr>
        <w:t> </w:t>
      </w:r>
      <w:r w:rsidRPr="00AE533A">
        <w:rPr>
          <w:color w:val="000000"/>
          <w:lang w:val="en-US"/>
        </w:rPr>
        <w:t>The</w:t>
      </w:r>
      <w:r w:rsidRPr="00AE533A">
        <w:rPr>
          <w:rStyle w:val="apple-converted-space"/>
          <w:rFonts w:eastAsiaTheme="majorEastAsia"/>
          <w:color w:val="000000"/>
          <w:lang w:val="en-US"/>
        </w:rPr>
        <w:t> </w:t>
      </w:r>
      <w:r w:rsidRPr="00AE533A">
        <w:rPr>
          <w:rStyle w:val="Emphasis"/>
          <w:rFonts w:eastAsiaTheme="majorEastAsia"/>
          <w:color w:val="000000"/>
          <w:lang w:val="en-US"/>
        </w:rPr>
        <w:t>Ideography</w:t>
      </w:r>
      <w:r w:rsidRPr="00AE533A">
        <w:rPr>
          <w:rStyle w:val="apple-converted-space"/>
          <w:rFonts w:eastAsiaTheme="majorEastAsia"/>
          <w:color w:val="000000"/>
          <w:lang w:val="en-US"/>
        </w:rPr>
        <w:t> </w:t>
      </w:r>
      <w:r w:rsidRPr="00AE533A">
        <w:rPr>
          <w:color w:val="000000"/>
          <w:lang w:val="en-US"/>
        </w:rPr>
        <w:t>constitutes perhaps the most</w:t>
      </w:r>
      <w:r w:rsidRPr="00AE533A">
        <w:rPr>
          <w:rStyle w:val="apple-converted-space"/>
          <w:rFonts w:eastAsiaTheme="majorEastAsia"/>
          <w:color w:val="000000"/>
          <w:lang w:val="en-US"/>
        </w:rPr>
        <w:t> </w:t>
      </w:r>
      <w:r w:rsidRPr="00AE533A">
        <w:rPr>
          <w:rStyle w:val="Emphasis"/>
          <w:rFonts w:eastAsiaTheme="majorEastAsia"/>
          <w:color w:val="000000"/>
          <w:lang w:val="en-US"/>
        </w:rPr>
        <w:t>sui generis</w:t>
      </w:r>
      <w:r w:rsidRPr="00AE533A">
        <w:rPr>
          <w:rStyle w:val="apple-converted-space"/>
          <w:rFonts w:eastAsiaTheme="majorEastAsia"/>
          <w:color w:val="000000"/>
          <w:lang w:val="en-US"/>
        </w:rPr>
        <w:t> </w:t>
      </w:r>
      <w:r w:rsidRPr="00AE533A">
        <w:rPr>
          <w:color w:val="000000"/>
          <w:lang w:val="en-US"/>
        </w:rPr>
        <w:t>case of a treatise in the history of logic. From what we learn from his notebooks,</w:t>
      </w:r>
      <w:r w:rsidRPr="00AE533A">
        <w:rPr>
          <w:rStyle w:val="apple-converted-space"/>
          <w:rFonts w:eastAsiaTheme="majorEastAsia"/>
          <w:color w:val="000000"/>
          <w:lang w:val="en-US"/>
        </w:rPr>
        <w:t> </w:t>
      </w:r>
      <w:r w:rsidRPr="00AE533A">
        <w:rPr>
          <w:rStyle w:val="whitespace-normal"/>
          <w:rFonts w:eastAsiaTheme="majorEastAsia"/>
          <w:color w:val="000000"/>
          <w:lang w:val="en-US"/>
        </w:rPr>
        <w:t>Gottlob Frege</w:t>
      </w:r>
      <w:r w:rsidRPr="00AE533A">
        <w:rPr>
          <w:rStyle w:val="apple-converted-space"/>
          <w:rFonts w:eastAsiaTheme="majorEastAsia"/>
          <w:color w:val="000000"/>
          <w:lang w:val="en-US"/>
        </w:rPr>
        <w:t> </w:t>
      </w:r>
      <w:r w:rsidRPr="00AE533A">
        <w:rPr>
          <w:color w:val="000000"/>
          <w:lang w:val="en-US"/>
        </w:rPr>
        <w:t>began to concern himself with what his contemporaries were doing in the same fields only after the completion and publication of the</w:t>
      </w:r>
      <w:r w:rsidRPr="00AE533A">
        <w:rPr>
          <w:rStyle w:val="apple-converted-space"/>
          <w:rFonts w:eastAsiaTheme="majorEastAsia"/>
          <w:color w:val="000000"/>
          <w:lang w:val="en-US"/>
        </w:rPr>
        <w:t> </w:t>
      </w:r>
      <w:r w:rsidRPr="00AE533A">
        <w:rPr>
          <w:rStyle w:val="Emphasis"/>
          <w:rFonts w:eastAsiaTheme="majorEastAsia"/>
          <w:color w:val="000000"/>
          <w:lang w:val="en-US"/>
        </w:rPr>
        <w:t>Ideography</w:t>
      </w:r>
      <w:r w:rsidRPr="00AE533A">
        <w:rPr>
          <w:color w:val="000000"/>
          <w:lang w:val="en-US"/>
        </w:rPr>
        <w:t>. And these contemporaries were not few:</w:t>
      </w:r>
      <w:r w:rsidRPr="00AE533A">
        <w:rPr>
          <w:rStyle w:val="apple-converted-space"/>
          <w:rFonts w:eastAsiaTheme="majorEastAsia"/>
          <w:color w:val="000000"/>
          <w:lang w:val="en-US"/>
        </w:rPr>
        <w:t> </w:t>
      </w:r>
      <w:r w:rsidRPr="00AE533A">
        <w:rPr>
          <w:rStyle w:val="whitespace-normal"/>
          <w:rFonts w:eastAsiaTheme="majorEastAsia"/>
          <w:color w:val="000000"/>
          <w:lang w:val="en-US"/>
        </w:rPr>
        <w:t>Bernard Bolzano</w:t>
      </w:r>
      <w:r w:rsidRPr="00AE533A">
        <w:rPr>
          <w:color w:val="000000"/>
          <w:lang w:val="en-US"/>
        </w:rPr>
        <w:t>,</w:t>
      </w:r>
      <w:r w:rsidRPr="00AE533A">
        <w:rPr>
          <w:rStyle w:val="apple-converted-space"/>
          <w:rFonts w:eastAsiaTheme="majorEastAsia"/>
          <w:color w:val="000000"/>
          <w:lang w:val="en-US"/>
        </w:rPr>
        <w:t> </w:t>
      </w:r>
      <w:r w:rsidRPr="00AE533A">
        <w:rPr>
          <w:rStyle w:val="whitespace-normal"/>
          <w:rFonts w:eastAsiaTheme="majorEastAsia"/>
          <w:color w:val="000000"/>
          <w:lang w:val="en-US"/>
        </w:rPr>
        <w:t>Giuseppe Peano</w:t>
      </w:r>
      <w:r w:rsidRPr="00AE533A">
        <w:rPr>
          <w:color w:val="000000"/>
          <w:lang w:val="en-US"/>
        </w:rPr>
        <w:t>,</w:t>
      </w:r>
      <w:r w:rsidRPr="00AE533A">
        <w:rPr>
          <w:rStyle w:val="apple-converted-space"/>
          <w:rFonts w:eastAsiaTheme="majorEastAsia"/>
          <w:color w:val="000000"/>
          <w:lang w:val="en-US"/>
        </w:rPr>
        <w:t> </w:t>
      </w:r>
      <w:r w:rsidRPr="00AE533A">
        <w:rPr>
          <w:rStyle w:val="whitespace-normal"/>
          <w:rFonts w:eastAsiaTheme="majorEastAsia"/>
          <w:color w:val="000000"/>
          <w:lang w:val="en-US"/>
        </w:rPr>
        <w:t>Ernst Schröder</w:t>
      </w:r>
      <w:r w:rsidRPr="00AE533A">
        <w:rPr>
          <w:color w:val="000000"/>
          <w:lang w:val="en-US"/>
        </w:rPr>
        <w:t>, among others. On the other hand, the reception accorded to this work by the scientific community ranged from lukewarm to outright negative. A few brief and largely critical reviews appeared in various journals,</w:t>
      </w:r>
      <w:r w:rsidR="00047E93" w:rsidRPr="00AE533A">
        <w:rPr>
          <w:rStyle w:val="FootnoteReference"/>
          <w:color w:val="000000"/>
          <w:lang w:val="en-US"/>
        </w:rPr>
        <w:footnoteReference w:id="5"/>
      </w:r>
      <w:r w:rsidRPr="00AE533A">
        <w:rPr>
          <w:color w:val="000000"/>
          <w:lang w:val="en-US"/>
        </w:rPr>
        <w:t xml:space="preserve"> and it was not until 1903—the year in which</w:t>
      </w:r>
      <w:r w:rsidRPr="00AE533A">
        <w:rPr>
          <w:rStyle w:val="apple-converted-space"/>
          <w:rFonts w:eastAsiaTheme="majorEastAsia"/>
          <w:color w:val="000000"/>
          <w:lang w:val="en-US"/>
        </w:rPr>
        <w:t> </w:t>
      </w:r>
      <w:r w:rsidRPr="00AE533A">
        <w:rPr>
          <w:rStyle w:val="whitespace-normal"/>
          <w:rFonts w:eastAsiaTheme="majorEastAsia"/>
          <w:color w:val="000000"/>
          <w:lang w:val="en-US"/>
        </w:rPr>
        <w:t>Bertrand Russell</w:t>
      </w:r>
      <w:r w:rsidRPr="00AE533A">
        <w:rPr>
          <w:rStyle w:val="apple-converted-space"/>
          <w:rFonts w:eastAsiaTheme="majorEastAsia"/>
          <w:color w:val="000000"/>
          <w:lang w:val="en-US"/>
        </w:rPr>
        <w:t> </w:t>
      </w:r>
      <w:r w:rsidRPr="00AE533A">
        <w:rPr>
          <w:color w:val="000000"/>
          <w:lang w:val="en-US"/>
        </w:rPr>
        <w:t>published</w:t>
      </w:r>
      <w:r w:rsidRPr="00AE533A">
        <w:rPr>
          <w:rStyle w:val="apple-converted-space"/>
          <w:rFonts w:eastAsiaTheme="majorEastAsia"/>
          <w:color w:val="000000"/>
          <w:lang w:val="en-US"/>
        </w:rPr>
        <w:t> </w:t>
      </w:r>
      <w:r w:rsidRPr="00AE533A">
        <w:rPr>
          <w:rStyle w:val="whitespace-normal"/>
          <w:rFonts w:eastAsiaTheme="majorEastAsia"/>
          <w:i/>
          <w:iCs/>
          <w:color w:val="000000"/>
          <w:lang w:val="en-US"/>
        </w:rPr>
        <w:t>The Principles of Mathematics</w:t>
      </w:r>
      <w:r w:rsidRPr="00AE533A">
        <w:rPr>
          <w:color w:val="000000"/>
          <w:lang w:val="en-US"/>
        </w:rPr>
        <w:t>,</w:t>
      </w:r>
      <w:r w:rsidR="00203CF3" w:rsidRPr="00AE533A">
        <w:rPr>
          <w:rStyle w:val="FootnoteReference"/>
          <w:color w:val="000000"/>
          <w:lang w:val="en-US"/>
        </w:rPr>
        <w:footnoteReference w:id="6"/>
      </w:r>
      <w:r w:rsidRPr="00AE533A">
        <w:rPr>
          <w:color w:val="000000"/>
          <w:lang w:val="en-US"/>
        </w:rPr>
        <w:t xml:space="preserve"> where he presents and evaluates at length the work of his colleague—that the</w:t>
      </w:r>
      <w:r w:rsidRPr="00AE533A">
        <w:rPr>
          <w:rStyle w:val="apple-converted-space"/>
          <w:rFonts w:eastAsiaTheme="majorEastAsia"/>
          <w:color w:val="000000"/>
          <w:lang w:val="en-US"/>
        </w:rPr>
        <w:t> </w:t>
      </w:r>
      <w:r w:rsidRPr="00AE533A">
        <w:rPr>
          <w:rStyle w:val="Emphasis"/>
          <w:rFonts w:eastAsiaTheme="majorEastAsia"/>
          <w:color w:val="000000"/>
          <w:lang w:val="en-US"/>
        </w:rPr>
        <w:t>Ideography</w:t>
      </w:r>
      <w:r w:rsidRPr="00AE533A">
        <w:rPr>
          <w:rStyle w:val="apple-converted-space"/>
          <w:rFonts w:eastAsiaTheme="majorEastAsia"/>
          <w:color w:val="000000"/>
          <w:lang w:val="en-US"/>
        </w:rPr>
        <w:t> </w:t>
      </w:r>
      <w:r w:rsidRPr="00AE533A">
        <w:rPr>
          <w:color w:val="000000"/>
          <w:lang w:val="en-US"/>
        </w:rPr>
        <w:t>began to acquire the prestige it enjoys today.</w:t>
      </w:r>
    </w:p>
    <w:p w14:paraId="45F14AA6" w14:textId="64B80BDA" w:rsidR="004073DD" w:rsidRPr="00AE533A" w:rsidRDefault="004073DD" w:rsidP="000C63FF">
      <w:pPr>
        <w:pStyle w:val="NormalWeb"/>
        <w:spacing w:line="360" w:lineRule="auto"/>
        <w:rPr>
          <w:color w:val="000000"/>
          <w:lang w:val="en-US"/>
        </w:rPr>
      </w:pPr>
      <w:r w:rsidRPr="00AE533A">
        <w:rPr>
          <w:rStyle w:val="Strong"/>
          <w:rFonts w:eastAsiaTheme="majorEastAsia"/>
          <w:color w:val="000000"/>
          <w:lang w:val="en-US"/>
        </w:rPr>
        <w:t>v)</w:t>
      </w:r>
      <w:r w:rsidRPr="00AE533A">
        <w:rPr>
          <w:rStyle w:val="apple-converted-space"/>
          <w:rFonts w:eastAsiaTheme="majorEastAsia"/>
          <w:color w:val="000000"/>
          <w:lang w:val="en-US"/>
        </w:rPr>
        <w:t> </w:t>
      </w:r>
      <w:r w:rsidRPr="00AE533A">
        <w:rPr>
          <w:color w:val="000000"/>
          <w:lang w:val="en-US"/>
        </w:rPr>
        <w:t>The rendering of the German term</w:t>
      </w:r>
      <w:r w:rsidRPr="00AE533A">
        <w:rPr>
          <w:rStyle w:val="apple-converted-space"/>
          <w:rFonts w:eastAsiaTheme="majorEastAsia"/>
          <w:color w:val="000000"/>
          <w:lang w:val="en-US"/>
        </w:rPr>
        <w:t> </w:t>
      </w:r>
      <w:proofErr w:type="spellStart"/>
      <w:r w:rsidRPr="00AE533A">
        <w:rPr>
          <w:rStyle w:val="Emphasis"/>
          <w:rFonts w:eastAsiaTheme="majorEastAsia"/>
          <w:color w:val="000000"/>
          <w:lang w:val="en-US"/>
        </w:rPr>
        <w:t>Begriffsschrift</w:t>
      </w:r>
      <w:proofErr w:type="spellEnd"/>
      <w:r w:rsidRPr="00AE533A">
        <w:rPr>
          <w:rStyle w:val="apple-converted-space"/>
          <w:rFonts w:eastAsiaTheme="majorEastAsia"/>
          <w:color w:val="000000"/>
          <w:lang w:val="en-US"/>
        </w:rPr>
        <w:t> </w:t>
      </w:r>
      <w:r w:rsidRPr="00AE533A">
        <w:rPr>
          <w:color w:val="000000"/>
          <w:lang w:val="en-US"/>
        </w:rPr>
        <w:t>has posed difficulties for translators. For reasons of brevity, it is rendered here as “Ideography,” although it bears no relation whatsoever to so-called “ideograms” or ideographic languages. As is clear both from the subtitle of the work and from what Frege himself says in the Introduction, this new “formal” language aims to disclose the “conceptual content” (</w:t>
      </w:r>
      <w:proofErr w:type="spellStart"/>
      <w:r w:rsidRPr="00AE533A">
        <w:rPr>
          <w:rStyle w:val="Emphasis"/>
          <w:rFonts w:eastAsiaTheme="majorEastAsia"/>
          <w:color w:val="000000"/>
          <w:lang w:val="en-US"/>
        </w:rPr>
        <w:t>begrifflicher</w:t>
      </w:r>
      <w:proofErr w:type="spellEnd"/>
      <w:r w:rsidRPr="00AE533A">
        <w:rPr>
          <w:rStyle w:val="Emphasis"/>
          <w:rFonts w:eastAsiaTheme="majorEastAsia"/>
          <w:color w:val="000000"/>
          <w:lang w:val="en-US"/>
        </w:rPr>
        <w:t xml:space="preserve"> </w:t>
      </w:r>
      <w:proofErr w:type="spellStart"/>
      <w:r w:rsidRPr="00AE533A">
        <w:rPr>
          <w:rStyle w:val="Emphasis"/>
          <w:rFonts w:eastAsiaTheme="majorEastAsia"/>
          <w:color w:val="000000"/>
          <w:lang w:val="en-US"/>
        </w:rPr>
        <w:t>Inhalt</w:t>
      </w:r>
      <w:proofErr w:type="spellEnd"/>
      <w:r w:rsidRPr="00AE533A">
        <w:rPr>
          <w:color w:val="000000"/>
          <w:lang w:val="en-US"/>
        </w:rPr>
        <w:t>) of propositions and, accordingly, to “write” or “represent” that very content. Consequently—and given that the Greek term for “idea” is polysemous—it might perhaps be more accurate to translate it as</w:t>
      </w:r>
      <w:r w:rsidRPr="00AE533A">
        <w:rPr>
          <w:rStyle w:val="apple-converted-space"/>
          <w:rFonts w:eastAsiaTheme="majorEastAsia"/>
          <w:color w:val="000000"/>
          <w:lang w:val="en-US"/>
        </w:rPr>
        <w:t> </w:t>
      </w:r>
      <w:r w:rsidRPr="00AE533A">
        <w:rPr>
          <w:rStyle w:val="Emphasis"/>
          <w:rFonts w:eastAsiaTheme="majorEastAsia"/>
          <w:color w:val="000000"/>
          <w:lang w:val="en-US"/>
        </w:rPr>
        <w:t>semantic</w:t>
      </w:r>
      <w:r w:rsidRPr="00AE533A">
        <w:rPr>
          <w:rStyle w:val="apple-converted-space"/>
          <w:rFonts w:eastAsiaTheme="majorEastAsia"/>
          <w:color w:val="000000"/>
          <w:lang w:val="en-US"/>
        </w:rPr>
        <w:t> </w:t>
      </w:r>
      <w:r w:rsidRPr="00AE533A">
        <w:rPr>
          <w:color w:val="000000"/>
          <w:lang w:val="en-US"/>
        </w:rPr>
        <w:t>or</w:t>
      </w:r>
      <w:r w:rsidRPr="00AE533A">
        <w:rPr>
          <w:rStyle w:val="apple-converted-space"/>
          <w:rFonts w:eastAsiaTheme="majorEastAsia"/>
          <w:color w:val="000000"/>
          <w:lang w:val="en-US"/>
        </w:rPr>
        <w:t> </w:t>
      </w:r>
      <w:r w:rsidRPr="00AE533A">
        <w:rPr>
          <w:rStyle w:val="Emphasis"/>
          <w:rFonts w:eastAsiaTheme="majorEastAsia"/>
          <w:color w:val="000000"/>
          <w:lang w:val="en-US"/>
        </w:rPr>
        <w:t>conceptual symbolism</w:t>
      </w:r>
      <w:r w:rsidRPr="00AE533A">
        <w:rPr>
          <w:color w:val="000000"/>
          <w:lang w:val="en-US"/>
        </w:rPr>
        <w:t>.</w:t>
      </w:r>
      <w:r w:rsidR="00203CF3" w:rsidRPr="00AE533A">
        <w:rPr>
          <w:rStyle w:val="FootnoteReference"/>
          <w:color w:val="000000"/>
          <w:lang w:val="en-US"/>
        </w:rPr>
        <w:footnoteReference w:id="7"/>
      </w:r>
    </w:p>
    <w:p w14:paraId="70F0D56B" w14:textId="3C63FBD1" w:rsidR="004073DD" w:rsidRPr="00AE533A" w:rsidRDefault="004073DD" w:rsidP="000C63FF">
      <w:pPr>
        <w:pStyle w:val="NormalWeb"/>
        <w:spacing w:line="360" w:lineRule="auto"/>
        <w:rPr>
          <w:color w:val="000000"/>
          <w:lang w:val="en-US"/>
        </w:rPr>
      </w:pPr>
      <w:r w:rsidRPr="00AE533A">
        <w:rPr>
          <w:rStyle w:val="Strong"/>
          <w:rFonts w:eastAsiaTheme="majorEastAsia"/>
          <w:color w:val="000000"/>
          <w:lang w:val="en-US"/>
        </w:rPr>
        <w:t>vi)</w:t>
      </w:r>
      <w:r w:rsidRPr="00AE533A">
        <w:rPr>
          <w:rStyle w:val="apple-converted-space"/>
          <w:rFonts w:eastAsiaTheme="majorEastAsia"/>
          <w:color w:val="000000"/>
          <w:lang w:val="en-US"/>
        </w:rPr>
        <w:t> </w:t>
      </w:r>
      <w:r w:rsidRPr="00AE533A">
        <w:rPr>
          <w:color w:val="000000"/>
          <w:lang w:val="en-US"/>
        </w:rPr>
        <w:t>The motive behind the conception and composition of this conceptual language was the grounding of mathematics upon purely logical laws. From this perspective, both the</w:t>
      </w:r>
      <w:r w:rsidRPr="00AE533A">
        <w:rPr>
          <w:rStyle w:val="apple-converted-space"/>
          <w:rFonts w:eastAsiaTheme="majorEastAsia"/>
          <w:color w:val="000000"/>
          <w:lang w:val="en-US"/>
        </w:rPr>
        <w:t> </w:t>
      </w:r>
      <w:r w:rsidRPr="00AE533A">
        <w:rPr>
          <w:rStyle w:val="Emphasis"/>
          <w:rFonts w:eastAsiaTheme="majorEastAsia"/>
          <w:color w:val="000000"/>
          <w:lang w:val="en-US"/>
        </w:rPr>
        <w:t>Ideography</w:t>
      </w:r>
      <w:r w:rsidRPr="00AE533A">
        <w:rPr>
          <w:rStyle w:val="apple-converted-space"/>
          <w:rFonts w:eastAsiaTheme="majorEastAsia"/>
          <w:color w:val="000000"/>
          <w:lang w:val="en-US"/>
        </w:rPr>
        <w:t> </w:t>
      </w:r>
      <w:r w:rsidRPr="00AE533A">
        <w:rPr>
          <w:color w:val="000000"/>
          <w:lang w:val="en-US"/>
        </w:rPr>
        <w:t>and the later</w:t>
      </w:r>
      <w:r w:rsidRPr="00AE533A">
        <w:rPr>
          <w:rStyle w:val="apple-converted-space"/>
          <w:rFonts w:eastAsiaTheme="majorEastAsia"/>
          <w:color w:val="000000"/>
          <w:lang w:val="en-US"/>
        </w:rPr>
        <w:t> </w:t>
      </w:r>
      <w:r w:rsidRPr="00AE533A">
        <w:rPr>
          <w:rStyle w:val="whitespace-normal"/>
          <w:rFonts w:eastAsiaTheme="majorEastAsia"/>
          <w:i/>
          <w:iCs/>
          <w:color w:val="000000"/>
          <w:lang w:val="en-US"/>
        </w:rPr>
        <w:t xml:space="preserve">Die </w:t>
      </w:r>
      <w:proofErr w:type="spellStart"/>
      <w:r w:rsidRPr="00AE533A">
        <w:rPr>
          <w:rStyle w:val="whitespace-normal"/>
          <w:rFonts w:eastAsiaTheme="majorEastAsia"/>
          <w:i/>
          <w:iCs/>
          <w:color w:val="000000"/>
          <w:lang w:val="en-US"/>
        </w:rPr>
        <w:t>Grundlagen</w:t>
      </w:r>
      <w:proofErr w:type="spellEnd"/>
      <w:r w:rsidRPr="00AE533A">
        <w:rPr>
          <w:rStyle w:val="whitespace-normal"/>
          <w:rFonts w:eastAsiaTheme="majorEastAsia"/>
          <w:i/>
          <w:iCs/>
          <w:color w:val="000000"/>
          <w:lang w:val="en-US"/>
        </w:rPr>
        <w:t xml:space="preserve"> der </w:t>
      </w:r>
      <w:proofErr w:type="spellStart"/>
      <w:r w:rsidRPr="00AE533A">
        <w:rPr>
          <w:rStyle w:val="whitespace-normal"/>
          <w:rFonts w:eastAsiaTheme="majorEastAsia"/>
          <w:i/>
          <w:iCs/>
          <w:color w:val="000000"/>
          <w:lang w:val="en-US"/>
        </w:rPr>
        <w:t>Arithmetik</w:t>
      </w:r>
      <w:proofErr w:type="spellEnd"/>
      <w:r w:rsidRPr="00AE533A">
        <w:rPr>
          <w:color w:val="000000"/>
          <w:lang w:val="en-US"/>
        </w:rPr>
        <w:t>,</w:t>
      </w:r>
      <w:r w:rsidR="00203CF3" w:rsidRPr="00AE533A">
        <w:rPr>
          <w:rStyle w:val="FootnoteReference"/>
          <w:color w:val="000000"/>
          <w:lang w:val="en-US"/>
        </w:rPr>
        <w:footnoteReference w:id="8"/>
      </w:r>
      <w:r w:rsidRPr="00AE533A">
        <w:rPr>
          <w:color w:val="000000"/>
          <w:lang w:val="en-US"/>
        </w:rPr>
        <w:t xml:space="preserve"> and of course the</w:t>
      </w:r>
      <w:r w:rsidRPr="00AE533A">
        <w:rPr>
          <w:rStyle w:val="apple-converted-space"/>
          <w:rFonts w:eastAsiaTheme="majorEastAsia"/>
          <w:color w:val="000000"/>
          <w:lang w:val="en-US"/>
        </w:rPr>
        <w:t> </w:t>
      </w:r>
      <w:proofErr w:type="spellStart"/>
      <w:r w:rsidRPr="00AE533A">
        <w:rPr>
          <w:rStyle w:val="whitespace-normal"/>
          <w:rFonts w:eastAsiaTheme="majorEastAsia"/>
          <w:i/>
          <w:iCs/>
          <w:color w:val="000000"/>
          <w:lang w:val="en-US"/>
        </w:rPr>
        <w:t>Grundgesetze</w:t>
      </w:r>
      <w:proofErr w:type="spellEnd"/>
      <w:r w:rsidRPr="00AE533A">
        <w:rPr>
          <w:rStyle w:val="whitespace-normal"/>
          <w:rFonts w:eastAsiaTheme="majorEastAsia"/>
          <w:i/>
          <w:iCs/>
          <w:color w:val="000000"/>
          <w:lang w:val="en-US"/>
        </w:rPr>
        <w:t xml:space="preserve"> der </w:t>
      </w:r>
      <w:proofErr w:type="spellStart"/>
      <w:r w:rsidRPr="00AE533A">
        <w:rPr>
          <w:rStyle w:val="whitespace-normal"/>
          <w:rFonts w:eastAsiaTheme="majorEastAsia"/>
          <w:i/>
          <w:iCs/>
          <w:color w:val="000000"/>
          <w:lang w:val="en-US"/>
        </w:rPr>
        <w:t>Arithmetik</w:t>
      </w:r>
      <w:proofErr w:type="spellEnd"/>
      <w:r w:rsidRPr="00AE533A">
        <w:rPr>
          <w:color w:val="000000"/>
          <w:lang w:val="en-US"/>
        </w:rPr>
        <w:t>, have a pronounced anti-Kantian character. It should be recalled here that, according to</w:t>
      </w:r>
      <w:r w:rsidRPr="00AE533A">
        <w:rPr>
          <w:rStyle w:val="apple-converted-space"/>
          <w:rFonts w:eastAsiaTheme="majorEastAsia"/>
          <w:color w:val="000000"/>
          <w:lang w:val="en-US"/>
        </w:rPr>
        <w:t> </w:t>
      </w:r>
      <w:r w:rsidRPr="00AE533A">
        <w:rPr>
          <w:rStyle w:val="whitespace-normal"/>
          <w:rFonts w:eastAsiaTheme="majorEastAsia"/>
          <w:color w:val="000000"/>
          <w:lang w:val="en-US"/>
        </w:rPr>
        <w:t>Immanuel Kant</w:t>
      </w:r>
      <w:r w:rsidRPr="00AE533A">
        <w:rPr>
          <w:color w:val="000000"/>
          <w:lang w:val="en-US"/>
        </w:rPr>
        <w:t>, mathematical propositions as a whole are indeed true</w:t>
      </w:r>
      <w:r w:rsidRPr="00AE533A">
        <w:rPr>
          <w:rStyle w:val="apple-converted-space"/>
          <w:rFonts w:eastAsiaTheme="majorEastAsia"/>
          <w:color w:val="000000"/>
          <w:lang w:val="en-US"/>
        </w:rPr>
        <w:t> </w:t>
      </w:r>
      <w:r w:rsidRPr="00AE533A">
        <w:rPr>
          <w:rStyle w:val="Emphasis"/>
          <w:rFonts w:eastAsiaTheme="majorEastAsia"/>
          <w:color w:val="000000"/>
          <w:lang w:val="en-US"/>
        </w:rPr>
        <w:t xml:space="preserve">a </w:t>
      </w:r>
      <w:r w:rsidRPr="00AE533A">
        <w:rPr>
          <w:rStyle w:val="Emphasis"/>
          <w:rFonts w:eastAsiaTheme="majorEastAsia"/>
          <w:color w:val="000000"/>
          <w:lang w:val="en-US"/>
        </w:rPr>
        <w:lastRenderedPageBreak/>
        <w:t>priori</w:t>
      </w:r>
      <w:r w:rsidRPr="00AE533A">
        <w:rPr>
          <w:rStyle w:val="apple-converted-space"/>
          <w:rFonts w:eastAsiaTheme="majorEastAsia"/>
          <w:color w:val="000000"/>
          <w:lang w:val="en-US"/>
        </w:rPr>
        <w:t> </w:t>
      </w:r>
      <w:r w:rsidRPr="00AE533A">
        <w:rPr>
          <w:color w:val="000000"/>
          <w:lang w:val="en-US"/>
        </w:rPr>
        <w:t>but are nevertheless “synthetic.”</w:t>
      </w:r>
      <w:r w:rsidR="00203CF3" w:rsidRPr="00AE533A">
        <w:rPr>
          <w:rStyle w:val="FootnoteReference"/>
          <w:color w:val="000000"/>
          <w:lang w:val="en-US"/>
        </w:rPr>
        <w:footnoteReference w:id="9"/>
      </w:r>
      <w:r w:rsidRPr="00AE533A">
        <w:rPr>
          <w:color w:val="000000"/>
          <w:lang w:val="en-US"/>
        </w:rPr>
        <w:t xml:space="preserve"> This means that, although experience is not required for their verification, these propositions are not tautologies. The reason why they are independent of experience despite not being tautological is located in a function of consciousness that is not a logical law, namely</w:t>
      </w:r>
      <w:r w:rsidRPr="00AE533A">
        <w:rPr>
          <w:rStyle w:val="apple-converted-space"/>
          <w:rFonts w:eastAsiaTheme="majorEastAsia"/>
          <w:color w:val="000000"/>
          <w:lang w:val="en-US"/>
        </w:rPr>
        <w:t> </w:t>
      </w:r>
      <w:r w:rsidRPr="00AE533A">
        <w:rPr>
          <w:rStyle w:val="Emphasis"/>
          <w:rFonts w:eastAsiaTheme="majorEastAsia"/>
          <w:color w:val="000000"/>
          <w:lang w:val="en-US"/>
        </w:rPr>
        <w:t>a priori</w:t>
      </w:r>
      <w:r w:rsidRPr="00AE533A">
        <w:rPr>
          <w:rStyle w:val="apple-converted-space"/>
          <w:rFonts w:eastAsiaTheme="majorEastAsia"/>
          <w:color w:val="000000"/>
          <w:lang w:val="en-US"/>
        </w:rPr>
        <w:t> </w:t>
      </w:r>
      <w:r w:rsidRPr="00AE533A">
        <w:rPr>
          <w:color w:val="000000"/>
          <w:lang w:val="en-US"/>
        </w:rPr>
        <w:t>intuition (or intuition). By contrast, according to</w:t>
      </w:r>
      <w:r w:rsidRPr="00AE533A">
        <w:rPr>
          <w:rStyle w:val="apple-converted-space"/>
          <w:rFonts w:eastAsiaTheme="majorEastAsia"/>
          <w:color w:val="000000"/>
          <w:lang w:val="en-US"/>
        </w:rPr>
        <w:t> </w:t>
      </w:r>
      <w:r w:rsidRPr="00AE533A">
        <w:rPr>
          <w:rStyle w:val="whitespace-normal"/>
          <w:rFonts w:eastAsiaTheme="majorEastAsia"/>
          <w:color w:val="000000"/>
          <w:lang w:val="en-US"/>
        </w:rPr>
        <w:t>Gottlob Frege</w:t>
      </w:r>
      <w:r w:rsidRPr="00AE533A">
        <w:rPr>
          <w:color w:val="000000"/>
          <w:lang w:val="en-US"/>
        </w:rPr>
        <w:t>, the totality of mathematical propositions (with the exception of geometry) is grounded in “pure thought” and is tautological, that is, analytic. Already the</w:t>
      </w:r>
      <w:r w:rsidRPr="00AE533A">
        <w:rPr>
          <w:rStyle w:val="apple-converted-space"/>
          <w:rFonts w:eastAsiaTheme="majorEastAsia"/>
          <w:color w:val="000000"/>
          <w:lang w:val="en-US"/>
        </w:rPr>
        <w:t> </w:t>
      </w:r>
      <w:r w:rsidRPr="00AE533A">
        <w:rPr>
          <w:rStyle w:val="Emphasis"/>
          <w:rFonts w:eastAsiaTheme="majorEastAsia"/>
          <w:color w:val="000000"/>
          <w:lang w:val="en-US"/>
        </w:rPr>
        <w:t>Ideography</w:t>
      </w:r>
      <w:r w:rsidRPr="00AE533A">
        <w:rPr>
          <w:rStyle w:val="apple-converted-space"/>
          <w:rFonts w:eastAsiaTheme="majorEastAsia"/>
          <w:color w:val="000000"/>
          <w:lang w:val="en-US"/>
        </w:rPr>
        <w:t> </w:t>
      </w:r>
      <w:r w:rsidRPr="00AE533A">
        <w:rPr>
          <w:color w:val="000000"/>
          <w:lang w:val="en-US"/>
        </w:rPr>
        <w:t>is manifestly inspired by this vision of the logical foundation of mathematics, a project that would be completed in the</w:t>
      </w:r>
      <w:r w:rsidRPr="00AE533A">
        <w:rPr>
          <w:rStyle w:val="apple-converted-space"/>
          <w:rFonts w:eastAsiaTheme="majorEastAsia"/>
          <w:color w:val="000000"/>
          <w:lang w:val="en-US"/>
        </w:rPr>
        <w:t> </w:t>
      </w:r>
      <w:proofErr w:type="spellStart"/>
      <w:r w:rsidRPr="00AE533A">
        <w:rPr>
          <w:rStyle w:val="Emphasis"/>
          <w:rFonts w:eastAsiaTheme="majorEastAsia"/>
          <w:color w:val="000000"/>
          <w:lang w:val="en-US"/>
        </w:rPr>
        <w:t>Grundgesetze</w:t>
      </w:r>
      <w:proofErr w:type="spellEnd"/>
      <w:r w:rsidRPr="00AE533A">
        <w:rPr>
          <w:color w:val="000000"/>
          <w:lang w:val="en-US"/>
        </w:rPr>
        <w:t>. Only toward the end of his life, and after the discovery of the paradoxes, did Frege begin to harbor doubts concerning the tautological character of the propositions of analysis, and to seek solutions that appeal to intuition, akin to those that ground geometry.</w:t>
      </w:r>
    </w:p>
    <w:p w14:paraId="623856F7" w14:textId="0BB545A3" w:rsidR="004073DD" w:rsidRPr="00AE533A" w:rsidRDefault="004073DD" w:rsidP="000C63FF">
      <w:pPr>
        <w:pStyle w:val="NormalWeb"/>
        <w:spacing w:line="360" w:lineRule="auto"/>
        <w:rPr>
          <w:color w:val="000000"/>
          <w:lang w:val="en-US"/>
        </w:rPr>
      </w:pPr>
      <w:r w:rsidRPr="00AE533A">
        <w:rPr>
          <w:rStyle w:val="Strong"/>
          <w:rFonts w:eastAsiaTheme="majorEastAsia"/>
          <w:color w:val="000000"/>
          <w:lang w:val="en-US"/>
        </w:rPr>
        <w:t>vii)</w:t>
      </w:r>
      <w:r w:rsidRPr="00AE533A">
        <w:rPr>
          <w:rStyle w:val="apple-converted-space"/>
          <w:rFonts w:eastAsiaTheme="majorEastAsia"/>
          <w:color w:val="000000"/>
          <w:lang w:val="en-US"/>
        </w:rPr>
        <w:t> </w:t>
      </w:r>
      <w:r w:rsidRPr="00AE533A">
        <w:rPr>
          <w:color w:val="000000"/>
          <w:lang w:val="en-US"/>
        </w:rPr>
        <w:t>As regards the necessity of conceiving and employing a new technical language, Frege explains—and justifies—it in two ways. First, he points out that the ambiguities of everyday language constitute an obstacle to the language of science. The reasons are obvious: if ambiguous terms occur in the premisses of an argumentative form, then the conclusions will likewise be ambiguous. The second reason is that the productive argumentative forms of everyday language are elliptical, and for this reason one can easily be misled and draw erroneous conclusions from true premisses, or conversely. A detailed registration of all the stages of an argument eliminates this danger. According to a metaphor that has become famous, everyday language is the eye, whereas the</w:t>
      </w:r>
      <w:r w:rsidRPr="00AE533A">
        <w:rPr>
          <w:rStyle w:val="apple-converted-space"/>
          <w:rFonts w:eastAsiaTheme="majorEastAsia"/>
          <w:color w:val="000000"/>
          <w:lang w:val="en-US"/>
        </w:rPr>
        <w:t> </w:t>
      </w:r>
      <w:r w:rsidRPr="00AE533A">
        <w:rPr>
          <w:rStyle w:val="Emphasis"/>
          <w:rFonts w:eastAsiaTheme="majorEastAsia"/>
          <w:color w:val="000000"/>
          <w:lang w:val="en-US"/>
        </w:rPr>
        <w:t>Ideography</w:t>
      </w:r>
      <w:r w:rsidRPr="00AE533A">
        <w:rPr>
          <w:rStyle w:val="apple-converted-space"/>
          <w:rFonts w:eastAsiaTheme="majorEastAsia"/>
          <w:color w:val="000000"/>
          <w:lang w:val="en-US"/>
        </w:rPr>
        <w:t> </w:t>
      </w:r>
      <w:r w:rsidRPr="00AE533A">
        <w:rPr>
          <w:color w:val="000000"/>
          <w:lang w:val="en-US"/>
        </w:rPr>
        <w:t>is the microscope.</w:t>
      </w:r>
      <w:r w:rsidR="00203CF3" w:rsidRPr="00AE533A">
        <w:rPr>
          <w:rStyle w:val="FootnoteReference"/>
          <w:color w:val="000000"/>
          <w:lang w:val="en-US"/>
        </w:rPr>
        <w:footnoteReference w:id="10"/>
      </w:r>
    </w:p>
    <w:p w14:paraId="7909F23E" w14:textId="77777777" w:rsidR="004073DD" w:rsidRPr="00AE533A" w:rsidRDefault="004073DD" w:rsidP="000C63FF">
      <w:pPr>
        <w:pStyle w:val="NormalWeb"/>
        <w:spacing w:line="360" w:lineRule="auto"/>
        <w:rPr>
          <w:color w:val="000000"/>
          <w:lang w:val="en-US"/>
        </w:rPr>
      </w:pPr>
    </w:p>
    <w:p w14:paraId="3205FE15" w14:textId="77777777" w:rsidR="004073DD" w:rsidRPr="00AE533A" w:rsidRDefault="004073DD" w:rsidP="000C63FF">
      <w:pPr>
        <w:spacing w:before="100" w:beforeAutospacing="1" w:after="100" w:afterAutospacing="1" w:line="360" w:lineRule="auto"/>
        <w:outlineLvl w:val="1"/>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II. The Basic Characteristics of the </w:t>
      </w:r>
      <w:r w:rsidRPr="00AE533A">
        <w:rPr>
          <w:rFonts w:ascii="Times New Roman" w:eastAsia="Times New Roman" w:hAnsi="Times New Roman" w:cs="Times New Roman"/>
          <w:b/>
          <w:bCs/>
          <w:i/>
          <w:iCs/>
          <w:color w:val="000000"/>
          <w:sz w:val="27"/>
          <w:szCs w:val="27"/>
          <w:lang w:val="en-US" w:eastAsia="en-GB"/>
        </w:rPr>
        <w:t>Ideography</w:t>
      </w:r>
    </w:p>
    <w:p w14:paraId="2AF1495E"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In this part we shall set out the aims and the basic characteristics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placing particular emphasis on those features that made it the first treatise of “mathematical logic.” Our focus, that is, will be on why the logic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constitutes an innovation with respect to classical Aristotelian logic.</w:t>
      </w:r>
    </w:p>
    <w:p w14:paraId="0598578B" w14:textId="77777777" w:rsidR="004073DD" w:rsidRPr="00AE533A" w:rsidRDefault="004073DD"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proofErr w:type="spellStart"/>
      <w:r w:rsidRPr="00AE533A">
        <w:rPr>
          <w:rFonts w:ascii="Times New Roman" w:eastAsia="Times New Roman" w:hAnsi="Times New Roman" w:cs="Times New Roman"/>
          <w:b/>
          <w:bCs/>
          <w:color w:val="000000"/>
          <w:sz w:val="27"/>
          <w:szCs w:val="27"/>
          <w:lang w:val="en-US" w:eastAsia="en-GB"/>
        </w:rPr>
        <w:lastRenderedPageBreak/>
        <w:t>i</w:t>
      </w:r>
      <w:proofErr w:type="spellEnd"/>
      <w:r w:rsidRPr="00AE533A">
        <w:rPr>
          <w:rFonts w:ascii="Times New Roman" w:eastAsia="Times New Roman" w:hAnsi="Times New Roman" w:cs="Times New Roman"/>
          <w:b/>
          <w:bCs/>
          <w:color w:val="000000"/>
          <w:sz w:val="27"/>
          <w:szCs w:val="27"/>
          <w:lang w:val="en-US" w:eastAsia="en-GB"/>
        </w:rPr>
        <w:t>) Basic symbols</w:t>
      </w:r>
    </w:p>
    <w:p w14:paraId="40633268"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The expression</w:t>
      </w:r>
    </w:p>
    <w:p w14:paraId="3891A17D"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 A</w:t>
      </w:r>
    </w:p>
    <w:p w14:paraId="45ED0CDB"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means that “A” has </w:t>
      </w:r>
      <w:r w:rsidRPr="00AE533A">
        <w:rPr>
          <w:rFonts w:ascii="Times New Roman" w:eastAsia="Times New Roman" w:hAnsi="Times New Roman" w:cs="Times New Roman"/>
          <w:i/>
          <w:iCs/>
          <w:color w:val="000000"/>
          <w:lang w:val="en-US" w:eastAsia="en-GB"/>
        </w:rPr>
        <w:t>judgable</w:t>
      </w:r>
      <w:r w:rsidRPr="00AE533A">
        <w:rPr>
          <w:rFonts w:ascii="Times New Roman" w:eastAsia="Times New Roman" w:hAnsi="Times New Roman" w:cs="Times New Roman"/>
          <w:color w:val="000000"/>
          <w:lang w:val="en-US" w:eastAsia="en-GB"/>
        </w:rPr>
        <w:t> (or </w:t>
      </w:r>
      <w:r w:rsidRPr="00AE533A">
        <w:rPr>
          <w:rFonts w:ascii="Times New Roman" w:eastAsia="Times New Roman" w:hAnsi="Times New Roman" w:cs="Times New Roman"/>
          <w:i/>
          <w:iCs/>
          <w:color w:val="000000"/>
          <w:lang w:val="en-US" w:eastAsia="en-GB"/>
        </w:rPr>
        <w:t>assertoric</w:t>
      </w:r>
      <w:r w:rsidRPr="00AE533A">
        <w:rPr>
          <w:rFonts w:ascii="Times New Roman" w:eastAsia="Times New Roman" w:hAnsi="Times New Roman" w:cs="Times New Roman"/>
          <w:color w:val="000000"/>
          <w:lang w:val="en-US" w:eastAsia="en-GB"/>
        </w:rPr>
        <w:t>) content (</w:t>
      </w:r>
      <w:proofErr w:type="spellStart"/>
      <w:r w:rsidRPr="00AE533A">
        <w:rPr>
          <w:rFonts w:ascii="Times New Roman" w:eastAsia="Times New Roman" w:hAnsi="Times New Roman" w:cs="Times New Roman"/>
          <w:i/>
          <w:iCs/>
          <w:color w:val="000000"/>
          <w:lang w:val="en-US" w:eastAsia="en-GB"/>
        </w:rPr>
        <w:t>beurteilbarer</w:t>
      </w:r>
      <w:proofErr w:type="spellEnd"/>
      <w:r w:rsidRPr="00AE533A">
        <w:rPr>
          <w:rFonts w:ascii="Times New Roman" w:eastAsia="Times New Roman" w:hAnsi="Times New Roman" w:cs="Times New Roman"/>
          <w:i/>
          <w:iCs/>
          <w:color w:val="000000"/>
          <w:lang w:val="en-US" w:eastAsia="en-GB"/>
        </w:rPr>
        <w:t xml:space="preserve"> </w:t>
      </w:r>
      <w:proofErr w:type="spellStart"/>
      <w:r w:rsidRPr="00AE533A">
        <w:rPr>
          <w:rFonts w:ascii="Times New Roman" w:eastAsia="Times New Roman" w:hAnsi="Times New Roman" w:cs="Times New Roman"/>
          <w:i/>
          <w:iCs/>
          <w:color w:val="000000"/>
          <w:lang w:val="en-US" w:eastAsia="en-GB"/>
        </w:rPr>
        <w:t>Inhalt</w:t>
      </w:r>
      <w:proofErr w:type="spellEnd"/>
      <w:r w:rsidRPr="00AE533A">
        <w:rPr>
          <w:rFonts w:ascii="Times New Roman" w:eastAsia="Times New Roman" w:hAnsi="Times New Roman" w:cs="Times New Roman"/>
          <w:color w:val="000000"/>
          <w:lang w:val="en-US" w:eastAsia="en-GB"/>
        </w:rPr>
        <w:t>). This, in turn, means that we can either affirm it or affirm its negation. The expression</w:t>
      </w:r>
    </w:p>
    <w:p w14:paraId="3212FC3C" w14:textId="793A9E1D" w:rsidR="004073DD" w:rsidRPr="00E31D38" w:rsidRDefault="004073DD" w:rsidP="000C63FF">
      <w:pPr>
        <w:spacing w:before="100" w:beforeAutospacing="1" w:after="100" w:afterAutospacing="1" w:line="360" w:lineRule="auto"/>
        <w:rPr>
          <w:rFonts w:ascii="Times New Roman" w:eastAsia="Times New Roman" w:hAnsi="Times New Roman" w:cs="Times New Roman"/>
          <w:color w:val="000000"/>
          <w:lang w:eastAsia="en-GB"/>
        </w:rPr>
      </w:pPr>
      <w:r w:rsidRPr="00AE533A">
        <w:rPr>
          <w:rFonts w:ascii="Cambria Math" w:eastAsia="Times New Roman" w:hAnsi="Cambria Math" w:cs="Cambria Math"/>
          <w:color w:val="000000"/>
          <w:lang w:val="en-US" w:eastAsia="en-GB"/>
        </w:rPr>
        <w:t>⊢</w:t>
      </w:r>
      <w:r w:rsidRPr="00AE533A">
        <w:rPr>
          <w:rFonts w:ascii="Times New Roman" w:eastAsia="Times New Roman" w:hAnsi="Times New Roman" w:cs="Times New Roman"/>
          <w:color w:val="000000"/>
          <w:lang w:val="en-US" w:eastAsia="en-GB"/>
        </w:rPr>
        <w:t xml:space="preserve"> A</w:t>
      </w:r>
      <w:r w:rsidR="00E31D38">
        <w:rPr>
          <w:rFonts w:ascii="Times New Roman" w:eastAsia="Times New Roman" w:hAnsi="Times New Roman" w:cs="Times New Roman"/>
          <w:color w:val="000000"/>
          <w:lang w:val="en-US" w:eastAsia="en-GB"/>
        </w:rPr>
        <w:t xml:space="preserve"> </w:t>
      </w:r>
    </w:p>
    <w:p w14:paraId="1D635900" w14:textId="0F93FB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means that we affirm its content. Frege calls the horizontal stroke the “line of conceptual content” (</w:t>
      </w:r>
      <w:proofErr w:type="spellStart"/>
      <w:r w:rsidRPr="00AE533A">
        <w:rPr>
          <w:rFonts w:ascii="Times New Roman" w:eastAsia="Times New Roman" w:hAnsi="Times New Roman" w:cs="Times New Roman"/>
          <w:i/>
          <w:iCs/>
          <w:color w:val="000000"/>
          <w:lang w:val="en-US" w:eastAsia="en-GB"/>
        </w:rPr>
        <w:t>begrifflicher</w:t>
      </w:r>
      <w:proofErr w:type="spellEnd"/>
      <w:r w:rsidRPr="00AE533A">
        <w:rPr>
          <w:rFonts w:ascii="Times New Roman" w:eastAsia="Times New Roman" w:hAnsi="Times New Roman" w:cs="Times New Roman"/>
          <w:i/>
          <w:iCs/>
          <w:color w:val="000000"/>
          <w:lang w:val="en-US" w:eastAsia="en-GB"/>
        </w:rPr>
        <w:t xml:space="preserve"> </w:t>
      </w:r>
      <w:proofErr w:type="spellStart"/>
      <w:r w:rsidRPr="00AE533A">
        <w:rPr>
          <w:rFonts w:ascii="Times New Roman" w:eastAsia="Times New Roman" w:hAnsi="Times New Roman" w:cs="Times New Roman"/>
          <w:i/>
          <w:iCs/>
          <w:color w:val="000000"/>
          <w:lang w:val="en-US" w:eastAsia="en-GB"/>
        </w:rPr>
        <w:t>Inhalt</w:t>
      </w:r>
      <w:proofErr w:type="spellEnd"/>
      <w:r w:rsidRPr="00AE533A">
        <w:rPr>
          <w:rFonts w:ascii="Times New Roman" w:eastAsia="Times New Roman" w:hAnsi="Times New Roman" w:cs="Times New Roman"/>
          <w:color w:val="000000"/>
          <w:lang w:val="en-US" w:eastAsia="en-GB"/>
        </w:rPr>
        <w:t>) and the vertical stroke the “line of judgment” (</w:t>
      </w:r>
      <w:proofErr w:type="spellStart"/>
      <w:r w:rsidRPr="00AE533A">
        <w:rPr>
          <w:rFonts w:ascii="Times New Roman" w:eastAsia="Times New Roman" w:hAnsi="Times New Roman" w:cs="Times New Roman"/>
          <w:i/>
          <w:iCs/>
          <w:color w:val="000000"/>
          <w:lang w:val="en-US" w:eastAsia="en-GB"/>
        </w:rPr>
        <w:t>Urteil</w:t>
      </w:r>
      <w:proofErr w:type="spellEnd"/>
      <w:r w:rsidRPr="00AE533A">
        <w:rPr>
          <w:rFonts w:ascii="Times New Roman" w:eastAsia="Times New Roman" w:hAnsi="Times New Roman" w:cs="Times New Roman"/>
          <w:color w:val="000000"/>
          <w:lang w:val="en-US" w:eastAsia="en-GB"/>
        </w:rPr>
        <w:t>). According to his example,</w:t>
      </w:r>
      <w:r w:rsidR="00203CF3" w:rsidRPr="00AE533A">
        <w:rPr>
          <w:rStyle w:val="FootnoteReference"/>
          <w:rFonts w:ascii="Times New Roman" w:eastAsia="Times New Roman" w:hAnsi="Times New Roman" w:cs="Times New Roman"/>
          <w:color w:val="000000"/>
          <w:lang w:val="en-US" w:eastAsia="en-GB"/>
        </w:rPr>
        <w:footnoteReference w:id="11"/>
      </w:r>
    </w:p>
    <w:p w14:paraId="075A0841"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Cambria Math" w:eastAsia="Times New Roman" w:hAnsi="Cambria Math" w:cs="Cambria Math"/>
          <w:color w:val="000000"/>
          <w:lang w:val="en-US" w:eastAsia="en-GB"/>
        </w:rPr>
        <w:t>⊢</w:t>
      </w:r>
      <w:r w:rsidRPr="00AE533A">
        <w:rPr>
          <w:rFonts w:ascii="Times New Roman" w:eastAsia="Times New Roman" w:hAnsi="Times New Roman" w:cs="Times New Roman"/>
          <w:color w:val="000000"/>
          <w:lang w:val="en-US" w:eastAsia="en-GB"/>
        </w:rPr>
        <w:t xml:space="preserve"> unlike magnetic poles attract one another</w:t>
      </w:r>
    </w:p>
    <w:p w14:paraId="23FB6262"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means that we affirm that unlike magnetic poles attract one another, whereas the expression</w:t>
      </w:r>
    </w:p>
    <w:p w14:paraId="7DFA08FD"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 unlike magnetic poles attract one another</w:t>
      </w:r>
    </w:p>
    <w:p w14:paraId="7C37C55F"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represents precisely that which is affirmed. Finally, the expressions</w:t>
      </w:r>
    </w:p>
    <w:p w14:paraId="029BCA45"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Cambria Math" w:eastAsia="Times New Roman" w:hAnsi="Cambria Math" w:cs="Cambria Math"/>
          <w:color w:val="000000"/>
          <w:lang w:val="en-US" w:eastAsia="en-GB"/>
        </w:rPr>
        <w:t>⊢</w:t>
      </w:r>
      <w:r w:rsidRPr="00AE533A">
        <w:rPr>
          <w:rFonts w:ascii="Times New Roman" w:eastAsia="Times New Roman" w:hAnsi="Times New Roman" w:cs="Times New Roman"/>
          <w:color w:val="000000"/>
          <w:lang w:val="en-US" w:eastAsia="en-GB"/>
        </w:rPr>
        <w:t xml:space="preserve"> ¬ (unlike magnetic poles attract one another)</w:t>
      </w:r>
    </w:p>
    <w:p w14:paraId="2DAB7D2D"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and</w:t>
      </w:r>
    </w:p>
    <w:p w14:paraId="26EE0576"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 ¬ (unlike magnetic poles attract one another)</w:t>
      </w:r>
    </w:p>
    <w:p w14:paraId="14544FBE"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mean, respectively, that we affirm the negation of the claim that unlike magnetic poles attract one another, and that which is affirmed in doing so.</w:t>
      </w:r>
    </w:p>
    <w:p w14:paraId="0183F7A1" w14:textId="77777777" w:rsidR="004073DD" w:rsidRPr="00AE533A" w:rsidRDefault="004073DD"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ii)</w:t>
      </w:r>
    </w:p>
    <w:p w14:paraId="3EBF9988" w14:textId="12857C09"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In §5, foreshadowing the technique of truth tables, Gottlob Frege clarifies that if A and B have judgable content, there are four possible cases with respect to the distribution of truth-</w:t>
      </w:r>
      <w:r w:rsidRPr="00AE533A">
        <w:rPr>
          <w:rFonts w:ascii="Times New Roman" w:eastAsia="Times New Roman" w:hAnsi="Times New Roman" w:cs="Times New Roman"/>
          <w:color w:val="000000"/>
          <w:lang w:val="en-US" w:eastAsia="en-GB"/>
        </w:rPr>
        <w:lastRenderedPageBreak/>
        <w:t>values:</w:t>
      </w:r>
      <w:r w:rsidRPr="00AE533A">
        <w:rPr>
          <w:rFonts w:ascii="Times New Roman" w:eastAsia="Times New Roman" w:hAnsi="Times New Roman" w:cs="Times New Roman"/>
          <w:color w:val="000000"/>
          <w:lang w:val="en-US" w:eastAsia="en-GB"/>
        </w:rPr>
        <w:br/>
        <w:t>(a) A is affirmed and B is affirmed;</w:t>
      </w:r>
      <w:r w:rsidRPr="00AE533A">
        <w:rPr>
          <w:rFonts w:ascii="Times New Roman" w:eastAsia="Times New Roman" w:hAnsi="Times New Roman" w:cs="Times New Roman"/>
          <w:color w:val="000000"/>
          <w:lang w:val="en-US" w:eastAsia="en-GB"/>
        </w:rPr>
        <w:br/>
        <w:t>(b) A is affirmed and B is denied;</w:t>
      </w:r>
      <w:r w:rsidRPr="00AE533A">
        <w:rPr>
          <w:rFonts w:ascii="Times New Roman" w:eastAsia="Times New Roman" w:hAnsi="Times New Roman" w:cs="Times New Roman"/>
          <w:color w:val="000000"/>
          <w:lang w:val="en-US" w:eastAsia="en-GB"/>
        </w:rPr>
        <w:br/>
        <w:t>(c) A is denied and B is affirmed;</w:t>
      </w:r>
      <w:r w:rsidRPr="00AE533A">
        <w:rPr>
          <w:rFonts w:ascii="Times New Roman" w:eastAsia="Times New Roman" w:hAnsi="Times New Roman" w:cs="Times New Roman"/>
          <w:color w:val="000000"/>
          <w:lang w:val="en-US" w:eastAsia="en-GB"/>
        </w:rPr>
        <w:br/>
        <w:t>(d) A is denied and B is denied.</w:t>
      </w:r>
    </w:p>
    <w:p w14:paraId="2026B366" w14:textId="3FA4C42E" w:rsidR="00B23D48"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 xml:space="preserve">He then introduces the following </w:t>
      </w:r>
      <w:r w:rsidR="0079091E">
        <w:rPr>
          <w:rFonts w:ascii="Times New Roman" w:eastAsia="Times New Roman" w:hAnsi="Times New Roman" w:cs="Times New Roman"/>
          <w:color w:val="000000"/>
          <w:lang w:val="en-US" w:eastAsia="en-GB"/>
        </w:rPr>
        <w:t>configuration</w:t>
      </w:r>
      <w:r w:rsidRPr="00AE533A">
        <w:rPr>
          <w:rFonts w:ascii="Times New Roman" w:eastAsia="Times New Roman" w:hAnsi="Times New Roman" w:cs="Times New Roman"/>
          <w:color w:val="000000"/>
          <w:lang w:val="en-US" w:eastAsia="en-GB"/>
        </w:rPr>
        <w:t xml:space="preserve"> </w:t>
      </w:r>
    </w:p>
    <w:p w14:paraId="1D389DDA" w14:textId="7D5EAF54" w:rsidR="00B23D48" w:rsidRPr="00AE533A" w:rsidRDefault="0096226F"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96226F">
        <w:rPr>
          <w:rFonts w:ascii="Times New Roman" w:eastAsia="Times New Roman" w:hAnsi="Times New Roman" w:cs="Times New Roman"/>
          <w:noProof/>
          <w:color w:val="000000"/>
          <w:lang w:val="en-US" w:eastAsia="en-GB"/>
        </w:rPr>
        <w:drawing>
          <wp:inline distT="0" distB="0" distL="0" distR="0" wp14:anchorId="10DAB2FD" wp14:editId="095C883C">
            <wp:extent cx="871855" cy="613611"/>
            <wp:effectExtent l="0" t="0" r="0" b="0"/>
            <wp:docPr id="68549667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96674" name="Picture 1" descr="A black background with a black square&#10;&#10;AI-generated content may be incorrect."/>
                    <pic:cNvPicPr/>
                  </pic:nvPicPr>
                  <pic:blipFill>
                    <a:blip r:embed="rId8"/>
                    <a:stretch>
                      <a:fillRect/>
                    </a:stretch>
                  </pic:blipFill>
                  <pic:spPr>
                    <a:xfrm>
                      <a:off x="0" y="0"/>
                      <a:ext cx="947398" cy="666778"/>
                    </a:xfrm>
                    <a:prstGeom prst="rect">
                      <a:avLst/>
                    </a:prstGeom>
                  </pic:spPr>
                </pic:pic>
              </a:graphicData>
            </a:graphic>
          </wp:inline>
        </w:drawing>
      </w:r>
    </w:p>
    <w:p w14:paraId="5771B92B" w14:textId="6581639C"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and defines it as follows: the expression signifies that the third case does not obtain. It is clear that what is at issue here is material implication. This form means “if B, then A,” under the condition that the proposition is false only when “B” is true and “A” is false. In contemporary symbolism it is rendered as “B → A.” This is perhaps the most important symbol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and it marks a decisive point of departure from the inferential resources of classical logic as developed by Aristotle.</w:t>
      </w:r>
    </w:p>
    <w:p w14:paraId="5C6A1DDA" w14:textId="77777777" w:rsidR="004073DD" w:rsidRPr="00AE533A" w:rsidRDefault="004073DD"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iii)</w:t>
      </w:r>
    </w:p>
    <w:p w14:paraId="6E08136D" w14:textId="70ADD974"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In the system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there are only two rules of logical inference. One of them, although used extensively, is nowhere explicitly mentioned—evidently Frege regarded it as self-evident. The first is the well-known </w:t>
      </w:r>
      <w:r w:rsidRPr="00AE533A">
        <w:rPr>
          <w:rFonts w:ascii="Times New Roman" w:eastAsia="Times New Roman" w:hAnsi="Times New Roman" w:cs="Times New Roman"/>
          <w:i/>
          <w:iCs/>
          <w:color w:val="000000"/>
          <w:lang w:val="en-US" w:eastAsia="en-GB"/>
        </w:rPr>
        <w:t>modus ponens</w:t>
      </w:r>
      <w:r w:rsidRPr="00AE533A">
        <w:rPr>
          <w:rFonts w:ascii="Times New Roman" w:eastAsia="Times New Roman" w:hAnsi="Times New Roman" w:cs="Times New Roman"/>
          <w:color w:val="000000"/>
          <w:lang w:val="en-US" w:eastAsia="en-GB"/>
        </w:rPr>
        <w:t>. Having set out in §5 the first formulation in the modern history of logic</w:t>
      </w:r>
      <w:r w:rsidR="00203CF3" w:rsidRPr="00AE533A">
        <w:rPr>
          <w:rStyle w:val="FootnoteReference"/>
          <w:rFonts w:ascii="Times New Roman" w:eastAsia="Times New Roman" w:hAnsi="Times New Roman" w:cs="Times New Roman"/>
          <w:color w:val="000000"/>
          <w:lang w:val="en-US" w:eastAsia="en-GB"/>
        </w:rPr>
        <w:footnoteReference w:id="12"/>
      </w:r>
      <w:r w:rsidRPr="00AE533A">
        <w:rPr>
          <w:rFonts w:ascii="Times New Roman" w:eastAsia="Times New Roman" w:hAnsi="Times New Roman" w:cs="Times New Roman"/>
          <w:color w:val="000000"/>
          <w:lang w:val="en-US" w:eastAsia="en-GB"/>
        </w:rPr>
        <w:t xml:space="preserve"> of </w:t>
      </w:r>
      <w:r w:rsidRPr="00AE533A">
        <w:rPr>
          <w:rFonts w:ascii="Times New Roman" w:eastAsia="Times New Roman" w:hAnsi="Times New Roman" w:cs="Times New Roman"/>
          <w:i/>
          <w:iCs/>
          <w:color w:val="000000"/>
          <w:lang w:val="en-US" w:eastAsia="en-GB"/>
        </w:rPr>
        <w:t>material implication</w:t>
      </w:r>
      <w:r w:rsidRPr="00AE533A">
        <w:rPr>
          <w:rFonts w:ascii="Times New Roman" w:eastAsia="Times New Roman" w:hAnsi="Times New Roman" w:cs="Times New Roman"/>
          <w:color w:val="000000"/>
          <w:lang w:val="en-US" w:eastAsia="en-GB"/>
        </w:rPr>
        <w:t>—according to which the only case in which a proposition of the form “if B, then A” is false is when “B” is true and “A” is false—Frege proceeds in §6 to what follows as a matter of course. If we know that “if B, then A” is true, and also that “B” is true, then we may infer that “A” is true as well. Otherwise, “if B, then A” would turn out to be false, which would contradict the premisses. Indeed, explicitly comparing himself with Aristotle, Frege writes:</w:t>
      </w:r>
    </w:p>
    <w:p w14:paraId="46DE37A1" w14:textId="2C905468"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lastRenderedPageBreak/>
        <w:t>“From Aristotle onward, a whole series of rules of inference have been listed. I use only one, at least insofar as cases are concerned in which a new judgment (</w:t>
      </w:r>
      <w:proofErr w:type="spellStart"/>
      <w:r w:rsidRPr="00AE533A">
        <w:rPr>
          <w:rFonts w:ascii="Times New Roman" w:eastAsia="Times New Roman" w:hAnsi="Times New Roman" w:cs="Times New Roman"/>
          <w:i/>
          <w:iCs/>
          <w:color w:val="000000"/>
          <w:lang w:val="en-US" w:eastAsia="en-GB"/>
        </w:rPr>
        <w:t>Urteil</w:t>
      </w:r>
      <w:proofErr w:type="spellEnd"/>
      <w:r w:rsidRPr="00AE533A">
        <w:rPr>
          <w:rFonts w:ascii="Times New Roman" w:eastAsia="Times New Roman" w:hAnsi="Times New Roman" w:cs="Times New Roman"/>
          <w:color w:val="000000"/>
          <w:lang w:val="en-US" w:eastAsia="en-GB"/>
        </w:rPr>
        <w:t>) is inferred from more than two others.”</w:t>
      </w:r>
      <w:r w:rsidR="00203CF3" w:rsidRPr="00AE533A">
        <w:rPr>
          <w:rStyle w:val="FootnoteReference"/>
          <w:rFonts w:ascii="Times New Roman" w:eastAsia="Times New Roman" w:hAnsi="Times New Roman" w:cs="Times New Roman"/>
          <w:color w:val="000000"/>
          <w:lang w:val="en-US" w:eastAsia="en-GB"/>
        </w:rPr>
        <w:footnoteReference w:id="13"/>
      </w:r>
    </w:p>
    <w:p w14:paraId="5608FF11"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The second rule of logical inference, which is likewise employed without being named, is the so-called </w:t>
      </w:r>
      <w:r w:rsidRPr="00AE533A">
        <w:rPr>
          <w:rFonts w:ascii="Times New Roman" w:eastAsia="Times New Roman" w:hAnsi="Times New Roman" w:cs="Times New Roman"/>
          <w:i/>
          <w:iCs/>
          <w:color w:val="000000"/>
          <w:lang w:val="en-US" w:eastAsia="en-GB"/>
        </w:rPr>
        <w:t>rule of substitution</w:t>
      </w:r>
      <w:r w:rsidRPr="00AE533A">
        <w:rPr>
          <w:rFonts w:ascii="Times New Roman" w:eastAsia="Times New Roman" w:hAnsi="Times New Roman" w:cs="Times New Roman"/>
          <w:color w:val="000000"/>
          <w:lang w:val="en-US" w:eastAsia="en-GB"/>
        </w:rPr>
        <w:t>. This rule guarantees that we may infer a proposition from a true proposition containing variables, provided that we uniformly substitute one or more variables with an argument. This rule is formulated explicitly in axioms 9–12 of the </w:t>
      </w:r>
      <w:proofErr w:type="spellStart"/>
      <w:r w:rsidRPr="00AE533A">
        <w:rPr>
          <w:rFonts w:ascii="Times New Roman" w:eastAsia="Times New Roman" w:hAnsi="Times New Roman" w:cs="Times New Roman"/>
          <w:i/>
          <w:iCs/>
          <w:color w:val="000000"/>
          <w:lang w:val="en-US" w:eastAsia="en-GB"/>
        </w:rPr>
        <w:t>Grundgesetze</w:t>
      </w:r>
      <w:proofErr w:type="spellEnd"/>
      <w:r w:rsidRPr="00AE533A">
        <w:rPr>
          <w:rFonts w:ascii="Times New Roman" w:eastAsia="Times New Roman" w:hAnsi="Times New Roman" w:cs="Times New Roman"/>
          <w:i/>
          <w:iCs/>
          <w:color w:val="000000"/>
          <w:lang w:val="en-US" w:eastAsia="en-GB"/>
        </w:rPr>
        <w:t xml:space="preserve"> der </w:t>
      </w:r>
      <w:proofErr w:type="spellStart"/>
      <w:r w:rsidRPr="00AE533A">
        <w:rPr>
          <w:rFonts w:ascii="Times New Roman" w:eastAsia="Times New Roman" w:hAnsi="Times New Roman" w:cs="Times New Roman"/>
          <w:i/>
          <w:iCs/>
          <w:color w:val="000000"/>
          <w:lang w:val="en-US" w:eastAsia="en-GB"/>
        </w:rPr>
        <w:t>Arithmetik</w:t>
      </w:r>
      <w:proofErr w:type="spellEnd"/>
      <w:r w:rsidRPr="00AE533A">
        <w:rPr>
          <w:rFonts w:ascii="Times New Roman" w:eastAsia="Times New Roman" w:hAnsi="Times New Roman" w:cs="Times New Roman"/>
          <w:color w:val="000000"/>
          <w:lang w:val="en-US" w:eastAsia="en-GB"/>
        </w:rPr>
        <w:t>.</w:t>
      </w:r>
    </w:p>
    <w:p w14:paraId="322E1860" w14:textId="38EB8512"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For someone familiar with contemporary methods of natural deduction, the parsimony of the inferential rules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may appear puzzling. It must be emphasized, however, that the inferential system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(as well as that of </w:t>
      </w:r>
      <w:r w:rsidRPr="00AE533A">
        <w:rPr>
          <w:rFonts w:ascii="Times New Roman" w:eastAsia="Times New Roman" w:hAnsi="Times New Roman" w:cs="Times New Roman"/>
          <w:i/>
          <w:iCs/>
          <w:color w:val="000000"/>
          <w:lang w:val="en-US" w:eastAsia="en-GB"/>
        </w:rPr>
        <w:t>Principia Mathematica</w:t>
      </w:r>
      <w:r w:rsidRPr="00AE533A">
        <w:rPr>
          <w:rFonts w:ascii="Times New Roman" w:eastAsia="Times New Roman" w:hAnsi="Times New Roman" w:cs="Times New Roman"/>
          <w:color w:val="000000"/>
          <w:lang w:val="en-US" w:eastAsia="en-GB"/>
        </w:rPr>
        <w:t>)</w:t>
      </w:r>
      <w:r w:rsidR="00031B7C" w:rsidRPr="00AE533A">
        <w:rPr>
          <w:rStyle w:val="FootnoteReference"/>
          <w:rFonts w:ascii="Times New Roman" w:eastAsia="Times New Roman" w:hAnsi="Times New Roman" w:cs="Times New Roman"/>
          <w:color w:val="000000"/>
          <w:lang w:val="en-US" w:eastAsia="en-GB"/>
        </w:rPr>
        <w:footnoteReference w:id="14"/>
      </w:r>
      <w:r w:rsidRPr="00AE533A">
        <w:rPr>
          <w:rFonts w:ascii="Times New Roman" w:eastAsia="Times New Roman" w:hAnsi="Times New Roman" w:cs="Times New Roman"/>
          <w:color w:val="000000"/>
          <w:lang w:val="en-US" w:eastAsia="en-GB"/>
        </w:rPr>
        <w:t xml:space="preserve"> is axiomatic. The rules are supplemented by a series of axioms whose truth is taken to be intuitively evident. The first theorems of the calculus are derived by applying the rules to the axioms. The most common procedure is the following: we arrange matters so as to carry out those appropriate substitutions of the variables of an axiom that yield, as antecedent, a proposition whose truth is already known to us, and, as consequent, the proposition we wish to prove. We then apply </w:t>
      </w:r>
      <w:r w:rsidRPr="00AE533A">
        <w:rPr>
          <w:rFonts w:ascii="Times New Roman" w:eastAsia="Times New Roman" w:hAnsi="Times New Roman" w:cs="Times New Roman"/>
          <w:i/>
          <w:iCs/>
          <w:color w:val="000000"/>
          <w:lang w:val="en-US" w:eastAsia="en-GB"/>
        </w:rPr>
        <w:t>modus ponens</w:t>
      </w:r>
      <w:r w:rsidRPr="00AE533A">
        <w:rPr>
          <w:rFonts w:ascii="Times New Roman" w:eastAsia="Times New Roman" w:hAnsi="Times New Roman" w:cs="Times New Roman"/>
          <w:color w:val="000000"/>
          <w:lang w:val="en-US" w:eastAsia="en-GB"/>
        </w:rPr>
        <w:t xml:space="preserve"> to </w:t>
      </w:r>
      <w:r w:rsidR="00DA2FC4" w:rsidRPr="00AE533A">
        <w:rPr>
          <w:rFonts w:ascii="Times New Roman" w:eastAsia="Times New Roman" w:hAnsi="Times New Roman" w:cs="Times New Roman"/>
          <w:color w:val="000000"/>
          <w:lang w:val="en-US" w:eastAsia="en-GB"/>
        </w:rPr>
        <w:t>draw (</w:t>
      </w:r>
      <w:r w:rsidRPr="00AE533A">
        <w:rPr>
          <w:rFonts w:ascii="Times New Roman" w:eastAsia="Times New Roman" w:hAnsi="Times New Roman" w:cs="Times New Roman"/>
          <w:color w:val="000000"/>
          <w:lang w:val="en-US" w:eastAsia="en-GB"/>
        </w:rPr>
        <w:t>extract</w:t>
      </w:r>
      <w:r w:rsidR="00DA2FC4" w:rsidRPr="00AE533A">
        <w:rPr>
          <w:rFonts w:ascii="Times New Roman" w:eastAsia="Times New Roman" w:hAnsi="Times New Roman" w:cs="Times New Roman"/>
          <w:color w:val="000000"/>
          <w:lang w:val="en-US" w:eastAsia="en-GB"/>
        </w:rPr>
        <w:t>)</w:t>
      </w:r>
      <w:r w:rsidR="00031B7C" w:rsidRPr="00AE533A">
        <w:rPr>
          <w:rStyle w:val="FootnoteReference"/>
          <w:rFonts w:ascii="Times New Roman" w:eastAsia="Times New Roman" w:hAnsi="Times New Roman" w:cs="Times New Roman"/>
          <w:color w:val="000000"/>
          <w:lang w:val="en-US" w:eastAsia="en-GB"/>
        </w:rPr>
        <w:footnoteReference w:id="15"/>
      </w:r>
      <w:r w:rsidRPr="00AE533A">
        <w:rPr>
          <w:rFonts w:ascii="Times New Roman" w:eastAsia="Times New Roman" w:hAnsi="Times New Roman" w:cs="Times New Roman"/>
          <w:color w:val="000000"/>
          <w:lang w:val="en-US" w:eastAsia="en-GB"/>
        </w:rPr>
        <w:t xml:space="preserve"> the consequent of the conditional statement (see the example at the end of the present section).</w:t>
      </w:r>
    </w:p>
    <w:p w14:paraId="4FB133DB" w14:textId="77777777" w:rsidR="004073DD" w:rsidRPr="00AE533A" w:rsidRDefault="004073DD"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iv)</w:t>
      </w:r>
    </w:p>
    <w:p w14:paraId="5C1F4B59" w14:textId="35F71C40"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The axioms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are presented in Part II.</w:t>
      </w:r>
      <w:r w:rsidR="00031B7C" w:rsidRPr="00AE533A">
        <w:rPr>
          <w:rStyle w:val="FootnoteReference"/>
          <w:rFonts w:ascii="Times New Roman" w:eastAsia="Times New Roman" w:hAnsi="Times New Roman" w:cs="Times New Roman"/>
          <w:color w:val="000000"/>
          <w:lang w:val="en-US" w:eastAsia="en-GB"/>
        </w:rPr>
        <w:footnoteReference w:id="16"/>
      </w:r>
      <w:r w:rsidRPr="00AE533A">
        <w:rPr>
          <w:rFonts w:ascii="Times New Roman" w:eastAsia="Times New Roman" w:hAnsi="Times New Roman" w:cs="Times New Roman"/>
          <w:color w:val="000000"/>
          <w:lang w:val="en-US" w:eastAsia="en-GB"/>
        </w:rPr>
        <w:t xml:space="preserve"> There are nine in total, and, as Jan Łukasiewicz demonstrated, the first four constitute a consistent and complete set of axioms for propositional logic. The third of these was shown to be derivable from the first two. The remaining five form a likewise consistent and complete axiomatic system—this time for predicate logic. What is of particular importance is that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is the first formal system in which propositional logic is not presented as a rival to predicate logic, but as its complement, and conversely. The classical dispute between Aristotelian and Stoic logic thus ceases to exist.</w:t>
      </w:r>
    </w:p>
    <w:p w14:paraId="379A79A9" w14:textId="77777777" w:rsidR="004073DD" w:rsidRPr="00AE533A" w:rsidRDefault="004073DD"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lastRenderedPageBreak/>
        <w:t>v)</w:t>
      </w:r>
    </w:p>
    <w:p w14:paraId="3C3A2A8D"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A further innovation of fundamental importance for logic is the rigorous use of quantifiers and bound variables. Although the use of variables already occurs in Aristotle, and although, in a sense, syllogistic propositions can be paraphrased in quantificational terms, neither Aristotelian variables possess the functional power of Fregean ones, nor is quantification unrestricted, as it is in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More specifically: in the </w:t>
      </w:r>
      <w:r w:rsidRPr="00AE533A">
        <w:rPr>
          <w:rFonts w:ascii="Times New Roman" w:eastAsia="Times New Roman" w:hAnsi="Times New Roman" w:cs="Times New Roman"/>
          <w:i/>
          <w:iCs/>
          <w:color w:val="000000"/>
          <w:lang w:val="en-US" w:eastAsia="en-GB"/>
        </w:rPr>
        <w:t>Prior Analytics</w:t>
      </w:r>
      <w:r w:rsidRPr="00AE533A">
        <w:rPr>
          <w:rFonts w:ascii="Times New Roman" w:eastAsia="Times New Roman" w:hAnsi="Times New Roman" w:cs="Times New Roman"/>
          <w:color w:val="000000"/>
          <w:lang w:val="en-US" w:eastAsia="en-GB"/>
        </w:rPr>
        <w:t> one frequently encounters term variables. </w:t>
      </w:r>
      <w:r w:rsidRPr="00AE533A">
        <w:rPr>
          <w:rFonts w:ascii="Times New Roman" w:eastAsia="Times New Roman" w:hAnsi="Times New Roman" w:cs="Times New Roman"/>
          <w:i/>
          <w:iCs/>
          <w:color w:val="000000"/>
          <w:lang w:val="en-US" w:eastAsia="en-GB"/>
        </w:rPr>
        <w:t>Barbara</w:t>
      </w:r>
      <w:r w:rsidRPr="00AE533A">
        <w:rPr>
          <w:rFonts w:ascii="Times New Roman" w:eastAsia="Times New Roman" w:hAnsi="Times New Roman" w:cs="Times New Roman"/>
          <w:color w:val="000000"/>
          <w:lang w:val="en-US" w:eastAsia="en-GB"/>
        </w:rPr>
        <w:t>, for example, is formulated as follows:</w:t>
      </w:r>
    </w:p>
    <w:p w14:paraId="1E7F3B1E" w14:textId="1D80510C"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proofErr w:type="spellStart"/>
      <w:r w:rsidRPr="00AE533A">
        <w:rPr>
          <w:rFonts w:ascii="Times New Roman" w:eastAsia="Times New Roman" w:hAnsi="Times New Roman" w:cs="Times New Roman"/>
          <w:color w:val="000000"/>
          <w:lang w:val="en-US" w:eastAsia="en-GB"/>
        </w:rPr>
        <w:t>Εἰ</w:t>
      </w:r>
      <w:proofErr w:type="spellEnd"/>
      <w:r w:rsidRPr="00AE533A">
        <w:rPr>
          <w:rFonts w:ascii="Times New Roman" w:eastAsia="Times New Roman" w:hAnsi="Times New Roman" w:cs="Times New Roman"/>
          <w:color w:val="000000"/>
          <w:lang w:val="en-US" w:eastAsia="en-GB"/>
        </w:rPr>
        <w:t xml:space="preserve"> </w:t>
      </w:r>
      <w:proofErr w:type="spellStart"/>
      <w:r w:rsidRPr="00AE533A">
        <w:rPr>
          <w:rFonts w:ascii="Times New Roman" w:eastAsia="Times New Roman" w:hAnsi="Times New Roman" w:cs="Times New Roman"/>
          <w:color w:val="000000"/>
          <w:lang w:val="en-US" w:eastAsia="en-GB"/>
        </w:rPr>
        <w:t>γὰρ</w:t>
      </w:r>
      <w:proofErr w:type="spellEnd"/>
      <w:r w:rsidRPr="00AE533A">
        <w:rPr>
          <w:rFonts w:ascii="Times New Roman" w:eastAsia="Times New Roman" w:hAnsi="Times New Roman" w:cs="Times New Roman"/>
          <w:color w:val="000000"/>
          <w:lang w:val="en-US" w:eastAsia="en-GB"/>
        </w:rPr>
        <w:t xml:space="preserve"> </w:t>
      </w:r>
      <w:proofErr w:type="spellStart"/>
      <w:r w:rsidRPr="00AE533A">
        <w:rPr>
          <w:rFonts w:ascii="Times New Roman" w:eastAsia="Times New Roman" w:hAnsi="Times New Roman" w:cs="Times New Roman"/>
          <w:color w:val="000000"/>
          <w:lang w:val="en-US" w:eastAsia="en-GB"/>
        </w:rPr>
        <w:t>τὸ</w:t>
      </w:r>
      <w:proofErr w:type="spellEnd"/>
      <w:r w:rsidRPr="00AE533A">
        <w:rPr>
          <w:rFonts w:ascii="Times New Roman" w:eastAsia="Times New Roman" w:hAnsi="Times New Roman" w:cs="Times New Roman"/>
          <w:color w:val="000000"/>
          <w:lang w:val="en-US" w:eastAsia="en-GB"/>
        </w:rPr>
        <w:t xml:space="preserve"> Α κα</w:t>
      </w:r>
      <w:proofErr w:type="spellStart"/>
      <w:r w:rsidRPr="00AE533A">
        <w:rPr>
          <w:rFonts w:ascii="Times New Roman" w:eastAsia="Times New Roman" w:hAnsi="Times New Roman" w:cs="Times New Roman"/>
          <w:color w:val="000000"/>
          <w:lang w:val="en-US" w:eastAsia="en-GB"/>
        </w:rPr>
        <w:t>τὰ</w:t>
      </w:r>
      <w:proofErr w:type="spellEnd"/>
      <w:r w:rsidRPr="00AE533A">
        <w:rPr>
          <w:rFonts w:ascii="Times New Roman" w:eastAsia="Times New Roman" w:hAnsi="Times New Roman" w:cs="Times New Roman"/>
          <w:color w:val="000000"/>
          <w:lang w:val="en-US" w:eastAsia="en-GB"/>
        </w:rPr>
        <w:t xml:space="preserve"> πα</w:t>
      </w:r>
      <w:proofErr w:type="spellStart"/>
      <w:r w:rsidRPr="00AE533A">
        <w:rPr>
          <w:rFonts w:ascii="Times New Roman" w:eastAsia="Times New Roman" w:hAnsi="Times New Roman" w:cs="Times New Roman"/>
          <w:color w:val="000000"/>
          <w:lang w:val="en-US" w:eastAsia="en-GB"/>
        </w:rPr>
        <w:t>ντὸς</w:t>
      </w:r>
      <w:proofErr w:type="spellEnd"/>
      <w:r w:rsidRPr="00AE533A">
        <w:rPr>
          <w:rFonts w:ascii="Times New Roman" w:eastAsia="Times New Roman" w:hAnsi="Times New Roman" w:cs="Times New Roman"/>
          <w:color w:val="000000"/>
          <w:lang w:val="en-US" w:eastAsia="en-GB"/>
        </w:rPr>
        <w:t xml:space="preserve"> </w:t>
      </w:r>
      <w:proofErr w:type="spellStart"/>
      <w:r w:rsidRPr="00AE533A">
        <w:rPr>
          <w:rFonts w:ascii="Times New Roman" w:eastAsia="Times New Roman" w:hAnsi="Times New Roman" w:cs="Times New Roman"/>
          <w:color w:val="000000"/>
          <w:lang w:val="en-US" w:eastAsia="en-GB"/>
        </w:rPr>
        <w:t>τοῦ</w:t>
      </w:r>
      <w:proofErr w:type="spellEnd"/>
      <w:r w:rsidRPr="00AE533A">
        <w:rPr>
          <w:rFonts w:ascii="Times New Roman" w:eastAsia="Times New Roman" w:hAnsi="Times New Roman" w:cs="Times New Roman"/>
          <w:color w:val="000000"/>
          <w:lang w:val="en-US" w:eastAsia="en-GB"/>
        </w:rPr>
        <w:t xml:space="preserve"> Β καὶ </w:t>
      </w:r>
      <w:proofErr w:type="spellStart"/>
      <w:r w:rsidRPr="00AE533A">
        <w:rPr>
          <w:rFonts w:ascii="Times New Roman" w:eastAsia="Times New Roman" w:hAnsi="Times New Roman" w:cs="Times New Roman"/>
          <w:color w:val="000000"/>
          <w:lang w:val="en-US" w:eastAsia="en-GB"/>
        </w:rPr>
        <w:t>τὸ</w:t>
      </w:r>
      <w:proofErr w:type="spellEnd"/>
      <w:r w:rsidRPr="00AE533A">
        <w:rPr>
          <w:rFonts w:ascii="Times New Roman" w:eastAsia="Times New Roman" w:hAnsi="Times New Roman" w:cs="Times New Roman"/>
          <w:color w:val="000000"/>
          <w:lang w:val="en-US" w:eastAsia="en-GB"/>
        </w:rPr>
        <w:t xml:space="preserve"> Β κα</w:t>
      </w:r>
      <w:proofErr w:type="spellStart"/>
      <w:r w:rsidRPr="00AE533A">
        <w:rPr>
          <w:rFonts w:ascii="Times New Roman" w:eastAsia="Times New Roman" w:hAnsi="Times New Roman" w:cs="Times New Roman"/>
          <w:color w:val="000000"/>
          <w:lang w:val="en-US" w:eastAsia="en-GB"/>
        </w:rPr>
        <w:t>τὰ</w:t>
      </w:r>
      <w:proofErr w:type="spellEnd"/>
      <w:r w:rsidRPr="00AE533A">
        <w:rPr>
          <w:rFonts w:ascii="Times New Roman" w:eastAsia="Times New Roman" w:hAnsi="Times New Roman" w:cs="Times New Roman"/>
          <w:color w:val="000000"/>
          <w:lang w:val="en-US" w:eastAsia="en-GB"/>
        </w:rPr>
        <w:t xml:space="preserve"> πα</w:t>
      </w:r>
      <w:proofErr w:type="spellStart"/>
      <w:r w:rsidRPr="00AE533A">
        <w:rPr>
          <w:rFonts w:ascii="Times New Roman" w:eastAsia="Times New Roman" w:hAnsi="Times New Roman" w:cs="Times New Roman"/>
          <w:color w:val="000000"/>
          <w:lang w:val="en-US" w:eastAsia="en-GB"/>
        </w:rPr>
        <w:t>ντὸς</w:t>
      </w:r>
      <w:proofErr w:type="spellEnd"/>
      <w:r w:rsidRPr="00AE533A">
        <w:rPr>
          <w:rFonts w:ascii="Times New Roman" w:eastAsia="Times New Roman" w:hAnsi="Times New Roman" w:cs="Times New Roman"/>
          <w:color w:val="000000"/>
          <w:lang w:val="en-US" w:eastAsia="en-GB"/>
        </w:rPr>
        <w:t xml:space="preserve"> </w:t>
      </w:r>
      <w:proofErr w:type="spellStart"/>
      <w:r w:rsidRPr="00AE533A">
        <w:rPr>
          <w:rFonts w:ascii="Times New Roman" w:eastAsia="Times New Roman" w:hAnsi="Times New Roman" w:cs="Times New Roman"/>
          <w:color w:val="000000"/>
          <w:lang w:val="en-US" w:eastAsia="en-GB"/>
        </w:rPr>
        <w:t>τοῦ</w:t>
      </w:r>
      <w:proofErr w:type="spellEnd"/>
      <w:r w:rsidRPr="00AE533A">
        <w:rPr>
          <w:rFonts w:ascii="Times New Roman" w:eastAsia="Times New Roman" w:hAnsi="Times New Roman" w:cs="Times New Roman"/>
          <w:color w:val="000000"/>
          <w:lang w:val="en-US" w:eastAsia="en-GB"/>
        </w:rPr>
        <w:t xml:space="preserve"> Γ, </w:t>
      </w:r>
      <w:proofErr w:type="spellStart"/>
      <w:r w:rsidRPr="00AE533A">
        <w:rPr>
          <w:rFonts w:ascii="Times New Roman" w:eastAsia="Times New Roman" w:hAnsi="Times New Roman" w:cs="Times New Roman"/>
          <w:color w:val="000000"/>
          <w:lang w:val="en-US" w:eastAsia="en-GB"/>
        </w:rPr>
        <w:t>ἀνάγκη</w:t>
      </w:r>
      <w:proofErr w:type="spellEnd"/>
      <w:r w:rsidRPr="00AE533A">
        <w:rPr>
          <w:rFonts w:ascii="Times New Roman" w:eastAsia="Times New Roman" w:hAnsi="Times New Roman" w:cs="Times New Roman"/>
          <w:color w:val="000000"/>
          <w:lang w:val="en-US" w:eastAsia="en-GB"/>
        </w:rPr>
        <w:t xml:space="preserve"> </w:t>
      </w:r>
      <w:proofErr w:type="spellStart"/>
      <w:r w:rsidRPr="00AE533A">
        <w:rPr>
          <w:rFonts w:ascii="Times New Roman" w:eastAsia="Times New Roman" w:hAnsi="Times New Roman" w:cs="Times New Roman"/>
          <w:color w:val="000000"/>
          <w:lang w:val="en-US" w:eastAsia="en-GB"/>
        </w:rPr>
        <w:t>τὸ</w:t>
      </w:r>
      <w:proofErr w:type="spellEnd"/>
      <w:r w:rsidRPr="00AE533A">
        <w:rPr>
          <w:rFonts w:ascii="Times New Roman" w:eastAsia="Times New Roman" w:hAnsi="Times New Roman" w:cs="Times New Roman"/>
          <w:color w:val="000000"/>
          <w:lang w:val="en-US" w:eastAsia="en-GB"/>
        </w:rPr>
        <w:t xml:space="preserve"> Α κα</w:t>
      </w:r>
      <w:proofErr w:type="spellStart"/>
      <w:r w:rsidRPr="00AE533A">
        <w:rPr>
          <w:rFonts w:ascii="Times New Roman" w:eastAsia="Times New Roman" w:hAnsi="Times New Roman" w:cs="Times New Roman"/>
          <w:color w:val="000000"/>
          <w:lang w:val="en-US" w:eastAsia="en-GB"/>
        </w:rPr>
        <w:t>τὰ</w:t>
      </w:r>
      <w:proofErr w:type="spellEnd"/>
      <w:r w:rsidRPr="00AE533A">
        <w:rPr>
          <w:rFonts w:ascii="Times New Roman" w:eastAsia="Times New Roman" w:hAnsi="Times New Roman" w:cs="Times New Roman"/>
          <w:color w:val="000000"/>
          <w:lang w:val="en-US" w:eastAsia="en-GB"/>
        </w:rPr>
        <w:t xml:space="preserve"> πα</w:t>
      </w:r>
      <w:proofErr w:type="spellStart"/>
      <w:r w:rsidRPr="00AE533A">
        <w:rPr>
          <w:rFonts w:ascii="Times New Roman" w:eastAsia="Times New Roman" w:hAnsi="Times New Roman" w:cs="Times New Roman"/>
          <w:color w:val="000000"/>
          <w:lang w:val="en-US" w:eastAsia="en-GB"/>
        </w:rPr>
        <w:t>ντὸς</w:t>
      </w:r>
      <w:proofErr w:type="spellEnd"/>
      <w:r w:rsidRPr="00AE533A">
        <w:rPr>
          <w:rFonts w:ascii="Times New Roman" w:eastAsia="Times New Roman" w:hAnsi="Times New Roman" w:cs="Times New Roman"/>
          <w:color w:val="000000"/>
          <w:lang w:val="en-US" w:eastAsia="en-GB"/>
        </w:rPr>
        <w:t xml:space="preserve"> </w:t>
      </w:r>
      <w:proofErr w:type="spellStart"/>
      <w:r w:rsidRPr="00AE533A">
        <w:rPr>
          <w:rFonts w:ascii="Times New Roman" w:eastAsia="Times New Roman" w:hAnsi="Times New Roman" w:cs="Times New Roman"/>
          <w:color w:val="000000"/>
          <w:lang w:val="en-US" w:eastAsia="en-GB"/>
        </w:rPr>
        <w:t>τοῦ</w:t>
      </w:r>
      <w:proofErr w:type="spellEnd"/>
      <w:r w:rsidRPr="00AE533A">
        <w:rPr>
          <w:rFonts w:ascii="Times New Roman" w:eastAsia="Times New Roman" w:hAnsi="Times New Roman" w:cs="Times New Roman"/>
          <w:color w:val="000000"/>
          <w:lang w:val="en-US" w:eastAsia="en-GB"/>
        </w:rPr>
        <w:t xml:space="preserve"> Γ κα</w:t>
      </w:r>
      <w:proofErr w:type="spellStart"/>
      <w:r w:rsidRPr="00AE533A">
        <w:rPr>
          <w:rFonts w:ascii="Times New Roman" w:eastAsia="Times New Roman" w:hAnsi="Times New Roman" w:cs="Times New Roman"/>
          <w:color w:val="000000"/>
          <w:lang w:val="en-US" w:eastAsia="en-GB"/>
        </w:rPr>
        <w:t>τηγορεῖσθ</w:t>
      </w:r>
      <w:proofErr w:type="spellEnd"/>
      <w:r w:rsidRPr="00AE533A">
        <w:rPr>
          <w:rFonts w:ascii="Times New Roman" w:eastAsia="Times New Roman" w:hAnsi="Times New Roman" w:cs="Times New Roman"/>
          <w:color w:val="000000"/>
          <w:lang w:val="en-US" w:eastAsia="en-GB"/>
        </w:rPr>
        <w:t>αι.</w:t>
      </w:r>
      <w:r w:rsidR="00031B7C" w:rsidRPr="00AE533A">
        <w:rPr>
          <w:rStyle w:val="FootnoteReference"/>
          <w:rFonts w:ascii="Times New Roman" w:eastAsia="Times New Roman" w:hAnsi="Times New Roman" w:cs="Times New Roman"/>
          <w:color w:val="000000"/>
          <w:lang w:val="en-US" w:eastAsia="en-GB"/>
        </w:rPr>
        <w:footnoteReference w:id="17"/>
      </w:r>
    </w:p>
    <w:p w14:paraId="120BA3DA"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The capital letters are clearly term variables. On the other hand, the expression </w:t>
      </w:r>
      <w:proofErr w:type="spellStart"/>
      <w:r w:rsidRPr="00AE533A">
        <w:rPr>
          <w:rFonts w:ascii="Times New Roman" w:eastAsia="Times New Roman" w:hAnsi="Times New Roman" w:cs="Times New Roman"/>
          <w:i/>
          <w:iCs/>
          <w:color w:val="000000"/>
          <w:lang w:val="en-US" w:eastAsia="en-GB"/>
        </w:rPr>
        <w:t>τὸ</w:t>
      </w:r>
      <w:proofErr w:type="spellEnd"/>
      <w:r w:rsidRPr="00AE533A">
        <w:rPr>
          <w:rFonts w:ascii="Times New Roman" w:eastAsia="Times New Roman" w:hAnsi="Times New Roman" w:cs="Times New Roman"/>
          <w:i/>
          <w:iCs/>
          <w:color w:val="000000"/>
          <w:lang w:val="en-US" w:eastAsia="en-GB"/>
        </w:rPr>
        <w:t xml:space="preserve"> Α κα</w:t>
      </w:r>
      <w:proofErr w:type="spellStart"/>
      <w:r w:rsidRPr="00AE533A">
        <w:rPr>
          <w:rFonts w:ascii="Times New Roman" w:eastAsia="Times New Roman" w:hAnsi="Times New Roman" w:cs="Times New Roman"/>
          <w:i/>
          <w:iCs/>
          <w:color w:val="000000"/>
          <w:lang w:val="en-US" w:eastAsia="en-GB"/>
        </w:rPr>
        <w:t>τὰ</w:t>
      </w:r>
      <w:proofErr w:type="spellEnd"/>
      <w:r w:rsidRPr="00AE533A">
        <w:rPr>
          <w:rFonts w:ascii="Times New Roman" w:eastAsia="Times New Roman" w:hAnsi="Times New Roman" w:cs="Times New Roman"/>
          <w:i/>
          <w:iCs/>
          <w:color w:val="000000"/>
          <w:lang w:val="en-US" w:eastAsia="en-GB"/>
        </w:rPr>
        <w:t xml:space="preserve"> πα</w:t>
      </w:r>
      <w:proofErr w:type="spellStart"/>
      <w:r w:rsidRPr="00AE533A">
        <w:rPr>
          <w:rFonts w:ascii="Times New Roman" w:eastAsia="Times New Roman" w:hAnsi="Times New Roman" w:cs="Times New Roman"/>
          <w:i/>
          <w:iCs/>
          <w:color w:val="000000"/>
          <w:lang w:val="en-US" w:eastAsia="en-GB"/>
        </w:rPr>
        <w:t>ντὸς</w:t>
      </w:r>
      <w:proofErr w:type="spellEnd"/>
      <w:r w:rsidRPr="00AE533A">
        <w:rPr>
          <w:rFonts w:ascii="Times New Roman" w:eastAsia="Times New Roman" w:hAnsi="Times New Roman" w:cs="Times New Roman"/>
          <w:i/>
          <w:iCs/>
          <w:color w:val="000000"/>
          <w:lang w:val="en-US" w:eastAsia="en-GB"/>
        </w:rPr>
        <w:t xml:space="preserve"> </w:t>
      </w:r>
      <w:proofErr w:type="spellStart"/>
      <w:r w:rsidRPr="00AE533A">
        <w:rPr>
          <w:rFonts w:ascii="Times New Roman" w:eastAsia="Times New Roman" w:hAnsi="Times New Roman" w:cs="Times New Roman"/>
          <w:i/>
          <w:iCs/>
          <w:color w:val="000000"/>
          <w:lang w:val="en-US" w:eastAsia="en-GB"/>
        </w:rPr>
        <w:t>τοῦ</w:t>
      </w:r>
      <w:proofErr w:type="spellEnd"/>
      <w:r w:rsidRPr="00AE533A">
        <w:rPr>
          <w:rFonts w:ascii="Times New Roman" w:eastAsia="Times New Roman" w:hAnsi="Times New Roman" w:cs="Times New Roman"/>
          <w:i/>
          <w:iCs/>
          <w:color w:val="000000"/>
          <w:lang w:val="en-US" w:eastAsia="en-GB"/>
        </w:rPr>
        <w:t xml:space="preserve"> Β</w:t>
      </w:r>
      <w:r w:rsidRPr="00AE533A">
        <w:rPr>
          <w:rFonts w:ascii="Times New Roman" w:eastAsia="Times New Roman" w:hAnsi="Times New Roman" w:cs="Times New Roman"/>
          <w:color w:val="000000"/>
          <w:lang w:val="en-US" w:eastAsia="en-GB"/>
        </w:rPr>
        <w:t> may be regarded as a latent universal quantification and paraphrased as: (</w:t>
      </w:r>
      <w:r w:rsidRPr="00AE533A">
        <w:rPr>
          <w:rFonts w:ascii="Cambria Math" w:eastAsia="Times New Roman" w:hAnsi="Cambria Math" w:cs="Cambria Math"/>
          <w:color w:val="000000"/>
          <w:lang w:val="en-US" w:eastAsia="en-GB"/>
        </w:rPr>
        <w:t>∀</w:t>
      </w:r>
      <w:proofErr w:type="gramStart"/>
      <w:r w:rsidRPr="00AE533A">
        <w:rPr>
          <w:rFonts w:ascii="Times New Roman" w:eastAsia="Times New Roman" w:hAnsi="Times New Roman" w:cs="Times New Roman"/>
          <w:color w:val="000000"/>
          <w:lang w:val="en-US" w:eastAsia="en-GB"/>
        </w:rPr>
        <w:t>x)(</w:t>
      </w:r>
      <w:proofErr w:type="gramEnd"/>
      <w:r w:rsidRPr="00AE533A">
        <w:rPr>
          <w:rFonts w:ascii="Times New Roman" w:eastAsia="Times New Roman" w:hAnsi="Times New Roman" w:cs="Times New Roman"/>
          <w:color w:val="000000"/>
          <w:lang w:val="en-US" w:eastAsia="en-GB"/>
        </w:rPr>
        <w:t>x is B → x is A). The problem is that, even if we adopt this paraphrase, syllogistic reasoning allows for the use of only one bound variable per proposition. This automatically excludes propositions that involve relations and where multiple quantification is required. As a result, a wide range of evidently correct arguments is excluded from syllogistic reasoning.</w:t>
      </w:r>
    </w:p>
    <w:p w14:paraId="63998D47"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For example, it is obvious that from the premiss </w:t>
      </w:r>
      <w:r w:rsidRPr="00AE533A">
        <w:rPr>
          <w:rFonts w:ascii="Times New Roman" w:eastAsia="Times New Roman" w:hAnsi="Times New Roman" w:cs="Times New Roman"/>
          <w:i/>
          <w:iCs/>
          <w:color w:val="000000"/>
          <w:lang w:val="en-US" w:eastAsia="en-GB"/>
        </w:rPr>
        <w:t>a</w:t>
      </w:r>
      <w:r w:rsidRPr="00AE533A">
        <w:rPr>
          <w:rFonts w:ascii="Times New Roman" w:eastAsia="Times New Roman" w:hAnsi="Times New Roman" w:cs="Times New Roman"/>
          <w:color w:val="000000"/>
          <w:lang w:val="en-US" w:eastAsia="en-GB"/>
        </w:rPr>
        <w:t> is greater than </w:t>
      </w:r>
      <w:r w:rsidRPr="00AE533A">
        <w:rPr>
          <w:rFonts w:ascii="Times New Roman" w:eastAsia="Times New Roman" w:hAnsi="Times New Roman" w:cs="Times New Roman"/>
          <w:i/>
          <w:iCs/>
          <w:color w:val="000000"/>
          <w:lang w:val="en-US" w:eastAsia="en-GB"/>
        </w:rPr>
        <w:t>b</w:t>
      </w:r>
      <w:r w:rsidRPr="00AE533A">
        <w:rPr>
          <w:rFonts w:ascii="Times New Roman" w:eastAsia="Times New Roman" w:hAnsi="Times New Roman" w:cs="Times New Roman"/>
          <w:color w:val="000000"/>
          <w:lang w:val="en-US" w:eastAsia="en-GB"/>
        </w:rPr>
        <w:t>, one should be able to infer the conclusion that the square of </w:t>
      </w:r>
      <w:r w:rsidRPr="00AE533A">
        <w:rPr>
          <w:rFonts w:ascii="Times New Roman" w:eastAsia="Times New Roman" w:hAnsi="Times New Roman" w:cs="Times New Roman"/>
          <w:i/>
          <w:iCs/>
          <w:color w:val="000000"/>
          <w:lang w:val="en-US" w:eastAsia="en-GB"/>
        </w:rPr>
        <w:t>a</w:t>
      </w:r>
      <w:r w:rsidRPr="00AE533A">
        <w:rPr>
          <w:rFonts w:ascii="Times New Roman" w:eastAsia="Times New Roman" w:hAnsi="Times New Roman" w:cs="Times New Roman"/>
          <w:color w:val="000000"/>
          <w:lang w:val="en-US" w:eastAsia="en-GB"/>
        </w:rPr>
        <w:t> is greater than the square of </w:t>
      </w:r>
      <w:r w:rsidRPr="00AE533A">
        <w:rPr>
          <w:rFonts w:ascii="Times New Roman" w:eastAsia="Times New Roman" w:hAnsi="Times New Roman" w:cs="Times New Roman"/>
          <w:i/>
          <w:iCs/>
          <w:color w:val="000000"/>
          <w:lang w:val="en-US" w:eastAsia="en-GB"/>
        </w:rPr>
        <w:t>b</w:t>
      </w:r>
      <w:r w:rsidRPr="00AE533A">
        <w:rPr>
          <w:rFonts w:ascii="Times New Roman" w:eastAsia="Times New Roman" w:hAnsi="Times New Roman" w:cs="Times New Roman"/>
          <w:color w:val="000000"/>
          <w:lang w:val="en-US" w:eastAsia="en-GB"/>
        </w:rPr>
        <w:t>. The impossibility of multiple quantification renders this argument syllogistically unprovable. An even more striking example is the so-called argument of Augustus De Morgan. Given that horses are animals, one should be able to conclude that the heads of horses are heads of animals. Such an inference is syllogistically impossible (owing to the absence of multiple quantification). The reason is that the predicate “head of a horse” has, syllogistically speaking, absolutely nothing in common with the predicate “head of an animal.” They are entirely unrelated and cannot be combined, regardless of what holds with respect to the relation between horses and animals.</w:t>
      </w:r>
    </w:p>
    <w:p w14:paraId="14CDC7A5"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Frege introduces quantifiers in §11. The judgment</w:t>
      </w:r>
    </w:p>
    <w:p w14:paraId="3570B92B"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 — Φ(α)</w:t>
      </w:r>
    </w:p>
    <w:p w14:paraId="407C7140"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lastRenderedPageBreak/>
        <w:t>means that Φ holds of α, whatever α may be. In contemporary symbolism, this expression is equivalent to (</w:t>
      </w:r>
      <w:r w:rsidRPr="00AE533A">
        <w:rPr>
          <w:rFonts w:ascii="Cambria Math" w:eastAsia="Times New Roman" w:hAnsi="Cambria Math" w:cs="Cambria Math"/>
          <w:color w:val="000000"/>
          <w:lang w:val="en-US" w:eastAsia="en-GB"/>
        </w:rPr>
        <w:t>∀</w:t>
      </w:r>
      <w:r w:rsidRPr="00AE533A">
        <w:rPr>
          <w:rFonts w:ascii="Times New Roman" w:eastAsia="Times New Roman" w:hAnsi="Times New Roman" w:cs="Times New Roman"/>
          <w:color w:val="000000"/>
          <w:lang w:val="en-US" w:eastAsia="en-GB"/>
        </w:rPr>
        <w:t xml:space="preserve">x) </w:t>
      </w:r>
      <w:proofErr w:type="spellStart"/>
      <w:r w:rsidRPr="00AE533A">
        <w:rPr>
          <w:rFonts w:ascii="Times New Roman" w:eastAsia="Times New Roman" w:hAnsi="Times New Roman" w:cs="Times New Roman"/>
          <w:color w:val="000000"/>
          <w:lang w:val="en-US" w:eastAsia="en-GB"/>
        </w:rPr>
        <w:t>φx</w:t>
      </w:r>
      <w:proofErr w:type="spellEnd"/>
      <w:r w:rsidRPr="00AE533A">
        <w:rPr>
          <w:rFonts w:ascii="Times New Roman" w:eastAsia="Times New Roman" w:hAnsi="Times New Roman" w:cs="Times New Roman"/>
          <w:color w:val="000000"/>
          <w:lang w:val="en-US" w:eastAsia="en-GB"/>
        </w:rPr>
        <w:t>. As in modern predicate logic, however, quantification in Frege is unrestricted. For binary predicates, the expression</w:t>
      </w:r>
    </w:p>
    <w:p w14:paraId="01117ACC"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 xml:space="preserve">— — — </w:t>
      </w:r>
      <w:proofErr w:type="gramStart"/>
      <w:r w:rsidRPr="00AE533A">
        <w:rPr>
          <w:rFonts w:ascii="Times New Roman" w:eastAsia="Times New Roman" w:hAnsi="Times New Roman" w:cs="Times New Roman"/>
          <w:color w:val="000000"/>
          <w:lang w:val="en-US" w:eastAsia="en-GB"/>
        </w:rPr>
        <w:t>Φ(</w:t>
      </w:r>
      <w:proofErr w:type="gramEnd"/>
      <w:r w:rsidRPr="00AE533A">
        <w:rPr>
          <w:rFonts w:ascii="Times New Roman" w:eastAsia="Times New Roman" w:hAnsi="Times New Roman" w:cs="Times New Roman"/>
          <w:color w:val="000000"/>
          <w:lang w:val="en-US" w:eastAsia="en-GB"/>
        </w:rPr>
        <w:t>α, β)</w:t>
      </w:r>
    </w:p>
    <w:p w14:paraId="16A08FB8" w14:textId="77777777"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is a well-formed formula meaning that for every α and every β, α stands in the relation Φ to β. This extends straightforwardly to </w:t>
      </w:r>
      <w:r w:rsidRPr="00AE533A">
        <w:rPr>
          <w:rFonts w:ascii="Times New Roman" w:eastAsia="Times New Roman" w:hAnsi="Times New Roman" w:cs="Times New Roman"/>
          <w:i/>
          <w:iCs/>
          <w:color w:val="000000"/>
          <w:lang w:val="en-US" w:eastAsia="en-GB"/>
        </w:rPr>
        <w:t>n</w:t>
      </w:r>
      <w:r w:rsidRPr="00AE533A">
        <w:rPr>
          <w:rFonts w:ascii="Times New Roman" w:eastAsia="Times New Roman" w:hAnsi="Times New Roman" w:cs="Times New Roman"/>
          <w:color w:val="000000"/>
          <w:lang w:val="en-US" w:eastAsia="en-GB"/>
        </w:rPr>
        <w:t>-</w:t>
      </w:r>
      <w:proofErr w:type="spellStart"/>
      <w:r w:rsidRPr="00AE533A">
        <w:rPr>
          <w:rFonts w:ascii="Times New Roman" w:eastAsia="Times New Roman" w:hAnsi="Times New Roman" w:cs="Times New Roman"/>
          <w:color w:val="000000"/>
          <w:lang w:val="en-US" w:eastAsia="en-GB"/>
        </w:rPr>
        <w:t>ary</w:t>
      </w:r>
      <w:proofErr w:type="spellEnd"/>
      <w:r w:rsidRPr="00AE533A">
        <w:rPr>
          <w:rFonts w:ascii="Times New Roman" w:eastAsia="Times New Roman" w:hAnsi="Times New Roman" w:cs="Times New Roman"/>
          <w:color w:val="000000"/>
          <w:lang w:val="en-US" w:eastAsia="en-GB"/>
        </w:rPr>
        <w:t xml:space="preserve"> predicates.</w:t>
      </w:r>
    </w:p>
    <w:p w14:paraId="28B654BF" w14:textId="77777777" w:rsidR="004073DD" w:rsidRPr="00AE533A" w:rsidRDefault="004073DD"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vi)</w:t>
      </w:r>
    </w:p>
    <w:p w14:paraId="75DDECA0" w14:textId="15AB9DF5" w:rsidR="004073DD" w:rsidRPr="00AE533A" w:rsidRDefault="004073DD"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At the end of the first part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w:t>
      </w:r>
      <w:r w:rsidR="00031B7C" w:rsidRPr="00AE533A">
        <w:rPr>
          <w:rStyle w:val="FootnoteReference"/>
          <w:rFonts w:ascii="Times New Roman" w:eastAsia="Times New Roman" w:hAnsi="Times New Roman" w:cs="Times New Roman"/>
          <w:color w:val="000000"/>
          <w:lang w:val="en-US" w:eastAsia="en-GB"/>
        </w:rPr>
        <w:footnoteReference w:id="18"/>
      </w:r>
      <w:r w:rsidRPr="00AE533A">
        <w:rPr>
          <w:rFonts w:ascii="Times New Roman" w:eastAsia="Times New Roman" w:hAnsi="Times New Roman" w:cs="Times New Roman"/>
          <w:color w:val="000000"/>
          <w:lang w:val="en-US" w:eastAsia="en-GB"/>
        </w:rPr>
        <w:t> Gottlob Frege presents his own version of the Logical Square.</w:t>
      </w:r>
    </w:p>
    <w:p w14:paraId="2F0A1D14" w14:textId="77777777" w:rsidR="004073DD" w:rsidRDefault="004073DD" w:rsidP="000C63FF">
      <w:pPr>
        <w:pStyle w:val="NormalWeb"/>
        <w:spacing w:line="360" w:lineRule="auto"/>
        <w:rPr>
          <w:color w:val="000000"/>
          <w:lang w:val="en-US"/>
        </w:rPr>
      </w:pPr>
    </w:p>
    <w:p w14:paraId="4F2109A3" w14:textId="0D065BD4" w:rsidR="007A7DC4" w:rsidRDefault="007A7DC4" w:rsidP="000C63FF">
      <w:pPr>
        <w:pStyle w:val="NormalWeb"/>
        <w:spacing w:line="360" w:lineRule="auto"/>
        <w:rPr>
          <w:color w:val="000000"/>
          <w:lang w:val="en-US"/>
        </w:rPr>
      </w:pPr>
      <w:r>
        <w:rPr>
          <w:noProof/>
          <w:color w:val="000000"/>
          <w:lang w:val="en-US"/>
        </w:rPr>
        <w:drawing>
          <wp:inline distT="0" distB="0" distL="0" distR="0" wp14:anchorId="47FD9ABF" wp14:editId="255BE80A">
            <wp:extent cx="3968778" cy="2364206"/>
            <wp:effectExtent l="0" t="0" r="0" b="0"/>
            <wp:docPr id="1375896402" name="Picture 1" descr="A diagram of a sub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96402" name="Picture 1" descr="A diagram of a substatio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096577" cy="2440336"/>
                    </a:xfrm>
                    <a:prstGeom prst="rect">
                      <a:avLst/>
                    </a:prstGeom>
                  </pic:spPr>
                </pic:pic>
              </a:graphicData>
            </a:graphic>
          </wp:inline>
        </w:drawing>
      </w:r>
    </w:p>
    <w:p w14:paraId="39F29B31" w14:textId="77777777" w:rsidR="007A7DC4" w:rsidRPr="00AE533A" w:rsidRDefault="007A7DC4" w:rsidP="000C63FF">
      <w:pPr>
        <w:pStyle w:val="NormalWeb"/>
        <w:spacing w:line="360" w:lineRule="auto"/>
        <w:rPr>
          <w:color w:val="000000"/>
          <w:lang w:val="en-US"/>
        </w:rPr>
      </w:pPr>
    </w:p>
    <w:p w14:paraId="3967B82A" w14:textId="77777777"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Despite its apparent symmetry with the Scholastic Square of Opposition, there are fundamental differences:</w:t>
      </w:r>
    </w:p>
    <w:p w14:paraId="5B10F740" w14:textId="77777777" w:rsidR="00191B44" w:rsidRPr="00AE533A" w:rsidRDefault="00191B44" w:rsidP="000C63FF">
      <w:pPr>
        <w:numPr>
          <w:ilvl w:val="0"/>
          <w:numId w:val="1"/>
        </w:num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b/>
          <w:bCs/>
          <w:color w:val="000000"/>
          <w:lang w:val="en-US" w:eastAsia="en-GB"/>
        </w:rPr>
        <w:t>Contraries can both be true</w:t>
      </w:r>
      <w:r w:rsidRPr="00AE533A">
        <w:rPr>
          <w:rFonts w:ascii="Times New Roman" w:eastAsia="Times New Roman" w:hAnsi="Times New Roman" w:cs="Times New Roman"/>
          <w:color w:val="000000"/>
          <w:lang w:val="en-US" w:eastAsia="en-GB"/>
        </w:rPr>
        <w:t xml:space="preserve"> (in the case where there exists </w:t>
      </w:r>
      <w:proofErr w:type="gramStart"/>
      <w:r w:rsidRPr="00AE533A">
        <w:rPr>
          <w:rFonts w:ascii="Times New Roman" w:eastAsia="Times New Roman" w:hAnsi="Times New Roman" w:cs="Times New Roman"/>
          <w:color w:val="000000"/>
          <w:lang w:val="en-US" w:eastAsia="en-GB"/>
        </w:rPr>
        <w:t>no</w:t>
      </w:r>
      <w:proofErr w:type="gramEnd"/>
      <w:r w:rsidRPr="00AE533A">
        <w:rPr>
          <w:rFonts w:ascii="Times New Roman" w:eastAsia="Times New Roman" w:hAnsi="Times New Roman" w:cs="Times New Roman"/>
          <w:color w:val="000000"/>
          <w:lang w:val="en-US" w:eastAsia="en-GB"/>
        </w:rPr>
        <w:t> </w:t>
      </w:r>
      <w:r w:rsidRPr="00AE533A">
        <w:rPr>
          <w:rFonts w:ascii="Times New Roman" w:eastAsia="Times New Roman" w:hAnsi="Times New Roman" w:cs="Times New Roman"/>
          <w:i/>
          <w:iCs/>
          <w:color w:val="000000"/>
          <w:lang w:val="en-US" w:eastAsia="en-GB"/>
        </w:rPr>
        <w:t>a</w:t>
      </w:r>
      <w:r w:rsidRPr="00AE533A">
        <w:rPr>
          <w:rFonts w:ascii="Times New Roman" w:eastAsia="Times New Roman" w:hAnsi="Times New Roman" w:cs="Times New Roman"/>
          <w:color w:val="000000"/>
          <w:lang w:val="en-US" w:eastAsia="en-GB"/>
        </w:rPr>
        <w:t> that has the property Φ(ξ)).</w:t>
      </w:r>
    </w:p>
    <w:p w14:paraId="34EA43D8" w14:textId="77777777" w:rsidR="00191B44" w:rsidRPr="00AE533A" w:rsidRDefault="00191B44" w:rsidP="000C63FF">
      <w:pPr>
        <w:numPr>
          <w:ilvl w:val="0"/>
          <w:numId w:val="1"/>
        </w:num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b/>
          <w:bCs/>
          <w:color w:val="000000"/>
          <w:lang w:val="en-US" w:eastAsia="en-GB"/>
        </w:rPr>
        <w:t>Subcontraries can both be false</w:t>
      </w:r>
      <w:r w:rsidRPr="00AE533A">
        <w:rPr>
          <w:rFonts w:ascii="Times New Roman" w:eastAsia="Times New Roman" w:hAnsi="Times New Roman" w:cs="Times New Roman"/>
          <w:color w:val="000000"/>
          <w:lang w:val="en-US" w:eastAsia="en-GB"/>
        </w:rPr>
        <w:t> (in the same case).</w:t>
      </w:r>
    </w:p>
    <w:p w14:paraId="1A397709" w14:textId="77777777" w:rsidR="00191B44" w:rsidRPr="00AE533A" w:rsidRDefault="00191B44" w:rsidP="000C63FF">
      <w:pPr>
        <w:numPr>
          <w:ilvl w:val="0"/>
          <w:numId w:val="1"/>
        </w:num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b/>
          <w:bCs/>
          <w:color w:val="000000"/>
          <w:lang w:val="en-US" w:eastAsia="en-GB"/>
        </w:rPr>
        <w:lastRenderedPageBreak/>
        <w:t xml:space="preserve">From A, I </w:t>
      </w:r>
      <w:proofErr w:type="gramStart"/>
      <w:r w:rsidRPr="00AE533A">
        <w:rPr>
          <w:rFonts w:ascii="Times New Roman" w:eastAsia="Times New Roman" w:hAnsi="Times New Roman" w:cs="Times New Roman"/>
          <w:b/>
          <w:bCs/>
          <w:color w:val="000000"/>
          <w:lang w:val="en-US" w:eastAsia="en-GB"/>
        </w:rPr>
        <w:t>does</w:t>
      </w:r>
      <w:proofErr w:type="gramEnd"/>
      <w:r w:rsidRPr="00AE533A">
        <w:rPr>
          <w:rFonts w:ascii="Times New Roman" w:eastAsia="Times New Roman" w:hAnsi="Times New Roman" w:cs="Times New Roman"/>
          <w:b/>
          <w:bCs/>
          <w:color w:val="000000"/>
          <w:lang w:val="en-US" w:eastAsia="en-GB"/>
        </w:rPr>
        <w:t xml:space="preserve"> not necessarily follow, and from E, O does not necessarily follow</w:t>
      </w:r>
      <w:r w:rsidRPr="00AE533A">
        <w:rPr>
          <w:rFonts w:ascii="Times New Roman" w:eastAsia="Times New Roman" w:hAnsi="Times New Roman" w:cs="Times New Roman"/>
          <w:color w:val="000000"/>
          <w:lang w:val="en-US" w:eastAsia="en-GB"/>
        </w:rPr>
        <w:t> (cf. 1 &amp; 2).</w:t>
      </w:r>
    </w:p>
    <w:p w14:paraId="29984546" w14:textId="77777777" w:rsidR="00191B44" w:rsidRPr="00AE533A" w:rsidRDefault="00191B44" w:rsidP="000C63FF">
      <w:pPr>
        <w:spacing w:before="100" w:beforeAutospacing="1" w:after="100" w:afterAutospacing="1" w:line="360" w:lineRule="auto"/>
        <w:outlineLvl w:val="2"/>
        <w:rPr>
          <w:rFonts w:ascii="Times New Roman" w:eastAsia="Times New Roman" w:hAnsi="Times New Roman" w:cs="Times New Roman"/>
          <w:b/>
          <w:b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vii)</w:t>
      </w:r>
    </w:p>
    <w:p w14:paraId="51A66053" w14:textId="77777777"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Finally, mention must be made of the shift effected by Gottlob Frege in the mode of analyzing propositions—from the Aristotelian tripartite scheme </w:t>
      </w:r>
      <w:r w:rsidRPr="00AE533A">
        <w:rPr>
          <w:rFonts w:ascii="Times New Roman" w:eastAsia="Times New Roman" w:hAnsi="Times New Roman" w:cs="Times New Roman"/>
          <w:i/>
          <w:iCs/>
          <w:color w:val="000000"/>
          <w:lang w:val="en-US" w:eastAsia="en-GB"/>
        </w:rPr>
        <w:t>Subject–Copula–Predicate</w:t>
      </w:r>
      <w:r w:rsidRPr="00AE533A">
        <w:rPr>
          <w:rFonts w:ascii="Times New Roman" w:eastAsia="Times New Roman" w:hAnsi="Times New Roman" w:cs="Times New Roman"/>
          <w:color w:val="000000"/>
          <w:lang w:val="en-US" w:eastAsia="en-GB"/>
        </w:rPr>
        <w:t> to the bipartite scheme </w:t>
      </w:r>
      <w:r w:rsidRPr="00AE533A">
        <w:rPr>
          <w:rFonts w:ascii="Times New Roman" w:eastAsia="Times New Roman" w:hAnsi="Times New Roman" w:cs="Times New Roman"/>
          <w:i/>
          <w:iCs/>
          <w:color w:val="000000"/>
          <w:lang w:val="en-US" w:eastAsia="en-GB"/>
        </w:rPr>
        <w:t>Function–Argument</w:t>
      </w:r>
      <w:r w:rsidRPr="00AE533A">
        <w:rPr>
          <w:rFonts w:ascii="Times New Roman" w:eastAsia="Times New Roman" w:hAnsi="Times New Roman" w:cs="Times New Roman"/>
          <w:color w:val="000000"/>
          <w:lang w:val="en-US" w:eastAsia="en-GB"/>
        </w:rPr>
        <w:t>. According to most scholars, this shift constitutes the very core of Fregean logic. This mode of analysis is influenced by mathematics and, in particular, by the notion of a function.</w:t>
      </w:r>
    </w:p>
    <w:p w14:paraId="76CA3E72" w14:textId="338D42BB"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For example, the proposition “Man is mortal,” when analyzed in Aristotelian terms, consists of two autonomous terms (namely “man” and “mortal”) and the copula. According to Frege, by contrast, it consists of one autonomous term and one predicative expression that is not autonomous (namely “man” and “…is mortal”). The analogy with mathematical functions is evident. The expression “…is mortal” requires an argument in order to acquire meaning, and once supplied with one, it takes on a value (</w:t>
      </w:r>
      <w:r w:rsidR="000F1C01">
        <w:rPr>
          <w:rFonts w:ascii="Times New Roman" w:eastAsia="Times New Roman" w:hAnsi="Times New Roman" w:cs="Times New Roman"/>
          <w:color w:val="000000"/>
          <w:lang w:val="en-US" w:eastAsia="en-GB"/>
        </w:rPr>
        <w:t>T</w:t>
      </w:r>
      <w:r w:rsidRPr="00AE533A">
        <w:rPr>
          <w:rFonts w:ascii="Times New Roman" w:eastAsia="Times New Roman" w:hAnsi="Times New Roman" w:cs="Times New Roman"/>
          <w:color w:val="000000"/>
          <w:lang w:val="en-US" w:eastAsia="en-GB"/>
        </w:rPr>
        <w:t xml:space="preserve">ruth or </w:t>
      </w:r>
      <w:r w:rsidR="000F1C01">
        <w:rPr>
          <w:rFonts w:ascii="Times New Roman" w:eastAsia="Times New Roman" w:hAnsi="Times New Roman" w:cs="Times New Roman"/>
          <w:color w:val="000000"/>
          <w:lang w:val="en-US" w:eastAsia="en-GB"/>
        </w:rPr>
        <w:t>F</w:t>
      </w:r>
      <w:r w:rsidRPr="00AE533A">
        <w:rPr>
          <w:rFonts w:ascii="Times New Roman" w:eastAsia="Times New Roman" w:hAnsi="Times New Roman" w:cs="Times New Roman"/>
          <w:color w:val="000000"/>
          <w:lang w:val="en-US" w:eastAsia="en-GB"/>
        </w:rPr>
        <w:t>als</w:t>
      </w:r>
      <w:r w:rsidR="000F1C01">
        <w:rPr>
          <w:rFonts w:ascii="Times New Roman" w:eastAsia="Times New Roman" w:hAnsi="Times New Roman" w:cs="Times New Roman"/>
          <w:color w:val="000000"/>
          <w:lang w:val="en-US" w:eastAsia="en-GB"/>
        </w:rPr>
        <w:t>e</w:t>
      </w:r>
      <w:r w:rsidRPr="00AE533A">
        <w:rPr>
          <w:rFonts w:ascii="Times New Roman" w:eastAsia="Times New Roman" w:hAnsi="Times New Roman" w:cs="Times New Roman"/>
          <w:color w:val="000000"/>
          <w:lang w:val="en-US" w:eastAsia="en-GB"/>
        </w:rPr>
        <w:t>). Correspondingly, the expression “x + 3” does not denote any specific number; to denote a number, the variable must be replaced by a determinate numeral.</w:t>
      </w:r>
    </w:p>
    <w:p w14:paraId="47CA83A4" w14:textId="77777777"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It is clear that Frege’s innovation concerning quantification is directly connected with this innovation in the analysis of propositions. The expression “…is mortal” requires that its gap be filled by a variable, which must in turn be bound by a quantifier in order for the expression to acquire assertoric content. “x is mortal” is not something that can be affirmed or denied; by contrast, “for every x, x is mortal” does have assertoric content. The innovation in propositional analysis thus affords the same flexibility as the unrestricted use of quantifiers.</w:t>
      </w:r>
    </w:p>
    <w:p w14:paraId="3F28F788" w14:textId="77777777"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In Aristotelian syllogistic, no more than three terms can occur. In a Fregean argumentative form, the use of multiple quantification allows for as many “terms” as there are variables. Frege regarded this change as so fundamentally significant—and as so directly opposed to Aristotle—that already in §3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he explicitly notes:</w:t>
      </w:r>
    </w:p>
    <w:p w14:paraId="3EDB31CD" w14:textId="3F7DCBD5" w:rsidR="0041172A" w:rsidRPr="00416DDF" w:rsidRDefault="00191B44" w:rsidP="00416DD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lastRenderedPageBreak/>
        <w:t>“In my representation of judgment, the distinction between subject and predicate does not take place.”</w:t>
      </w:r>
      <w:r w:rsidR="00031B7C" w:rsidRPr="00AE533A">
        <w:rPr>
          <w:rStyle w:val="FootnoteReference"/>
          <w:rFonts w:ascii="Times New Roman" w:eastAsia="Times New Roman" w:hAnsi="Times New Roman" w:cs="Times New Roman"/>
          <w:color w:val="000000"/>
          <w:lang w:val="en-US" w:eastAsia="en-GB"/>
        </w:rPr>
        <w:footnoteReference w:id="19"/>
      </w:r>
    </w:p>
    <w:p w14:paraId="17821010" w14:textId="4D45CEAF" w:rsidR="00191B44" w:rsidRPr="00AE533A" w:rsidRDefault="00191B44" w:rsidP="000F1C01">
      <w:pPr>
        <w:spacing w:line="360" w:lineRule="auto"/>
        <w:jc w:val="center"/>
        <w:rPr>
          <w:lang w:val="en-US"/>
        </w:rPr>
      </w:pPr>
      <w:r w:rsidRPr="00AE533A">
        <w:rPr>
          <w:lang w:val="en-US"/>
        </w:rPr>
        <w:t>***</w:t>
      </w:r>
    </w:p>
    <w:p w14:paraId="06D1FC31" w14:textId="0D787FD5" w:rsidR="000C63FF" w:rsidRPr="00AE533A" w:rsidRDefault="00191B44" w:rsidP="000C63FF">
      <w:pPr>
        <w:spacing w:before="100" w:beforeAutospacing="1" w:after="100" w:afterAutospacing="1" w:line="360" w:lineRule="auto"/>
        <w:jc w:val="center"/>
        <w:outlineLvl w:val="2"/>
        <w:rPr>
          <w:rFonts w:ascii="Times New Roman" w:eastAsia="Times New Roman" w:hAnsi="Times New Roman" w:cs="Times New Roman"/>
          <w:b/>
          <w:bCs/>
          <w:i/>
          <w:iCs/>
          <w:color w:val="000000"/>
          <w:sz w:val="27"/>
          <w:szCs w:val="27"/>
          <w:lang w:val="en-US" w:eastAsia="en-GB"/>
        </w:rPr>
      </w:pPr>
      <w:r w:rsidRPr="00AE533A">
        <w:rPr>
          <w:rFonts w:ascii="Times New Roman" w:eastAsia="Times New Roman" w:hAnsi="Times New Roman" w:cs="Times New Roman"/>
          <w:b/>
          <w:bCs/>
          <w:color w:val="000000"/>
          <w:sz w:val="27"/>
          <w:szCs w:val="27"/>
          <w:lang w:val="en-US" w:eastAsia="en-GB"/>
        </w:rPr>
        <w:t>Example of a Valid Argument Based on the Inferential Forms of the </w:t>
      </w:r>
      <w:r w:rsidRPr="00AE533A">
        <w:rPr>
          <w:rFonts w:ascii="Times New Roman" w:eastAsia="Times New Roman" w:hAnsi="Times New Roman" w:cs="Times New Roman"/>
          <w:b/>
          <w:bCs/>
          <w:i/>
          <w:iCs/>
          <w:color w:val="000000"/>
          <w:sz w:val="27"/>
          <w:szCs w:val="27"/>
          <w:lang w:val="en-US" w:eastAsia="en-GB"/>
        </w:rPr>
        <w:t>Ideography</w:t>
      </w:r>
    </w:p>
    <w:p w14:paraId="1A1A5D86" w14:textId="77777777"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Here we shall present an example illustrating how the axiomatic system of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operates. The example is the classical Stoic argument involving daylight and brightness. The premisses are:</w:t>
      </w:r>
    </w:p>
    <w:p w14:paraId="00828DCA" w14:textId="32D2E96E" w:rsidR="00191B44" w:rsidRPr="00AE533A" w:rsidRDefault="00191B44" w:rsidP="000C63FF">
      <w:pPr>
        <w:numPr>
          <w:ilvl w:val="0"/>
          <w:numId w:val="2"/>
        </w:num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 xml:space="preserve">if it is day, then </w:t>
      </w:r>
      <w:r w:rsidR="007A7DC4">
        <w:rPr>
          <w:rFonts w:ascii="Times New Roman" w:eastAsia="Times New Roman" w:hAnsi="Times New Roman" w:cs="Times New Roman"/>
          <w:color w:val="000000"/>
          <w:lang w:val="en-US" w:eastAsia="en-GB"/>
        </w:rPr>
        <w:t xml:space="preserve">there is </w:t>
      </w:r>
      <w:proofErr w:type="gramStart"/>
      <w:r w:rsidR="007A7DC4">
        <w:rPr>
          <w:rFonts w:ascii="Times New Roman" w:eastAsia="Times New Roman" w:hAnsi="Times New Roman" w:cs="Times New Roman"/>
          <w:color w:val="000000"/>
          <w:lang w:val="en-US" w:eastAsia="en-GB"/>
        </w:rPr>
        <w:t>light</w:t>
      </w:r>
      <w:r w:rsidRPr="00AE533A">
        <w:rPr>
          <w:rFonts w:ascii="Times New Roman" w:eastAsia="Times New Roman" w:hAnsi="Times New Roman" w:cs="Times New Roman"/>
          <w:color w:val="000000"/>
          <w:lang w:val="en-US" w:eastAsia="en-GB"/>
        </w:rPr>
        <w:t>;</w:t>
      </w:r>
      <w:proofErr w:type="gramEnd"/>
    </w:p>
    <w:p w14:paraId="2B862306" w14:textId="793A75B6" w:rsidR="00191B44" w:rsidRPr="00AE533A" w:rsidRDefault="007A7DC4" w:rsidP="000C63FF">
      <w:pPr>
        <w:numPr>
          <w:ilvl w:val="0"/>
          <w:numId w:val="2"/>
        </w:numPr>
        <w:spacing w:before="100" w:beforeAutospacing="1" w:after="100" w:afterAutospacing="1" w:line="360" w:lineRule="auto"/>
        <w:rPr>
          <w:rFonts w:ascii="Times New Roman" w:eastAsia="Times New Roman" w:hAnsi="Times New Roman" w:cs="Times New Roman"/>
          <w:color w:val="000000"/>
          <w:lang w:val="en-US" w:eastAsia="en-GB"/>
        </w:rPr>
      </w:pPr>
      <w:r>
        <w:rPr>
          <w:rFonts w:ascii="Times New Roman" w:eastAsia="Times New Roman" w:hAnsi="Times New Roman" w:cs="Times New Roman"/>
          <w:color w:val="000000"/>
          <w:lang w:val="en-US" w:eastAsia="en-GB"/>
        </w:rPr>
        <w:t>there is light</w:t>
      </w:r>
      <w:r w:rsidR="00191B44" w:rsidRPr="00AE533A">
        <w:rPr>
          <w:rFonts w:ascii="Times New Roman" w:eastAsia="Times New Roman" w:hAnsi="Times New Roman" w:cs="Times New Roman"/>
          <w:color w:val="000000"/>
          <w:lang w:val="en-US" w:eastAsia="en-GB"/>
        </w:rPr>
        <w:t>.</w:t>
      </w:r>
      <w:r w:rsidR="00191B44" w:rsidRPr="00AE533A">
        <w:rPr>
          <w:rFonts w:ascii="Times New Roman" w:eastAsia="Times New Roman" w:hAnsi="Times New Roman" w:cs="Times New Roman"/>
          <w:color w:val="000000"/>
          <w:lang w:val="en-US" w:eastAsia="en-GB"/>
        </w:rPr>
        <w:br/>
        <w:t>The conclusion is: it is not day.</w:t>
      </w:r>
    </w:p>
    <w:p w14:paraId="53FA7033" w14:textId="7C9C8836"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From the standpoint of syllogistic reasoning, this conclusion is unattainable—the argument belongs to propositional logic. According to the Stoic theory of hypothetical arguments, the conclusion follows immediately by a rule equivalent to </w:t>
      </w:r>
      <w:r w:rsidRPr="00AE533A">
        <w:rPr>
          <w:rFonts w:ascii="Times New Roman" w:eastAsia="Times New Roman" w:hAnsi="Times New Roman" w:cs="Times New Roman"/>
          <w:i/>
          <w:iCs/>
          <w:color w:val="000000"/>
          <w:lang w:val="en-US" w:eastAsia="en-GB"/>
        </w:rPr>
        <w:t>modus tollens</w:t>
      </w:r>
      <w:r w:rsidRPr="00AE533A">
        <w:rPr>
          <w:rFonts w:ascii="Times New Roman" w:eastAsia="Times New Roman" w:hAnsi="Times New Roman" w:cs="Times New Roman"/>
          <w:color w:val="000000"/>
          <w:lang w:val="en-US" w:eastAsia="en-GB"/>
        </w:rPr>
        <w:t>.</w:t>
      </w:r>
      <w:r w:rsidR="000C63FF" w:rsidRPr="00AE533A">
        <w:rPr>
          <w:rStyle w:val="FootnoteReference"/>
          <w:rFonts w:ascii="Times New Roman" w:eastAsia="Times New Roman" w:hAnsi="Times New Roman" w:cs="Times New Roman"/>
          <w:color w:val="000000"/>
          <w:lang w:val="en-US" w:eastAsia="en-GB"/>
        </w:rPr>
        <w:footnoteReference w:id="20"/>
      </w:r>
      <w:r w:rsidRPr="00AE533A">
        <w:rPr>
          <w:rFonts w:ascii="Times New Roman" w:eastAsia="Times New Roman" w:hAnsi="Times New Roman" w:cs="Times New Roman"/>
          <w:color w:val="000000"/>
          <w:lang w:val="en-US" w:eastAsia="en-GB"/>
        </w:rPr>
        <w:t xml:space="preserve"> In systems of natural deduction, it is likewise derived directly by </w:t>
      </w:r>
      <w:r w:rsidRPr="00AE533A">
        <w:rPr>
          <w:rFonts w:ascii="Times New Roman" w:eastAsia="Times New Roman" w:hAnsi="Times New Roman" w:cs="Times New Roman"/>
          <w:i/>
          <w:iCs/>
          <w:color w:val="000000"/>
          <w:lang w:val="en-US" w:eastAsia="en-GB"/>
        </w:rPr>
        <w:t>modus tollens</w:t>
      </w:r>
      <w:r w:rsidRPr="00AE533A">
        <w:rPr>
          <w:rFonts w:ascii="Times New Roman" w:eastAsia="Times New Roman" w:hAnsi="Times New Roman" w:cs="Times New Roman"/>
          <w:color w:val="000000"/>
          <w:lang w:val="en-US" w:eastAsia="en-GB"/>
        </w:rPr>
        <w:t>. In the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however, the derivation is somewhat more laborious.</w:t>
      </w:r>
    </w:p>
    <w:p w14:paraId="49AF43C2" w14:textId="34B0DB5F" w:rsidR="00191B44" w:rsidRPr="00AE533A" w:rsidRDefault="00191B44" w:rsidP="000C63FF">
      <w:pPr>
        <w:spacing w:before="100" w:beforeAutospacing="1" w:after="100" w:afterAutospacing="1" w:line="360" w:lineRule="auto"/>
        <w:rPr>
          <w:rFonts w:ascii="Times New Roman" w:eastAsia="Times New Roman" w:hAnsi="Times New Roman" w:cs="Times New Roman"/>
          <w:color w:val="000000"/>
          <w:lang w:val="en-US" w:eastAsia="en-GB"/>
        </w:rPr>
      </w:pPr>
      <w:r w:rsidRPr="00AE533A">
        <w:rPr>
          <w:rFonts w:ascii="Times New Roman" w:eastAsia="Times New Roman" w:hAnsi="Times New Roman" w:cs="Times New Roman"/>
          <w:color w:val="000000"/>
          <w:lang w:val="en-US" w:eastAsia="en-GB"/>
        </w:rPr>
        <w:t>Before presenting it, we note that the extended parallel line is called the “line of implication” (</w:t>
      </w:r>
      <w:proofErr w:type="spellStart"/>
      <w:r w:rsidRPr="00AE533A">
        <w:rPr>
          <w:rFonts w:ascii="Times New Roman" w:eastAsia="Times New Roman" w:hAnsi="Times New Roman" w:cs="Times New Roman"/>
          <w:i/>
          <w:iCs/>
          <w:color w:val="000000"/>
          <w:lang w:val="en-US" w:eastAsia="en-GB"/>
        </w:rPr>
        <w:t>Schlusslinie</w:t>
      </w:r>
      <w:proofErr w:type="spellEnd"/>
      <w:r w:rsidRPr="00AE533A">
        <w:rPr>
          <w:rFonts w:ascii="Times New Roman" w:eastAsia="Times New Roman" w:hAnsi="Times New Roman" w:cs="Times New Roman"/>
          <w:color w:val="000000"/>
          <w:lang w:val="en-US" w:eastAsia="en-GB"/>
        </w:rPr>
        <w:t>; </w:t>
      </w:r>
      <w:r w:rsidRPr="00AE533A">
        <w:rPr>
          <w:rFonts w:ascii="Times New Roman" w:eastAsia="Times New Roman" w:hAnsi="Times New Roman" w:cs="Times New Roman"/>
          <w:i/>
          <w:iCs/>
          <w:color w:val="000000"/>
          <w:lang w:val="en-US" w:eastAsia="en-GB"/>
        </w:rPr>
        <w:t>Ideography</w:t>
      </w:r>
      <w:r w:rsidRPr="00AE533A">
        <w:rPr>
          <w:rFonts w:ascii="Times New Roman" w:eastAsia="Times New Roman" w:hAnsi="Times New Roman" w:cs="Times New Roman"/>
          <w:color w:val="000000"/>
          <w:lang w:val="en-US" w:eastAsia="en-GB"/>
        </w:rPr>
        <w:t>, p. 21) and indicates that what follows is inferred from what precedes.</w:t>
      </w:r>
      <w:r w:rsidR="000C63FF" w:rsidRPr="00AE533A">
        <w:rPr>
          <w:rStyle w:val="FootnoteReference"/>
          <w:rFonts w:ascii="Times New Roman" w:eastAsia="Times New Roman" w:hAnsi="Times New Roman" w:cs="Times New Roman"/>
          <w:color w:val="000000"/>
          <w:lang w:val="en-US" w:eastAsia="en-GB"/>
        </w:rPr>
        <w:footnoteReference w:id="21"/>
      </w:r>
    </w:p>
    <w:p w14:paraId="2C7D3F9D" w14:textId="77777777" w:rsidR="00191B44" w:rsidRPr="00AE533A" w:rsidRDefault="00191B44" w:rsidP="000C63FF">
      <w:pPr>
        <w:spacing w:line="360" w:lineRule="auto"/>
        <w:jc w:val="both"/>
        <w:rPr>
          <w:lang w:val="en-US"/>
        </w:rPr>
      </w:pPr>
    </w:p>
    <w:p w14:paraId="74A845C6" w14:textId="77777777" w:rsidR="00191B44" w:rsidRPr="00AE533A" w:rsidRDefault="00191B44" w:rsidP="000C63FF">
      <w:pPr>
        <w:spacing w:line="360" w:lineRule="auto"/>
        <w:jc w:val="both"/>
        <w:rPr>
          <w:lang w:val="en-US"/>
        </w:rPr>
      </w:pPr>
    </w:p>
    <w:p w14:paraId="1C29BE89" w14:textId="03677F45" w:rsidR="00191B44" w:rsidRPr="00AE533A" w:rsidRDefault="00191B44" w:rsidP="000C63FF">
      <w:pPr>
        <w:spacing w:line="360" w:lineRule="auto"/>
        <w:jc w:val="both"/>
        <w:rPr>
          <w:rFonts w:ascii="Times New Roman" w:hAnsi="Times New Roman" w:cs="Times New Roman"/>
          <w:color w:val="000000"/>
          <w:lang w:val="en-US"/>
        </w:rPr>
      </w:pPr>
      <w:r w:rsidRPr="00AE533A">
        <w:rPr>
          <w:rFonts w:ascii="Times New Roman" w:hAnsi="Times New Roman" w:cs="Times New Roman"/>
          <w:color w:val="000000"/>
          <w:lang w:val="en-US"/>
        </w:rPr>
        <w:t>The formula that appears at the beginning of the inferential form is a</w:t>
      </w:r>
      <w:r w:rsidRPr="00AE533A">
        <w:rPr>
          <w:rStyle w:val="apple-converted-space"/>
          <w:rFonts w:ascii="Times New Roman" w:hAnsi="Times New Roman" w:cs="Times New Roman"/>
          <w:color w:val="000000"/>
          <w:lang w:val="en-US"/>
        </w:rPr>
        <w:t> </w:t>
      </w:r>
      <w:r w:rsidRPr="00AE533A">
        <w:rPr>
          <w:rStyle w:val="Emphasis"/>
          <w:rFonts w:ascii="Times New Roman" w:hAnsi="Times New Roman" w:cs="Times New Roman"/>
          <w:color w:val="000000"/>
          <w:lang w:val="en-US"/>
        </w:rPr>
        <w:t>substitution instance</w:t>
      </w:r>
      <w:r w:rsidRPr="00AE533A">
        <w:rPr>
          <w:rStyle w:val="apple-converted-space"/>
          <w:rFonts w:ascii="Times New Roman" w:hAnsi="Times New Roman" w:cs="Times New Roman"/>
          <w:color w:val="000000"/>
          <w:lang w:val="en-US"/>
        </w:rPr>
        <w:t> </w:t>
      </w:r>
      <w:r w:rsidRPr="00AE533A">
        <w:rPr>
          <w:rFonts w:ascii="Times New Roman" w:hAnsi="Times New Roman" w:cs="Times New Roman"/>
          <w:color w:val="000000"/>
          <w:lang w:val="en-US"/>
        </w:rPr>
        <w:t>of the fourth axiom of the</w:t>
      </w:r>
      <w:r w:rsidRPr="00AE533A">
        <w:rPr>
          <w:rStyle w:val="apple-converted-space"/>
          <w:rFonts w:ascii="Times New Roman" w:hAnsi="Times New Roman" w:cs="Times New Roman"/>
          <w:color w:val="000000"/>
          <w:lang w:val="en-US"/>
        </w:rPr>
        <w:t> </w:t>
      </w:r>
      <w:r w:rsidRPr="00AE533A">
        <w:rPr>
          <w:rStyle w:val="Emphasis"/>
          <w:rFonts w:ascii="Times New Roman" w:hAnsi="Times New Roman" w:cs="Times New Roman"/>
          <w:color w:val="000000"/>
          <w:lang w:val="en-US"/>
        </w:rPr>
        <w:t>Ideography</w:t>
      </w:r>
      <w:r w:rsidRPr="00AE533A">
        <w:rPr>
          <w:rFonts w:ascii="Times New Roman" w:hAnsi="Times New Roman" w:cs="Times New Roman"/>
          <w:color w:val="000000"/>
          <w:lang w:val="en-US"/>
        </w:rPr>
        <w:t>. In contemporary proof systems it is also referred to as the</w:t>
      </w:r>
      <w:r w:rsidRPr="00AE533A">
        <w:rPr>
          <w:rStyle w:val="apple-converted-space"/>
          <w:rFonts w:ascii="Times New Roman" w:hAnsi="Times New Roman" w:cs="Times New Roman"/>
          <w:color w:val="000000"/>
          <w:lang w:val="en-US"/>
        </w:rPr>
        <w:t> </w:t>
      </w:r>
      <w:r w:rsidRPr="00AE533A">
        <w:rPr>
          <w:rStyle w:val="Emphasis"/>
          <w:rFonts w:ascii="Times New Roman" w:hAnsi="Times New Roman" w:cs="Times New Roman"/>
          <w:color w:val="000000"/>
          <w:lang w:val="en-US"/>
        </w:rPr>
        <w:t>rule of transposition</w:t>
      </w:r>
      <w:r w:rsidRPr="00AE533A">
        <w:rPr>
          <w:rFonts w:ascii="Times New Roman" w:hAnsi="Times New Roman" w:cs="Times New Roman"/>
          <w:color w:val="000000"/>
          <w:lang w:val="en-US"/>
        </w:rPr>
        <w:t>.</w:t>
      </w:r>
      <w:r w:rsidR="000C63FF" w:rsidRPr="00AE533A">
        <w:rPr>
          <w:rStyle w:val="FootnoteReference"/>
          <w:rFonts w:ascii="Times New Roman" w:hAnsi="Times New Roman" w:cs="Times New Roman"/>
          <w:color w:val="000000"/>
          <w:lang w:val="en-US"/>
        </w:rPr>
        <w:footnoteReference w:id="22"/>
      </w:r>
      <w:r w:rsidRPr="00AE533A">
        <w:rPr>
          <w:rFonts w:ascii="Times New Roman" w:hAnsi="Times New Roman" w:cs="Times New Roman"/>
          <w:color w:val="000000"/>
          <w:lang w:val="en-US"/>
        </w:rPr>
        <w:t xml:space="preserve"> We substitute the antecedent with the first premiss, and after a </w:t>
      </w:r>
      <w:r w:rsidRPr="00AE533A">
        <w:rPr>
          <w:rFonts w:ascii="Times New Roman" w:hAnsi="Times New Roman" w:cs="Times New Roman"/>
          <w:color w:val="000000"/>
          <w:lang w:val="en-US"/>
        </w:rPr>
        <w:lastRenderedPageBreak/>
        <w:t>uniform substitution of its variables throughout the entire formula, the consequent that results is the proposition “if it is not light, then it is not day,” which we then extract by applying</w:t>
      </w:r>
      <w:r w:rsidRPr="00AE533A">
        <w:rPr>
          <w:rStyle w:val="apple-converted-space"/>
          <w:rFonts w:ascii="Times New Roman" w:hAnsi="Times New Roman" w:cs="Times New Roman"/>
          <w:color w:val="000000"/>
          <w:lang w:val="en-US"/>
        </w:rPr>
        <w:t> </w:t>
      </w:r>
      <w:r w:rsidRPr="00AE533A">
        <w:rPr>
          <w:rStyle w:val="Emphasis"/>
          <w:rFonts w:ascii="Times New Roman" w:hAnsi="Times New Roman" w:cs="Times New Roman"/>
          <w:color w:val="000000"/>
          <w:lang w:val="en-US"/>
        </w:rPr>
        <w:t>modus ponens</w:t>
      </w:r>
      <w:r w:rsidRPr="00AE533A">
        <w:rPr>
          <w:rFonts w:ascii="Times New Roman" w:hAnsi="Times New Roman" w:cs="Times New Roman"/>
          <w:color w:val="000000"/>
          <w:lang w:val="en-US"/>
        </w:rPr>
        <w:t>. We now take the second premiss together with the extracted consequent and, by applying the same</w:t>
      </w:r>
      <w:r w:rsidRPr="00AE533A">
        <w:rPr>
          <w:rStyle w:val="apple-converted-space"/>
          <w:rFonts w:ascii="Times New Roman" w:hAnsi="Times New Roman" w:cs="Times New Roman"/>
          <w:color w:val="000000"/>
          <w:lang w:val="en-US"/>
        </w:rPr>
        <w:t> </w:t>
      </w:r>
      <w:r w:rsidRPr="00AE533A">
        <w:rPr>
          <w:rStyle w:val="Emphasis"/>
          <w:rFonts w:ascii="Times New Roman" w:hAnsi="Times New Roman" w:cs="Times New Roman"/>
          <w:color w:val="000000"/>
          <w:lang w:val="en-US"/>
        </w:rPr>
        <w:t>modus</w:t>
      </w:r>
      <w:r w:rsidRPr="00AE533A">
        <w:rPr>
          <w:rFonts w:ascii="Times New Roman" w:hAnsi="Times New Roman" w:cs="Times New Roman"/>
          <w:color w:val="000000"/>
          <w:lang w:val="en-US"/>
        </w:rPr>
        <w:t>, derive the desired conclusion.</w:t>
      </w:r>
    </w:p>
    <w:p w14:paraId="279F9E44" w14:textId="77777777" w:rsidR="00E05786" w:rsidRPr="00AE533A" w:rsidRDefault="00E05786" w:rsidP="000C63FF">
      <w:pPr>
        <w:spacing w:line="360" w:lineRule="auto"/>
        <w:jc w:val="both"/>
        <w:rPr>
          <w:rFonts w:ascii="Times New Roman" w:hAnsi="Times New Roman" w:cs="Times New Roman"/>
          <w:color w:val="000000"/>
          <w:lang w:val="en-US"/>
        </w:rPr>
      </w:pPr>
    </w:p>
    <w:p w14:paraId="18A3FD20" w14:textId="77777777" w:rsidR="00E05786" w:rsidRPr="00AE533A" w:rsidRDefault="00E05786" w:rsidP="000C63FF">
      <w:pPr>
        <w:spacing w:line="360" w:lineRule="auto"/>
        <w:jc w:val="both"/>
        <w:rPr>
          <w:rFonts w:ascii="Times New Roman" w:hAnsi="Times New Roman" w:cs="Times New Roman"/>
          <w:lang w:val="en-US"/>
        </w:rPr>
      </w:pPr>
    </w:p>
    <w:sectPr w:rsidR="00E05786" w:rsidRPr="00AE533A">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635B" w14:textId="77777777" w:rsidR="00640664" w:rsidRDefault="00640664" w:rsidP="004073DD">
      <w:r>
        <w:separator/>
      </w:r>
    </w:p>
  </w:endnote>
  <w:endnote w:type="continuationSeparator" w:id="0">
    <w:p w14:paraId="7C1DB926" w14:textId="77777777" w:rsidR="00640664" w:rsidRDefault="00640664" w:rsidP="0040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9417332"/>
      <w:docPartObj>
        <w:docPartGallery w:val="Page Numbers (Bottom of Page)"/>
        <w:docPartUnique/>
      </w:docPartObj>
    </w:sdtPr>
    <w:sdtContent>
      <w:p w14:paraId="4888A11D" w14:textId="6FF7FB63" w:rsidR="000C63FF" w:rsidRDefault="000C63FF" w:rsidP="006D36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1B408F" w14:textId="77777777" w:rsidR="000C63FF" w:rsidRDefault="000C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0885612"/>
      <w:docPartObj>
        <w:docPartGallery w:val="Page Numbers (Bottom of Page)"/>
        <w:docPartUnique/>
      </w:docPartObj>
    </w:sdtPr>
    <w:sdtContent>
      <w:p w14:paraId="061EDB1F" w14:textId="3C8015DE" w:rsidR="000C63FF" w:rsidRDefault="000C63FF" w:rsidP="006D36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3</w:t>
        </w:r>
        <w:r>
          <w:rPr>
            <w:rStyle w:val="PageNumber"/>
          </w:rPr>
          <w:fldChar w:fldCharType="end"/>
        </w:r>
      </w:p>
    </w:sdtContent>
  </w:sdt>
  <w:p w14:paraId="2A5B281E" w14:textId="77777777" w:rsidR="000C63FF" w:rsidRDefault="000C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DC8D" w14:textId="77777777" w:rsidR="00640664" w:rsidRDefault="00640664" w:rsidP="004073DD">
      <w:r>
        <w:separator/>
      </w:r>
    </w:p>
  </w:footnote>
  <w:footnote w:type="continuationSeparator" w:id="0">
    <w:p w14:paraId="4A5A49DB" w14:textId="77777777" w:rsidR="00640664" w:rsidRDefault="00640664" w:rsidP="004073DD">
      <w:r>
        <w:continuationSeparator/>
      </w:r>
    </w:p>
  </w:footnote>
  <w:footnote w:id="1">
    <w:p w14:paraId="07272049" w14:textId="1D9207FE" w:rsidR="00047E93" w:rsidRPr="00047E93" w:rsidRDefault="00047E93">
      <w:pPr>
        <w:pStyle w:val="FootnoteText"/>
        <w:rPr>
          <w:lang w:val="en-US"/>
        </w:rPr>
      </w:pPr>
      <w:r>
        <w:rPr>
          <w:rStyle w:val="FootnoteReference"/>
        </w:rPr>
        <w:footnoteRef/>
      </w:r>
      <w:r>
        <w:t xml:space="preserve"> </w:t>
      </w:r>
      <w:r w:rsidRPr="00047E93">
        <w:rPr>
          <w:rStyle w:val="whitespace-normal"/>
          <w:i/>
          <w:iCs/>
          <w:color w:val="000000"/>
        </w:rPr>
        <w:t>Critique of Pure Reason</w:t>
      </w:r>
      <w:r>
        <w:rPr>
          <w:color w:val="000000"/>
        </w:rPr>
        <w:t>, 2nd edition, p. VII.</w:t>
      </w:r>
    </w:p>
  </w:footnote>
  <w:footnote w:id="2">
    <w:p w14:paraId="18B80AED" w14:textId="6E8BEF11" w:rsidR="00047E93" w:rsidRPr="00047E93" w:rsidRDefault="00047E93">
      <w:pPr>
        <w:pStyle w:val="FootnoteText"/>
        <w:rPr>
          <w:lang w:val="en-US"/>
        </w:rPr>
      </w:pPr>
      <w:r>
        <w:rPr>
          <w:rStyle w:val="FootnoteReference"/>
        </w:rPr>
        <w:footnoteRef/>
      </w:r>
      <w:r>
        <w:t xml:space="preserve"> </w:t>
      </w:r>
      <w:r w:rsidRPr="00047E93">
        <w:rPr>
          <w:rStyle w:val="whitespace-normal"/>
          <w:i/>
          <w:iCs/>
          <w:color w:val="000000"/>
        </w:rPr>
        <w:t>Begriffsschrift, eine der Arithmetischen nachgebildete Formelsprache des reinen Denkens</w:t>
      </w:r>
      <w:r>
        <w:rPr>
          <w:color w:val="000000"/>
        </w:rPr>
        <w:t>, Halle, 1879.</w:t>
      </w:r>
    </w:p>
  </w:footnote>
  <w:footnote w:id="3">
    <w:p w14:paraId="1156854C" w14:textId="24CDA444" w:rsidR="00047E93" w:rsidRPr="00047E93" w:rsidRDefault="00047E93">
      <w:pPr>
        <w:pStyle w:val="FootnoteText"/>
        <w:rPr>
          <w:lang w:val="en-US"/>
        </w:rPr>
      </w:pPr>
      <w:r>
        <w:rPr>
          <w:rStyle w:val="FootnoteReference"/>
        </w:rPr>
        <w:footnoteRef/>
      </w:r>
      <w:r>
        <w:t xml:space="preserve"> ‘</w:t>
      </w:r>
      <w:r>
        <w:rPr>
          <w:rStyle w:val="whitespace-normal"/>
          <w:color w:val="000000"/>
        </w:rPr>
        <w:t>Über Sinn und Bedeutung</w:t>
      </w:r>
      <w:r>
        <w:rPr>
          <w:color w:val="000000"/>
        </w:rPr>
        <w:t>,’</w:t>
      </w:r>
      <w:r>
        <w:rPr>
          <w:rStyle w:val="apple-converted-space"/>
          <w:color w:val="000000"/>
        </w:rPr>
        <w:t> </w:t>
      </w:r>
      <w:r>
        <w:rPr>
          <w:rStyle w:val="Emphasis"/>
          <w:color w:val="000000"/>
        </w:rPr>
        <w:t>Zeitschrift für Philosophie und Philosophische Kritik</w:t>
      </w:r>
      <w:r>
        <w:rPr>
          <w:color w:val="000000"/>
        </w:rPr>
        <w:t>, 100, 1892.</w:t>
      </w:r>
    </w:p>
  </w:footnote>
  <w:footnote w:id="4">
    <w:p w14:paraId="790BFBFE" w14:textId="6E2CAEBF" w:rsidR="00047E93" w:rsidRPr="00047E93" w:rsidRDefault="00047E93">
      <w:pPr>
        <w:pStyle w:val="FootnoteText"/>
      </w:pPr>
      <w:r>
        <w:rPr>
          <w:rStyle w:val="FootnoteReference"/>
        </w:rPr>
        <w:footnoteRef/>
      </w:r>
      <w:r>
        <w:t xml:space="preserve"> </w:t>
      </w:r>
      <w:r w:rsidRPr="00047E93">
        <w:rPr>
          <w:rStyle w:val="whitespace-normal"/>
          <w:i/>
          <w:iCs/>
          <w:color w:val="000000"/>
        </w:rPr>
        <w:t>Grundgesetze der Arithmetik</w:t>
      </w:r>
      <w:r>
        <w:rPr>
          <w:color w:val="000000"/>
        </w:rPr>
        <w:t>, Jena: H. Pohle, vol. I (1893), vol. II (1903).</w:t>
      </w:r>
    </w:p>
  </w:footnote>
  <w:footnote w:id="5">
    <w:p w14:paraId="371A5912" w14:textId="7E61CFF6" w:rsidR="00047E93" w:rsidRPr="00047E93" w:rsidRDefault="00047E93">
      <w:pPr>
        <w:pStyle w:val="FootnoteText"/>
        <w:rPr>
          <w:lang w:val="en-US"/>
        </w:rPr>
      </w:pPr>
      <w:r>
        <w:rPr>
          <w:rStyle w:val="FootnoteReference"/>
        </w:rPr>
        <w:footnoteRef/>
      </w:r>
      <w:r>
        <w:t xml:space="preserve"> </w:t>
      </w:r>
      <w:r>
        <w:rPr>
          <w:color w:val="000000"/>
        </w:rPr>
        <w:t>For example, that of</w:t>
      </w:r>
      <w:r>
        <w:rPr>
          <w:rStyle w:val="apple-converted-space"/>
          <w:color w:val="000000"/>
        </w:rPr>
        <w:t> </w:t>
      </w:r>
      <w:r>
        <w:rPr>
          <w:rStyle w:val="whitespace-normal"/>
          <w:color w:val="000000"/>
        </w:rPr>
        <w:t>Ernst Schröder</w:t>
      </w:r>
      <w:r>
        <w:rPr>
          <w:rStyle w:val="apple-converted-space"/>
          <w:color w:val="000000"/>
        </w:rPr>
        <w:t> </w:t>
      </w:r>
      <w:r>
        <w:rPr>
          <w:color w:val="000000"/>
        </w:rPr>
        <w:t>in</w:t>
      </w:r>
      <w:r>
        <w:rPr>
          <w:rStyle w:val="apple-converted-space"/>
          <w:color w:val="000000"/>
        </w:rPr>
        <w:t> </w:t>
      </w:r>
      <w:r>
        <w:rPr>
          <w:rStyle w:val="Emphasis"/>
          <w:color w:val="000000"/>
        </w:rPr>
        <w:t>Zeitschrift für Mathematik und Physik</w:t>
      </w:r>
      <w:r>
        <w:rPr>
          <w:color w:val="000000"/>
        </w:rPr>
        <w:t>, 25, 1880.</w:t>
      </w:r>
    </w:p>
  </w:footnote>
  <w:footnote w:id="6">
    <w:p w14:paraId="28D43CD4" w14:textId="2A80FB88" w:rsidR="00203CF3" w:rsidRPr="00203CF3" w:rsidRDefault="00203CF3">
      <w:pPr>
        <w:pStyle w:val="FootnoteText"/>
      </w:pPr>
      <w:r>
        <w:rPr>
          <w:rStyle w:val="FootnoteReference"/>
        </w:rPr>
        <w:footnoteRef/>
      </w:r>
      <w:r>
        <w:t xml:space="preserve"> </w:t>
      </w:r>
      <w:r w:rsidRPr="00203CF3">
        <w:rPr>
          <w:rStyle w:val="whitespace-normal"/>
          <w:rFonts w:eastAsiaTheme="majorEastAsia"/>
          <w:i/>
          <w:iCs/>
          <w:color w:val="000000"/>
        </w:rPr>
        <w:t>The Principles of Mathematics</w:t>
      </w:r>
      <w:r w:rsidRPr="00E05786">
        <w:rPr>
          <w:color w:val="000000"/>
        </w:rPr>
        <w:t>, Cambridge University Press, 1903</w:t>
      </w:r>
      <w:r>
        <w:rPr>
          <w:color w:val="000000"/>
        </w:rPr>
        <w:t>.</w:t>
      </w:r>
    </w:p>
  </w:footnote>
  <w:footnote w:id="7">
    <w:p w14:paraId="03ABA202" w14:textId="4E5628E2" w:rsidR="00203CF3" w:rsidRPr="00203CF3" w:rsidRDefault="00203CF3">
      <w:pPr>
        <w:pStyle w:val="FootnoteText"/>
        <w:rPr>
          <w:lang w:val="en-US"/>
        </w:rPr>
      </w:pPr>
      <w:r>
        <w:rPr>
          <w:rStyle w:val="FootnoteReference"/>
        </w:rPr>
        <w:footnoteRef/>
      </w:r>
      <w:r>
        <w:t xml:space="preserve"> </w:t>
      </w:r>
      <w:r w:rsidRPr="00E05786">
        <w:rPr>
          <w:rStyle w:val="whitespace-normal"/>
          <w:rFonts w:eastAsiaTheme="majorEastAsia"/>
          <w:color w:val="000000"/>
        </w:rPr>
        <w:t>T. W. Bynum</w:t>
      </w:r>
      <w:r w:rsidRPr="00E05786">
        <w:rPr>
          <w:rStyle w:val="apple-converted-space"/>
          <w:rFonts w:eastAsiaTheme="majorEastAsia"/>
          <w:color w:val="000000"/>
        </w:rPr>
        <w:t> </w:t>
      </w:r>
      <w:r w:rsidRPr="00E05786">
        <w:rPr>
          <w:color w:val="000000"/>
        </w:rPr>
        <w:t>renders the term as “conceptual notation.”</w:t>
      </w:r>
    </w:p>
  </w:footnote>
  <w:footnote w:id="8">
    <w:p w14:paraId="2C61CCD8" w14:textId="49B716A3" w:rsidR="00203CF3" w:rsidRPr="00203CF3" w:rsidRDefault="00203CF3">
      <w:pPr>
        <w:pStyle w:val="FootnoteText"/>
        <w:rPr>
          <w:lang w:val="en-US"/>
        </w:rPr>
      </w:pPr>
      <w:r>
        <w:rPr>
          <w:rStyle w:val="FootnoteReference"/>
        </w:rPr>
        <w:footnoteRef/>
      </w:r>
      <w:r>
        <w:t xml:space="preserve"> </w:t>
      </w:r>
      <w:r w:rsidRPr="00E05786">
        <w:rPr>
          <w:rStyle w:val="whitespace-normal"/>
          <w:rFonts w:eastAsiaTheme="majorEastAsia"/>
          <w:color w:val="000000"/>
        </w:rPr>
        <w:t>Die Grundlagen der Arithmetik</w:t>
      </w:r>
      <w:r w:rsidRPr="00E05786">
        <w:rPr>
          <w:color w:val="000000"/>
        </w:rPr>
        <w:t>:</w:t>
      </w:r>
      <w:r w:rsidRPr="00E05786">
        <w:rPr>
          <w:rStyle w:val="apple-converted-space"/>
          <w:rFonts w:eastAsiaTheme="majorEastAsia"/>
          <w:color w:val="000000"/>
        </w:rPr>
        <w:t> </w:t>
      </w:r>
      <w:r w:rsidRPr="00E05786">
        <w:rPr>
          <w:rStyle w:val="Emphasis"/>
          <w:rFonts w:eastAsiaTheme="majorEastAsia"/>
          <w:color w:val="000000"/>
        </w:rPr>
        <w:t>Eine logisch-mathematische Untersuchung über den Begriff der Zahl</w:t>
      </w:r>
      <w:r w:rsidRPr="00E05786">
        <w:rPr>
          <w:color w:val="000000"/>
        </w:rPr>
        <w:t>, Breslau, 1884.</w:t>
      </w:r>
    </w:p>
  </w:footnote>
  <w:footnote w:id="9">
    <w:p w14:paraId="62C05811" w14:textId="13A8DA22" w:rsidR="00203CF3" w:rsidRPr="00203CF3" w:rsidRDefault="00203CF3">
      <w:pPr>
        <w:pStyle w:val="FootnoteText"/>
        <w:rPr>
          <w:lang w:val="en-US"/>
        </w:rPr>
      </w:pPr>
      <w:r>
        <w:rPr>
          <w:rStyle w:val="FootnoteReference"/>
        </w:rPr>
        <w:footnoteRef/>
      </w:r>
      <w:r>
        <w:t xml:space="preserve"> </w:t>
      </w:r>
      <w:r w:rsidRPr="00E05786">
        <w:rPr>
          <w:color w:val="000000"/>
        </w:rPr>
        <w:t>See the famous example of the proposition “7 + 5 = 12” in</w:t>
      </w:r>
      <w:r w:rsidRPr="00E05786">
        <w:rPr>
          <w:rStyle w:val="apple-converted-space"/>
          <w:rFonts w:eastAsiaTheme="majorEastAsia"/>
          <w:color w:val="000000"/>
        </w:rPr>
        <w:t> </w:t>
      </w:r>
      <w:r w:rsidRPr="00203CF3">
        <w:rPr>
          <w:rStyle w:val="whitespace-normal"/>
          <w:rFonts w:eastAsiaTheme="majorEastAsia"/>
          <w:i/>
          <w:iCs/>
          <w:color w:val="000000"/>
        </w:rPr>
        <w:t>Critique of Pure Reason</w:t>
      </w:r>
      <w:r w:rsidRPr="00E05786">
        <w:rPr>
          <w:color w:val="000000"/>
        </w:rPr>
        <w:t>, 2nd edition, p. 15.</w:t>
      </w:r>
    </w:p>
  </w:footnote>
  <w:footnote w:id="10">
    <w:p w14:paraId="443D391C" w14:textId="01978023" w:rsidR="00203CF3" w:rsidRPr="00203CF3" w:rsidRDefault="00203CF3">
      <w:pPr>
        <w:pStyle w:val="FootnoteText"/>
        <w:rPr>
          <w:lang w:val="en-US"/>
        </w:rPr>
      </w:pPr>
      <w:r>
        <w:rPr>
          <w:rStyle w:val="FootnoteReference"/>
        </w:rPr>
        <w:footnoteRef/>
      </w:r>
      <w:r>
        <w:t xml:space="preserve"> </w:t>
      </w:r>
      <w:r w:rsidRPr="00E05786">
        <w:rPr>
          <w:rStyle w:val="Emphasis"/>
          <w:rFonts w:eastAsiaTheme="majorEastAsia"/>
          <w:color w:val="000000"/>
        </w:rPr>
        <w:t>Ideography</w:t>
      </w:r>
      <w:r w:rsidRPr="00E05786">
        <w:rPr>
          <w:color w:val="000000"/>
        </w:rPr>
        <w:t>, p. V of the Introduction (Roman numerals refer to the Preface, Arabic numerals to the main text, following the German edition).</w:t>
      </w:r>
    </w:p>
  </w:footnote>
  <w:footnote w:id="11">
    <w:p w14:paraId="3B22B8F1" w14:textId="5BB65A7C" w:rsidR="00203CF3" w:rsidRPr="00203CF3" w:rsidRDefault="00203CF3">
      <w:pPr>
        <w:pStyle w:val="FootnoteText"/>
        <w:rPr>
          <w:lang w:val="en-US"/>
        </w:rPr>
      </w:pPr>
      <w:r>
        <w:rPr>
          <w:rStyle w:val="FootnoteReference"/>
        </w:rPr>
        <w:footnoteRef/>
      </w:r>
      <w:r>
        <w:t xml:space="preserve"> </w:t>
      </w:r>
      <w:r w:rsidRPr="00E05786">
        <w:rPr>
          <w:rStyle w:val="Emphasis"/>
          <w:rFonts w:eastAsiaTheme="majorEastAsia"/>
          <w:color w:val="000000"/>
        </w:rPr>
        <w:t>Ideography</w:t>
      </w:r>
      <w:r w:rsidRPr="00E05786">
        <w:rPr>
          <w:color w:val="000000"/>
        </w:rPr>
        <w:t>, p. 2.</w:t>
      </w:r>
    </w:p>
  </w:footnote>
  <w:footnote w:id="12">
    <w:p w14:paraId="587C35B1" w14:textId="7F1695BF" w:rsidR="00203CF3" w:rsidRPr="00203CF3" w:rsidRDefault="00203CF3">
      <w:pPr>
        <w:pStyle w:val="FootnoteText"/>
        <w:rPr>
          <w:lang w:val="en-US"/>
        </w:rPr>
      </w:pPr>
      <w:r>
        <w:rPr>
          <w:rStyle w:val="FootnoteReference"/>
        </w:rPr>
        <w:footnoteRef/>
      </w:r>
      <w:r>
        <w:t xml:space="preserve"> </w:t>
      </w:r>
      <w:r w:rsidRPr="00E05786">
        <w:rPr>
          <w:color w:val="000000"/>
        </w:rPr>
        <w:t>The authorship of material implication is attributed to</w:t>
      </w:r>
      <w:r w:rsidRPr="00E05786">
        <w:rPr>
          <w:rStyle w:val="apple-converted-space"/>
          <w:rFonts w:eastAsiaTheme="majorEastAsia"/>
          <w:color w:val="000000"/>
        </w:rPr>
        <w:t> </w:t>
      </w:r>
      <w:r w:rsidRPr="00E05786">
        <w:rPr>
          <w:rStyle w:val="whitespace-normal"/>
          <w:rFonts w:eastAsiaTheme="majorEastAsia"/>
          <w:color w:val="000000"/>
        </w:rPr>
        <w:t>Philo of Megara</w:t>
      </w:r>
      <w:r w:rsidRPr="00E05786">
        <w:rPr>
          <w:color w:val="000000"/>
        </w:rPr>
        <w:t xml:space="preserve">; see </w:t>
      </w:r>
      <w:r w:rsidRPr="00203CF3">
        <w:rPr>
          <w:i/>
          <w:iCs/>
          <w:color w:val="000000"/>
        </w:rPr>
        <w:t>Kneale &amp; Kneale</w:t>
      </w:r>
      <w:r w:rsidRPr="00E05786">
        <w:rPr>
          <w:color w:val="000000"/>
        </w:rPr>
        <w:t>, p. 128 ff.</w:t>
      </w:r>
    </w:p>
  </w:footnote>
  <w:footnote w:id="13">
    <w:p w14:paraId="3802D20E" w14:textId="5B929832" w:rsidR="00203CF3" w:rsidRPr="00203CF3" w:rsidRDefault="00203CF3">
      <w:pPr>
        <w:pStyle w:val="FootnoteText"/>
        <w:rPr>
          <w:lang w:val="en-US"/>
        </w:rPr>
      </w:pPr>
      <w:r>
        <w:rPr>
          <w:rStyle w:val="FootnoteReference"/>
        </w:rPr>
        <w:footnoteRef/>
      </w:r>
      <w:r>
        <w:t xml:space="preserve"> </w:t>
      </w:r>
      <w:r w:rsidRPr="00E05786">
        <w:rPr>
          <w:rStyle w:val="Emphasis"/>
          <w:rFonts w:eastAsiaTheme="majorEastAsia"/>
          <w:color w:val="000000"/>
        </w:rPr>
        <w:t>Ideography</w:t>
      </w:r>
      <w:r w:rsidRPr="00E05786">
        <w:rPr>
          <w:color w:val="000000"/>
        </w:rPr>
        <w:t>, p. 9.</w:t>
      </w:r>
    </w:p>
  </w:footnote>
  <w:footnote w:id="14">
    <w:p w14:paraId="3E9FF4CE" w14:textId="21D941D2" w:rsidR="00031B7C" w:rsidRPr="00031B7C" w:rsidRDefault="00031B7C">
      <w:pPr>
        <w:pStyle w:val="FootnoteText"/>
        <w:rPr>
          <w:lang w:val="en-US"/>
        </w:rPr>
      </w:pPr>
      <w:r>
        <w:rPr>
          <w:rStyle w:val="FootnoteReference"/>
        </w:rPr>
        <w:footnoteRef/>
      </w:r>
      <w:r>
        <w:t xml:space="preserve"> </w:t>
      </w:r>
      <w:r w:rsidRPr="00031B7C">
        <w:rPr>
          <w:rStyle w:val="whitespace-normal"/>
          <w:rFonts w:eastAsiaTheme="majorEastAsia"/>
          <w:i/>
          <w:iCs/>
          <w:color w:val="000000"/>
        </w:rPr>
        <w:t>Principia Mathematica</w:t>
      </w:r>
      <w:r w:rsidRPr="00E05786">
        <w:rPr>
          <w:color w:val="000000"/>
        </w:rPr>
        <w:t>, Cambridge University Press, vol. I (1910), vol. II (1912), vol. III (1913).</w:t>
      </w:r>
    </w:p>
  </w:footnote>
  <w:footnote w:id="15">
    <w:p w14:paraId="3E5CD2E3" w14:textId="5E4B90B5" w:rsidR="00031B7C" w:rsidRPr="00031B7C" w:rsidRDefault="00031B7C">
      <w:pPr>
        <w:pStyle w:val="FootnoteText"/>
      </w:pPr>
      <w:r>
        <w:rPr>
          <w:rStyle w:val="FootnoteReference"/>
        </w:rPr>
        <w:footnoteRef/>
      </w:r>
      <w:r>
        <w:t xml:space="preserve"> </w:t>
      </w:r>
      <w:r w:rsidRPr="00031B7C">
        <w:t>For this reason, modus ponens is also called the “rule of detachment.”</w:t>
      </w:r>
    </w:p>
  </w:footnote>
  <w:footnote w:id="16">
    <w:p w14:paraId="64038B41" w14:textId="60367BBB" w:rsidR="00031B7C" w:rsidRPr="00031B7C" w:rsidRDefault="00031B7C">
      <w:pPr>
        <w:pStyle w:val="FootnoteText"/>
        <w:rPr>
          <w:lang w:val="en-US"/>
        </w:rPr>
      </w:pPr>
      <w:r>
        <w:rPr>
          <w:rStyle w:val="FootnoteReference"/>
        </w:rPr>
        <w:footnoteRef/>
      </w:r>
      <w:r>
        <w:t xml:space="preserve"> </w:t>
      </w:r>
      <w:r w:rsidRPr="00E05786">
        <w:rPr>
          <w:color w:val="000000"/>
        </w:rPr>
        <w:t>Sections 13–22.</w:t>
      </w:r>
    </w:p>
  </w:footnote>
  <w:footnote w:id="17">
    <w:p w14:paraId="5EB1F287" w14:textId="6BB4EE2D" w:rsidR="00031B7C" w:rsidRPr="00031B7C" w:rsidRDefault="00031B7C">
      <w:pPr>
        <w:pStyle w:val="FootnoteText"/>
        <w:rPr>
          <w:lang w:val="en-US"/>
        </w:rPr>
      </w:pPr>
      <w:r>
        <w:rPr>
          <w:rStyle w:val="FootnoteReference"/>
        </w:rPr>
        <w:footnoteRef/>
      </w:r>
      <w:r>
        <w:t xml:space="preserve"> </w:t>
      </w:r>
      <w:r w:rsidRPr="00E05786">
        <w:rPr>
          <w:rStyle w:val="whitespace-normal"/>
          <w:rFonts w:eastAsiaTheme="majorEastAsia"/>
          <w:i/>
          <w:iCs/>
          <w:color w:val="000000"/>
        </w:rPr>
        <w:t>Prior Analytics</w:t>
      </w:r>
      <w:r w:rsidRPr="00E05786">
        <w:rPr>
          <w:color w:val="000000"/>
        </w:rPr>
        <w:t>, 25b38.</w:t>
      </w:r>
    </w:p>
  </w:footnote>
  <w:footnote w:id="18">
    <w:p w14:paraId="73D7725A" w14:textId="445F3DD8" w:rsidR="00031B7C" w:rsidRPr="00031B7C" w:rsidRDefault="00031B7C">
      <w:pPr>
        <w:pStyle w:val="FootnoteText"/>
        <w:rPr>
          <w:lang w:val="en-US"/>
        </w:rPr>
      </w:pPr>
      <w:r>
        <w:rPr>
          <w:rStyle w:val="FootnoteReference"/>
        </w:rPr>
        <w:footnoteRef/>
      </w:r>
      <w:r>
        <w:t xml:space="preserve"> </w:t>
      </w:r>
      <w:r w:rsidRPr="00E05786">
        <w:rPr>
          <w:rStyle w:val="Emphasis"/>
          <w:rFonts w:eastAsiaTheme="majorEastAsia"/>
          <w:color w:val="000000"/>
        </w:rPr>
        <w:t>Ideography</w:t>
      </w:r>
      <w:r w:rsidRPr="00E05786">
        <w:rPr>
          <w:color w:val="000000"/>
        </w:rPr>
        <w:t>, p. 24.</w:t>
      </w:r>
    </w:p>
  </w:footnote>
  <w:footnote w:id="19">
    <w:p w14:paraId="2D04D980" w14:textId="48092FBC" w:rsidR="00031B7C" w:rsidRPr="00031B7C" w:rsidRDefault="00031B7C">
      <w:pPr>
        <w:pStyle w:val="FootnoteText"/>
        <w:rPr>
          <w:lang w:val="en-US"/>
        </w:rPr>
      </w:pPr>
      <w:r>
        <w:rPr>
          <w:rStyle w:val="FootnoteReference"/>
        </w:rPr>
        <w:footnoteRef/>
      </w:r>
      <w:r>
        <w:t xml:space="preserve"> </w:t>
      </w:r>
      <w:r w:rsidRPr="00E05786">
        <w:rPr>
          <w:rStyle w:val="Emphasis"/>
          <w:rFonts w:eastAsiaTheme="majorEastAsia"/>
          <w:color w:val="000000"/>
        </w:rPr>
        <w:t>Ideography</w:t>
      </w:r>
      <w:r w:rsidRPr="00E05786">
        <w:rPr>
          <w:color w:val="000000"/>
        </w:rPr>
        <w:t>, p. 2.</w:t>
      </w:r>
    </w:p>
  </w:footnote>
  <w:footnote w:id="20">
    <w:p w14:paraId="1C226F7D" w14:textId="2815E864" w:rsidR="000C63FF" w:rsidRPr="000C63FF" w:rsidRDefault="000C63FF">
      <w:pPr>
        <w:pStyle w:val="FootnoteText"/>
        <w:rPr>
          <w:lang w:val="en-US"/>
        </w:rPr>
      </w:pPr>
      <w:r>
        <w:rPr>
          <w:rStyle w:val="FootnoteReference"/>
        </w:rPr>
        <w:footnoteRef/>
      </w:r>
      <w:r>
        <w:t xml:space="preserve"> </w:t>
      </w:r>
      <w:r w:rsidRPr="00E05786">
        <w:rPr>
          <w:color w:val="000000"/>
        </w:rPr>
        <w:t>The second schema of</w:t>
      </w:r>
      <w:r w:rsidRPr="00E05786">
        <w:rPr>
          <w:rStyle w:val="apple-converted-space"/>
          <w:rFonts w:eastAsiaTheme="majorEastAsia"/>
          <w:color w:val="000000"/>
        </w:rPr>
        <w:t> </w:t>
      </w:r>
      <w:r w:rsidRPr="00E05786">
        <w:rPr>
          <w:rStyle w:val="whitespace-normal"/>
          <w:rFonts w:eastAsiaTheme="majorEastAsia"/>
          <w:color w:val="000000"/>
        </w:rPr>
        <w:t>Chrysippus</w:t>
      </w:r>
      <w:r w:rsidRPr="00E05786">
        <w:rPr>
          <w:color w:val="000000"/>
        </w:rPr>
        <w:t>.</w:t>
      </w:r>
    </w:p>
  </w:footnote>
  <w:footnote w:id="21">
    <w:p w14:paraId="7FDC8D5F" w14:textId="1874857A" w:rsidR="000C63FF" w:rsidRPr="000C63FF" w:rsidRDefault="000C63FF">
      <w:pPr>
        <w:pStyle w:val="FootnoteText"/>
        <w:rPr>
          <w:lang w:val="en-US"/>
        </w:rPr>
      </w:pPr>
      <w:r>
        <w:rPr>
          <w:rStyle w:val="FootnoteReference"/>
        </w:rPr>
        <w:footnoteRef/>
      </w:r>
      <w:r>
        <w:t xml:space="preserve"> </w:t>
      </w:r>
      <w:r w:rsidRPr="00E05786">
        <w:rPr>
          <w:color w:val="000000"/>
        </w:rPr>
        <w:t>We further clarify that certain minor technical details have been omitted which would render the present inferential form consistent not only in spirit but also in letter with the</w:t>
      </w:r>
      <w:r w:rsidRPr="00E05786">
        <w:rPr>
          <w:rStyle w:val="apple-converted-space"/>
          <w:rFonts w:eastAsiaTheme="majorEastAsia"/>
          <w:color w:val="000000"/>
        </w:rPr>
        <w:t> </w:t>
      </w:r>
      <w:r w:rsidRPr="00E05786">
        <w:rPr>
          <w:rStyle w:val="Emphasis"/>
          <w:rFonts w:eastAsiaTheme="majorEastAsia"/>
          <w:color w:val="000000"/>
        </w:rPr>
        <w:t>Ideography</w:t>
      </w:r>
      <w:r w:rsidRPr="00E05786">
        <w:rPr>
          <w:color w:val="000000"/>
        </w:rPr>
        <w:t>.</w:t>
      </w:r>
    </w:p>
  </w:footnote>
  <w:footnote w:id="22">
    <w:p w14:paraId="348A1C9C" w14:textId="4FE28483" w:rsidR="000C63FF" w:rsidRPr="000C63FF" w:rsidRDefault="000C63FF">
      <w:pPr>
        <w:pStyle w:val="FootnoteText"/>
        <w:rPr>
          <w:lang w:val="en-US"/>
        </w:rPr>
      </w:pPr>
      <w:r>
        <w:rPr>
          <w:rStyle w:val="FootnoteReference"/>
        </w:rPr>
        <w:footnoteRef/>
      </w:r>
      <w:r>
        <w:t xml:space="preserve"> </w:t>
      </w:r>
      <m:oMath>
        <m:d>
          <m:dPr>
            <m:ctrlPr>
              <w:rPr>
                <w:rFonts w:ascii="Cambria Math" w:hAnsi="Cambria Math"/>
              </w:rPr>
            </m:ctrlPr>
          </m:dPr>
          <m:e>
            <m:r>
              <w:rPr>
                <w:rFonts w:ascii="Cambria Math" w:hAnsi="Cambria Math"/>
              </w:rPr>
              <m:t>p→q)⇔(</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p</m:t>
            </m:r>
          </m:e>
        </m:d>
      </m:oMath>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4F4A"/>
    <w:multiLevelType w:val="multilevel"/>
    <w:tmpl w:val="2F92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71402B"/>
    <w:multiLevelType w:val="multilevel"/>
    <w:tmpl w:val="E8CC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4022A0"/>
    <w:multiLevelType w:val="hybridMultilevel"/>
    <w:tmpl w:val="732A7EBE"/>
    <w:lvl w:ilvl="0" w:tplc="5EAED164">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556321">
    <w:abstractNumId w:val="0"/>
  </w:num>
  <w:num w:numId="2" w16cid:durableId="468089494">
    <w:abstractNumId w:val="1"/>
  </w:num>
  <w:num w:numId="3" w16cid:durableId="1800880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DD"/>
    <w:rsid w:val="00031B7C"/>
    <w:rsid w:val="00047E93"/>
    <w:rsid w:val="000C63FF"/>
    <w:rsid w:val="000F1C01"/>
    <w:rsid w:val="0011288C"/>
    <w:rsid w:val="00191B44"/>
    <w:rsid w:val="00203CF3"/>
    <w:rsid w:val="00273A7A"/>
    <w:rsid w:val="004073DD"/>
    <w:rsid w:val="0041172A"/>
    <w:rsid w:val="0041202C"/>
    <w:rsid w:val="004121A8"/>
    <w:rsid w:val="00416DDF"/>
    <w:rsid w:val="00482C18"/>
    <w:rsid w:val="004F337F"/>
    <w:rsid w:val="005D59B6"/>
    <w:rsid w:val="00640664"/>
    <w:rsid w:val="00687287"/>
    <w:rsid w:val="006A4326"/>
    <w:rsid w:val="00746C49"/>
    <w:rsid w:val="0079091E"/>
    <w:rsid w:val="007A7DC4"/>
    <w:rsid w:val="008F2E9F"/>
    <w:rsid w:val="0094796F"/>
    <w:rsid w:val="0096226F"/>
    <w:rsid w:val="009E4F25"/>
    <w:rsid w:val="009E6126"/>
    <w:rsid w:val="00A00CFA"/>
    <w:rsid w:val="00AE533A"/>
    <w:rsid w:val="00B07C7B"/>
    <w:rsid w:val="00B23D48"/>
    <w:rsid w:val="00DA2FC4"/>
    <w:rsid w:val="00E05786"/>
    <w:rsid w:val="00E21745"/>
    <w:rsid w:val="00E31D38"/>
    <w:rsid w:val="00E60BB7"/>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3CE2"/>
  <w15:chartTrackingRefBased/>
  <w15:docId w15:val="{A3BB9F88-4342-3540-9C1D-A77B2A34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3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3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3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3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3DD"/>
    <w:rPr>
      <w:rFonts w:eastAsiaTheme="majorEastAsia" w:cstheme="majorBidi"/>
      <w:color w:val="272727" w:themeColor="text1" w:themeTint="D8"/>
    </w:rPr>
  </w:style>
  <w:style w:type="paragraph" w:styleId="Title">
    <w:name w:val="Title"/>
    <w:basedOn w:val="Normal"/>
    <w:next w:val="Normal"/>
    <w:link w:val="TitleChar"/>
    <w:uiPriority w:val="10"/>
    <w:qFormat/>
    <w:rsid w:val="004073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3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3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3DD"/>
    <w:rPr>
      <w:i/>
      <w:iCs/>
      <w:color w:val="404040" w:themeColor="text1" w:themeTint="BF"/>
    </w:rPr>
  </w:style>
  <w:style w:type="paragraph" w:styleId="ListParagraph">
    <w:name w:val="List Paragraph"/>
    <w:basedOn w:val="Normal"/>
    <w:uiPriority w:val="34"/>
    <w:qFormat/>
    <w:rsid w:val="004073DD"/>
    <w:pPr>
      <w:ind w:left="720"/>
      <w:contextualSpacing/>
    </w:pPr>
  </w:style>
  <w:style w:type="character" w:styleId="IntenseEmphasis">
    <w:name w:val="Intense Emphasis"/>
    <w:basedOn w:val="DefaultParagraphFont"/>
    <w:uiPriority w:val="21"/>
    <w:qFormat/>
    <w:rsid w:val="004073DD"/>
    <w:rPr>
      <w:i/>
      <w:iCs/>
      <w:color w:val="0F4761" w:themeColor="accent1" w:themeShade="BF"/>
    </w:rPr>
  </w:style>
  <w:style w:type="paragraph" w:styleId="IntenseQuote">
    <w:name w:val="Intense Quote"/>
    <w:basedOn w:val="Normal"/>
    <w:next w:val="Normal"/>
    <w:link w:val="IntenseQuoteChar"/>
    <w:uiPriority w:val="30"/>
    <w:qFormat/>
    <w:rsid w:val="00407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3DD"/>
    <w:rPr>
      <w:i/>
      <w:iCs/>
      <w:color w:val="0F4761" w:themeColor="accent1" w:themeShade="BF"/>
    </w:rPr>
  </w:style>
  <w:style w:type="character" w:styleId="IntenseReference">
    <w:name w:val="Intense Reference"/>
    <w:basedOn w:val="DefaultParagraphFont"/>
    <w:uiPriority w:val="32"/>
    <w:qFormat/>
    <w:rsid w:val="004073DD"/>
    <w:rPr>
      <w:b/>
      <w:bCs/>
      <w:smallCaps/>
      <w:color w:val="0F4761" w:themeColor="accent1" w:themeShade="BF"/>
      <w:spacing w:val="5"/>
    </w:rPr>
  </w:style>
  <w:style w:type="paragraph" w:styleId="NormalWeb">
    <w:name w:val="Normal (Web)"/>
    <w:basedOn w:val="Normal"/>
    <w:uiPriority w:val="99"/>
    <w:semiHidden/>
    <w:unhideWhenUsed/>
    <w:rsid w:val="004073D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073DD"/>
    <w:rPr>
      <w:b/>
      <w:bCs/>
    </w:rPr>
  </w:style>
  <w:style w:type="character" w:customStyle="1" w:styleId="apple-converted-space">
    <w:name w:val="apple-converted-space"/>
    <w:basedOn w:val="DefaultParagraphFont"/>
    <w:rsid w:val="004073DD"/>
  </w:style>
  <w:style w:type="character" w:styleId="Emphasis">
    <w:name w:val="Emphasis"/>
    <w:basedOn w:val="DefaultParagraphFont"/>
    <w:uiPriority w:val="20"/>
    <w:qFormat/>
    <w:rsid w:val="004073DD"/>
    <w:rPr>
      <w:i/>
      <w:iCs/>
    </w:rPr>
  </w:style>
  <w:style w:type="character" w:customStyle="1" w:styleId="whitespace-normal">
    <w:name w:val="whitespace-normal"/>
    <w:basedOn w:val="DefaultParagraphFont"/>
    <w:rsid w:val="004073DD"/>
  </w:style>
  <w:style w:type="paragraph" w:styleId="FootnoteText">
    <w:name w:val="footnote text"/>
    <w:basedOn w:val="Normal"/>
    <w:link w:val="FootnoteTextChar"/>
    <w:uiPriority w:val="99"/>
    <w:semiHidden/>
    <w:unhideWhenUsed/>
    <w:rsid w:val="00047E93"/>
    <w:rPr>
      <w:sz w:val="20"/>
      <w:szCs w:val="20"/>
    </w:rPr>
  </w:style>
  <w:style w:type="character" w:customStyle="1" w:styleId="FootnoteTextChar">
    <w:name w:val="Footnote Text Char"/>
    <w:basedOn w:val="DefaultParagraphFont"/>
    <w:link w:val="FootnoteText"/>
    <w:uiPriority w:val="99"/>
    <w:semiHidden/>
    <w:rsid w:val="00047E93"/>
    <w:rPr>
      <w:sz w:val="20"/>
      <w:szCs w:val="20"/>
    </w:rPr>
  </w:style>
  <w:style w:type="character" w:styleId="FootnoteReference">
    <w:name w:val="footnote reference"/>
    <w:basedOn w:val="DefaultParagraphFont"/>
    <w:uiPriority w:val="99"/>
    <w:semiHidden/>
    <w:unhideWhenUsed/>
    <w:rsid w:val="00047E93"/>
    <w:rPr>
      <w:vertAlign w:val="superscript"/>
    </w:rPr>
  </w:style>
  <w:style w:type="paragraph" w:styleId="Footer">
    <w:name w:val="footer"/>
    <w:basedOn w:val="Normal"/>
    <w:link w:val="FooterChar"/>
    <w:uiPriority w:val="99"/>
    <w:unhideWhenUsed/>
    <w:rsid w:val="000C63FF"/>
    <w:pPr>
      <w:tabs>
        <w:tab w:val="center" w:pos="4513"/>
        <w:tab w:val="right" w:pos="9026"/>
      </w:tabs>
    </w:pPr>
  </w:style>
  <w:style w:type="character" w:customStyle="1" w:styleId="FooterChar">
    <w:name w:val="Footer Char"/>
    <w:basedOn w:val="DefaultParagraphFont"/>
    <w:link w:val="Footer"/>
    <w:uiPriority w:val="99"/>
    <w:rsid w:val="000C63FF"/>
  </w:style>
  <w:style w:type="character" w:styleId="PageNumber">
    <w:name w:val="page number"/>
    <w:basedOn w:val="DefaultParagraphFont"/>
    <w:uiPriority w:val="99"/>
    <w:semiHidden/>
    <w:unhideWhenUsed/>
    <w:rsid w:val="000C6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CE15B-19C2-9346-A48A-207F55F3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12</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Kapantais Doukas</dc:creator>
  <cp:keywords/>
  <dc:description/>
  <cp:lastModifiedBy>Kapantais Doukas</cp:lastModifiedBy>
  <cp:revision>4</cp:revision>
  <dcterms:created xsi:type="dcterms:W3CDTF">2026-01-14T22:30:00Z</dcterms:created>
  <dcterms:modified xsi:type="dcterms:W3CDTF">2026-01-17T17:05:00Z</dcterms:modified>
</cp:coreProperties>
</file>