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FBE7" w14:textId="3E475227" w:rsidR="009C12D1" w:rsidRPr="00826BB9" w:rsidRDefault="009C12D1" w:rsidP="009C12D1">
      <w:pPr>
        <w:pStyle w:val="NormalWeb"/>
        <w:rPr>
          <w:color w:val="000000"/>
          <w:sz w:val="22"/>
          <w:szCs w:val="22"/>
          <w:lang w:val="el-GR"/>
        </w:rPr>
      </w:pPr>
      <w:r w:rsidRPr="00826BB9">
        <w:rPr>
          <w:color w:val="000000"/>
          <w:sz w:val="22"/>
          <w:szCs w:val="22"/>
          <w:lang w:val="en-US"/>
        </w:rPr>
        <w:t>Translation</w:t>
      </w:r>
      <w:r w:rsidRPr="00826BB9">
        <w:rPr>
          <w:color w:val="000000"/>
          <w:sz w:val="22"/>
          <w:szCs w:val="22"/>
          <w:lang w:val="el-GR"/>
        </w:rPr>
        <w:t xml:space="preserve"> </w:t>
      </w:r>
      <w:r w:rsidRPr="00826BB9">
        <w:rPr>
          <w:color w:val="000000"/>
          <w:sz w:val="22"/>
          <w:szCs w:val="22"/>
          <w:lang w:val="en-US"/>
        </w:rPr>
        <w:t>of</w:t>
      </w:r>
      <w:r w:rsidRPr="00826BB9">
        <w:rPr>
          <w:color w:val="000000"/>
          <w:sz w:val="22"/>
          <w:szCs w:val="22"/>
          <w:lang w:val="el-GR"/>
        </w:rPr>
        <w:t xml:space="preserve"> </w:t>
      </w:r>
      <w:r w:rsidRPr="00826BB9">
        <w:rPr>
          <w:color w:val="000000"/>
          <w:sz w:val="22"/>
          <w:szCs w:val="22"/>
          <w:lang w:val="en-US"/>
        </w:rPr>
        <w:t>pp</w:t>
      </w:r>
      <w:r w:rsidRPr="00826BB9">
        <w:rPr>
          <w:color w:val="000000"/>
          <w:sz w:val="22"/>
          <w:szCs w:val="22"/>
          <w:lang w:val="el-GR"/>
        </w:rPr>
        <w:t xml:space="preserve">. </w:t>
      </w:r>
      <w:r w:rsidRPr="009C12D1">
        <w:rPr>
          <w:color w:val="000000"/>
          <w:sz w:val="22"/>
          <w:szCs w:val="22"/>
          <w:lang w:val="el-GR"/>
        </w:rPr>
        <w:t>13</w:t>
      </w:r>
      <w:r w:rsidRPr="00826BB9">
        <w:rPr>
          <w:color w:val="000000"/>
          <w:sz w:val="22"/>
          <w:szCs w:val="22"/>
          <w:lang w:val="el-GR"/>
        </w:rPr>
        <w:t>-</w:t>
      </w:r>
      <w:r w:rsidRPr="009C12D1">
        <w:rPr>
          <w:color w:val="000000"/>
          <w:sz w:val="22"/>
          <w:szCs w:val="22"/>
          <w:lang w:val="el-GR"/>
        </w:rPr>
        <w:t>43</w:t>
      </w:r>
      <w:r w:rsidRPr="00826BB9">
        <w:rPr>
          <w:color w:val="000000"/>
          <w:sz w:val="22"/>
          <w:szCs w:val="22"/>
          <w:lang w:val="el-GR"/>
        </w:rPr>
        <w:t xml:space="preserve"> </w:t>
      </w:r>
      <w:r w:rsidRPr="00826BB9">
        <w:rPr>
          <w:color w:val="000000"/>
          <w:sz w:val="22"/>
          <w:szCs w:val="22"/>
          <w:lang w:val="en-US"/>
        </w:rPr>
        <w:t>of</w:t>
      </w:r>
      <w:r w:rsidRPr="00826BB9">
        <w:rPr>
          <w:color w:val="000000"/>
          <w:sz w:val="22"/>
          <w:szCs w:val="22"/>
          <w:lang w:val="el-GR"/>
        </w:rPr>
        <w:t xml:space="preserve">: Δ. Καπάνταης – Γ. Καραμανώλης, Αριστοτέλης, </w:t>
      </w:r>
      <w:r w:rsidRPr="00826BB9">
        <w:rPr>
          <w:i/>
          <w:iCs/>
          <w:color w:val="000000"/>
          <w:sz w:val="22"/>
          <w:szCs w:val="22"/>
          <w:lang w:val="el-GR"/>
        </w:rPr>
        <w:t xml:space="preserve">Αναλυτικά Πρότερα, </w:t>
      </w:r>
      <w:r w:rsidRPr="00826BB9">
        <w:rPr>
          <w:i/>
          <w:iCs/>
          <w:color w:val="000000"/>
          <w:sz w:val="22"/>
          <w:szCs w:val="22"/>
          <w:lang w:val="en-US"/>
        </w:rPr>
        <w:t>I</w:t>
      </w:r>
      <w:r w:rsidRPr="00826BB9">
        <w:rPr>
          <w:i/>
          <w:iCs/>
          <w:color w:val="000000"/>
          <w:sz w:val="22"/>
          <w:szCs w:val="22"/>
          <w:lang w:val="el-GR"/>
        </w:rPr>
        <w:t>, 1-22</w:t>
      </w:r>
      <w:r w:rsidRPr="00826BB9">
        <w:rPr>
          <w:color w:val="000000"/>
          <w:sz w:val="22"/>
          <w:szCs w:val="22"/>
          <w:lang w:val="el-GR"/>
        </w:rPr>
        <w:t>, Εισαγωγή, Μετάφραση, Σχόλια, Αθήνα: Ακαδημία Αθηνών 2025.</w:t>
      </w:r>
    </w:p>
    <w:p w14:paraId="1E6227D6" w14:textId="77777777" w:rsidR="00304420" w:rsidRPr="009C12D1" w:rsidRDefault="00304420" w:rsidP="00304420">
      <w:pPr>
        <w:spacing w:before="100" w:beforeAutospacing="1" w:after="100" w:afterAutospacing="1"/>
        <w:jc w:val="center"/>
        <w:rPr>
          <w:rFonts w:ascii="Times New Roman" w:eastAsia="Times New Roman" w:hAnsi="Times New Roman" w:cs="Times New Roman"/>
          <w:color w:val="000000"/>
          <w:lang w:val="el-GR" w:eastAsia="en-GB"/>
        </w:rPr>
      </w:pPr>
    </w:p>
    <w:p w14:paraId="269EFD04"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b/>
          <w:bCs/>
          <w:color w:val="000000"/>
          <w:lang w:val="en-US" w:eastAsia="en-GB"/>
        </w:rPr>
        <w:t>1. The character, content, and significance of the work</w:t>
      </w:r>
    </w:p>
    <w:p w14:paraId="3C5D5B78"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is the first work of logic in the history of philosophy. Logic, of course, does not yet exist at this period as a distinct domain or branch of philosophy. As a distinct branch of philosophy, logic is constituted for the first time by the Stoics. And when it is constituted, it is much broader than logic in the modern sense, since it includes everything that has to do with </w:t>
      </w:r>
      <w:r w:rsidRPr="007C6417">
        <w:rPr>
          <w:rFonts w:ascii="Times New Roman" w:eastAsia="Times New Roman" w:hAnsi="Times New Roman" w:cs="Times New Roman"/>
          <w:i/>
          <w:iCs/>
          <w:color w:val="000000"/>
          <w:lang w:val="en-US" w:eastAsia="en-GB"/>
        </w:rPr>
        <w:t>logos</w:t>
      </w:r>
      <w:r w:rsidRPr="007C6417">
        <w:rPr>
          <w:rFonts w:ascii="Times New Roman" w:eastAsia="Times New Roman" w:hAnsi="Times New Roman" w:cs="Times New Roman"/>
          <w:color w:val="000000"/>
          <w:lang w:val="en-US" w:eastAsia="en-GB"/>
        </w:rPr>
        <w:t> in general, that is (in modern terms), the philosophy of language, epistemology, dialectic, and rhetoric.</w:t>
      </w:r>
    </w:p>
    <w:p w14:paraId="5DD7C71A" w14:textId="1DE4851A"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For Aristotle, by contrast, the central philosophical issue that leads him to the investigation of logic is primarily epistemological: namely, the question of how demonstration arises and, further, how what he calls </w:t>
      </w:r>
      <w:r w:rsidRPr="007C6417">
        <w:rPr>
          <w:rFonts w:ascii="Times New Roman" w:eastAsia="Times New Roman" w:hAnsi="Times New Roman" w:cs="Times New Roman"/>
          <w:i/>
          <w:iCs/>
          <w:color w:val="000000"/>
          <w:lang w:val="en-US" w:eastAsia="en-GB"/>
        </w:rPr>
        <w:t>ἀπ</w:t>
      </w:r>
      <w:proofErr w:type="spellStart"/>
      <w:r w:rsidRPr="007C6417">
        <w:rPr>
          <w:rFonts w:ascii="Times New Roman" w:eastAsia="Times New Roman" w:hAnsi="Times New Roman" w:cs="Times New Roman"/>
          <w:i/>
          <w:iCs/>
          <w:color w:val="000000"/>
          <w:lang w:val="en-US" w:eastAsia="en-GB"/>
        </w:rPr>
        <w:t>οδεικτικὴ</w:t>
      </w:r>
      <w:proofErr w:type="spellEnd"/>
      <w:r w:rsidRPr="007C6417">
        <w:rPr>
          <w:rFonts w:ascii="Times New Roman" w:eastAsia="Times New Roman" w:hAnsi="Times New Roman" w:cs="Times New Roman"/>
          <w:i/>
          <w:iCs/>
          <w:color w:val="000000"/>
          <w:lang w:val="en-US" w:eastAsia="en-GB"/>
        </w:rPr>
        <w:t xml:space="preserve"> ἐπ</w:t>
      </w:r>
      <w:proofErr w:type="spellStart"/>
      <w:r w:rsidRPr="007C6417">
        <w:rPr>
          <w:rFonts w:ascii="Times New Roman" w:eastAsia="Times New Roman" w:hAnsi="Times New Roman" w:cs="Times New Roman"/>
          <w:i/>
          <w:iCs/>
          <w:color w:val="000000"/>
          <w:lang w:val="en-US" w:eastAsia="en-GB"/>
        </w:rPr>
        <w:t>ιστήμη</w:t>
      </w:r>
      <w:proofErr w:type="spellEnd"/>
      <w:r w:rsidRPr="007C6417">
        <w:rPr>
          <w:rFonts w:ascii="Times New Roman" w:eastAsia="Times New Roman" w:hAnsi="Times New Roman" w:cs="Times New Roman"/>
          <w:color w:val="000000"/>
          <w:lang w:val="en-US" w:eastAsia="en-GB"/>
        </w:rPr>
        <w:t> is constituted—that is, the kind of knowledge that is based on, and delivers, demonstrations.</w:t>
      </w:r>
      <w:r w:rsidR="00D64CAF" w:rsidRPr="007C6417">
        <w:rPr>
          <w:rStyle w:val="FootnoteReference"/>
          <w:rFonts w:ascii="Times New Roman" w:eastAsia="Times New Roman" w:hAnsi="Times New Roman" w:cs="Times New Roman"/>
          <w:color w:val="000000"/>
          <w:lang w:val="en-US" w:eastAsia="en-GB"/>
        </w:rPr>
        <w:footnoteReference w:id="1"/>
      </w:r>
      <w:r w:rsidRPr="007C6417">
        <w:rPr>
          <w:rFonts w:ascii="Times New Roman" w:eastAsia="Times New Roman" w:hAnsi="Times New Roman" w:cs="Times New Roman"/>
          <w:color w:val="000000"/>
          <w:lang w:val="en-US" w:eastAsia="en-GB"/>
        </w:rPr>
        <w:t xml:space="preserve"> Aristotle defines demonstration as a </w:t>
      </w:r>
      <w:proofErr w:type="spellStart"/>
      <w:r w:rsidRPr="007C6417">
        <w:rPr>
          <w:rFonts w:ascii="Times New Roman" w:eastAsia="Times New Roman" w:hAnsi="Times New Roman" w:cs="Times New Roman"/>
          <w:i/>
          <w:iCs/>
          <w:color w:val="000000"/>
          <w:lang w:val="en-US" w:eastAsia="en-GB"/>
        </w:rPr>
        <w:t>συλλογισμὸν</w:t>
      </w:r>
      <w:proofErr w:type="spellEnd"/>
      <w:r w:rsidRPr="007C6417">
        <w:rPr>
          <w:rFonts w:ascii="Times New Roman" w:eastAsia="Times New Roman" w:hAnsi="Times New Roman" w:cs="Times New Roman"/>
          <w:i/>
          <w:iCs/>
          <w:color w:val="000000"/>
          <w:lang w:val="en-US" w:eastAsia="en-GB"/>
        </w:rPr>
        <w:t xml:space="preserve"> ἐπ</w:t>
      </w:r>
      <w:proofErr w:type="spellStart"/>
      <w:r w:rsidRPr="007C6417">
        <w:rPr>
          <w:rFonts w:ascii="Times New Roman" w:eastAsia="Times New Roman" w:hAnsi="Times New Roman" w:cs="Times New Roman"/>
          <w:i/>
          <w:iCs/>
          <w:color w:val="000000"/>
          <w:lang w:val="en-US" w:eastAsia="en-GB"/>
        </w:rPr>
        <w:t>ιστημονικόν</w:t>
      </w:r>
      <w:proofErr w:type="spellEnd"/>
      <w:r w:rsidRPr="007C6417">
        <w:rPr>
          <w:rFonts w:ascii="Times New Roman" w:eastAsia="Times New Roman" w:hAnsi="Times New Roman" w:cs="Times New Roman"/>
          <w:color w:val="000000"/>
          <w:lang w:val="en-US" w:eastAsia="en-GB"/>
        </w:rPr>
        <w:t> (</w:t>
      </w:r>
      <w:r w:rsidRPr="007C6417">
        <w:rPr>
          <w:rFonts w:ascii="Times New Roman" w:eastAsia="Times New Roman" w:hAnsi="Times New Roman" w:cs="Times New Roman"/>
          <w:i/>
          <w:iCs/>
          <w:color w:val="000000"/>
          <w:lang w:val="en-US" w:eastAsia="en-GB"/>
        </w:rPr>
        <w:t>An. Post</w:t>
      </w:r>
      <w:r w:rsidRPr="007C6417">
        <w:rPr>
          <w:rFonts w:ascii="Times New Roman" w:eastAsia="Times New Roman" w:hAnsi="Times New Roman" w:cs="Times New Roman"/>
          <w:color w:val="000000"/>
          <w:lang w:val="en-US" w:eastAsia="en-GB"/>
        </w:rPr>
        <w:t>. 71b17), that is, as a syllogism that produces understanding and knowledge.</w:t>
      </w:r>
      <w:r w:rsidR="00D64CAF" w:rsidRPr="007C6417">
        <w:rPr>
          <w:rStyle w:val="FootnoteReference"/>
          <w:rFonts w:ascii="Times New Roman" w:eastAsia="Times New Roman" w:hAnsi="Times New Roman" w:cs="Times New Roman"/>
          <w:color w:val="000000"/>
          <w:lang w:val="en-US" w:eastAsia="en-GB"/>
        </w:rPr>
        <w:footnoteReference w:id="2"/>
      </w:r>
      <w:r w:rsidRPr="007C6417">
        <w:rPr>
          <w:rFonts w:ascii="Times New Roman" w:eastAsia="Times New Roman" w:hAnsi="Times New Roman" w:cs="Times New Roman"/>
          <w:color w:val="000000"/>
          <w:lang w:val="en-US" w:eastAsia="en-GB"/>
        </w:rPr>
        <w:t xml:space="preserve"> And, as Aristotle explains in the continuation of this passage of the </w:t>
      </w:r>
      <w:r w:rsidRPr="007C6417">
        <w:rPr>
          <w:rFonts w:ascii="Times New Roman" w:eastAsia="Times New Roman" w:hAnsi="Times New Roman" w:cs="Times New Roman"/>
          <w:i/>
          <w:iCs/>
          <w:color w:val="000000"/>
          <w:lang w:val="en-US" w:eastAsia="en-GB"/>
        </w:rPr>
        <w:t>Posterior Analytics</w:t>
      </w:r>
      <w:r w:rsidRPr="007C6417">
        <w:rPr>
          <w:rFonts w:ascii="Times New Roman" w:eastAsia="Times New Roman" w:hAnsi="Times New Roman" w:cs="Times New Roman"/>
          <w:color w:val="000000"/>
          <w:lang w:val="en-US" w:eastAsia="en-GB"/>
        </w:rPr>
        <w:t>, this knowledge includes knowledge of the causes, which satisfy a series of conditions (</w:t>
      </w:r>
      <w:proofErr w:type="spellStart"/>
      <w:r w:rsidRPr="007C6417">
        <w:rPr>
          <w:rFonts w:ascii="Times New Roman" w:eastAsia="Times New Roman" w:hAnsi="Times New Roman" w:cs="Times New Roman"/>
          <w:i/>
          <w:iCs/>
          <w:color w:val="000000"/>
          <w:lang w:val="en-US" w:eastAsia="en-GB"/>
        </w:rPr>
        <w:t>ἀληθῆ</w:t>
      </w:r>
      <w:proofErr w:type="spellEnd"/>
      <w:r w:rsidRPr="007C6417">
        <w:rPr>
          <w:rFonts w:ascii="Times New Roman" w:eastAsia="Times New Roman" w:hAnsi="Times New Roman" w:cs="Times New Roman"/>
          <w:i/>
          <w:iCs/>
          <w:color w:val="000000"/>
          <w:lang w:val="en-US" w:eastAsia="en-GB"/>
        </w:rPr>
        <w:t>, π</w:t>
      </w:r>
      <w:proofErr w:type="spellStart"/>
      <w:r w:rsidRPr="007C6417">
        <w:rPr>
          <w:rFonts w:ascii="Times New Roman" w:eastAsia="Times New Roman" w:hAnsi="Times New Roman" w:cs="Times New Roman"/>
          <w:i/>
          <w:iCs/>
          <w:color w:val="000000"/>
          <w:lang w:val="en-US" w:eastAsia="en-GB"/>
        </w:rPr>
        <w:t>ρῶτ</w:t>
      </w:r>
      <w:proofErr w:type="spellEnd"/>
      <w:r w:rsidRPr="007C6417">
        <w:rPr>
          <w:rFonts w:ascii="Times New Roman" w:eastAsia="Times New Roman" w:hAnsi="Times New Roman" w:cs="Times New Roman"/>
          <w:i/>
          <w:iCs/>
          <w:color w:val="000000"/>
          <w:lang w:val="en-US" w:eastAsia="en-GB"/>
        </w:rPr>
        <w:t xml:space="preserve">α, </w:t>
      </w:r>
      <w:proofErr w:type="spellStart"/>
      <w:r w:rsidRPr="007C6417">
        <w:rPr>
          <w:rFonts w:ascii="Times New Roman" w:eastAsia="Times New Roman" w:hAnsi="Times New Roman" w:cs="Times New Roman"/>
          <w:i/>
          <w:iCs/>
          <w:color w:val="000000"/>
          <w:lang w:val="en-US" w:eastAsia="en-GB"/>
        </w:rPr>
        <w:t>ἄμεσ</w:t>
      </w:r>
      <w:proofErr w:type="spellEnd"/>
      <w:r w:rsidRPr="007C6417">
        <w:rPr>
          <w:rFonts w:ascii="Times New Roman" w:eastAsia="Times New Roman" w:hAnsi="Times New Roman" w:cs="Times New Roman"/>
          <w:i/>
          <w:iCs/>
          <w:color w:val="000000"/>
          <w:lang w:val="en-US" w:eastAsia="en-GB"/>
        </w:rPr>
        <w:t>α</w:t>
      </w:r>
      <w:r w:rsidRPr="007C6417">
        <w:rPr>
          <w:rFonts w:ascii="Times New Roman" w:eastAsia="Times New Roman" w:hAnsi="Times New Roman" w:cs="Times New Roman"/>
          <w:color w:val="000000"/>
          <w:lang w:val="en-US" w:eastAsia="en-GB"/>
        </w:rPr>
        <w:t>, etc.). It should also be noted that in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Aristotle defines demonstration as a syllogism of a certain kind (25b30). At the same time, however, in the background of the work—</w:t>
      </w:r>
      <w:r w:rsidRPr="007C6417">
        <w:rPr>
          <w:rFonts w:ascii="Times New Roman" w:hAnsi="Times New Roman" w:cs="Times New Roman"/>
          <w:color w:val="000000"/>
          <w:lang w:val="en-US"/>
        </w:rPr>
        <w:t>as we shall explain further below—we also discern another issue, namely that of proving the validity of a position, an issue that we might call dialectical. Demonstrative science, that is, knowledge based on demonstrations, and dialectic meet in the subject matter of the</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Prior Analytics</w:t>
      </w:r>
      <w:r w:rsidRPr="007C6417">
        <w:rPr>
          <w:rFonts w:ascii="Times New Roman" w:hAnsi="Times New Roman" w:cs="Times New Roman"/>
          <w:color w:val="000000"/>
          <w:lang w:val="en-US"/>
        </w:rPr>
        <w:t>, which is the syllogism: that is, the way in which we arrive at a conclusion from the combination of two propositions or premisses, namely two assertoric propositions—that is, propositions that assert or state something—which can be either affirmative or privative, that is, negative.</w:t>
      </w:r>
    </w:p>
    <w:p w14:paraId="39FE1633" w14:textId="77777777" w:rsidR="00304420" w:rsidRPr="007C6417" w:rsidRDefault="00304420" w:rsidP="00304420">
      <w:pPr>
        <w:pStyle w:val="NormalWeb"/>
        <w:rPr>
          <w:color w:val="000000"/>
          <w:lang w:val="en-US"/>
        </w:rPr>
      </w:pPr>
      <w:r w:rsidRPr="007C6417">
        <w:rPr>
          <w:color w:val="000000"/>
          <w:lang w:val="en-US"/>
        </w:rPr>
        <w:t>In this sense, it would be more accurate to claim that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Aristotle is concerned not with the syllogism as such, but with syllogistic, that is, with how syllogisms arise, which ones are valid, and how their validity is proved. Let us see how Aristotle defines the syllogism in the first chapter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w:t>
      </w:r>
    </w:p>
    <w:p w14:paraId="63A66FA0" w14:textId="77777777" w:rsidR="00304420" w:rsidRPr="007C6417" w:rsidRDefault="00304420" w:rsidP="00304420">
      <w:pPr>
        <w:pStyle w:val="NormalWeb"/>
        <w:rPr>
          <w:color w:val="000000"/>
          <w:lang w:val="en-US"/>
        </w:rPr>
      </w:pPr>
      <w:proofErr w:type="spellStart"/>
      <w:r w:rsidRPr="009C12D1">
        <w:rPr>
          <w:color w:val="000000"/>
          <w:lang w:val="el-GR"/>
        </w:rPr>
        <w:t>Συλλογισμὸς</w:t>
      </w:r>
      <w:proofErr w:type="spellEnd"/>
      <w:r w:rsidRPr="009C12D1">
        <w:rPr>
          <w:color w:val="000000"/>
          <w:lang w:val="el-GR"/>
        </w:rPr>
        <w:t xml:space="preserve"> </w:t>
      </w:r>
      <w:proofErr w:type="spellStart"/>
      <w:r w:rsidRPr="009C12D1">
        <w:rPr>
          <w:color w:val="000000"/>
          <w:lang w:val="el-GR"/>
        </w:rPr>
        <w:t>δέ</w:t>
      </w:r>
      <w:proofErr w:type="spellEnd"/>
      <w:r w:rsidRPr="009C12D1">
        <w:rPr>
          <w:color w:val="000000"/>
          <w:lang w:val="el-GR"/>
        </w:rPr>
        <w:t xml:space="preserve"> </w:t>
      </w:r>
      <w:proofErr w:type="spellStart"/>
      <w:r w:rsidRPr="009C12D1">
        <w:rPr>
          <w:color w:val="000000"/>
          <w:lang w:val="el-GR"/>
        </w:rPr>
        <w:t>ἐστι</w:t>
      </w:r>
      <w:proofErr w:type="spellEnd"/>
      <w:r w:rsidRPr="009C12D1">
        <w:rPr>
          <w:color w:val="000000"/>
          <w:lang w:val="el-GR"/>
        </w:rPr>
        <w:t xml:space="preserve"> λόγος </w:t>
      </w:r>
      <w:proofErr w:type="spellStart"/>
      <w:r w:rsidRPr="009C12D1">
        <w:rPr>
          <w:color w:val="000000"/>
          <w:lang w:val="el-GR"/>
        </w:rPr>
        <w:t>ἐν</w:t>
      </w:r>
      <w:proofErr w:type="spellEnd"/>
      <w:r w:rsidRPr="009C12D1">
        <w:rPr>
          <w:color w:val="000000"/>
          <w:lang w:val="el-GR"/>
        </w:rPr>
        <w:t xml:space="preserve"> ᾧ </w:t>
      </w:r>
      <w:proofErr w:type="spellStart"/>
      <w:r w:rsidRPr="009C12D1">
        <w:rPr>
          <w:color w:val="000000"/>
          <w:lang w:val="el-GR"/>
        </w:rPr>
        <w:t>τεθέντων</w:t>
      </w:r>
      <w:proofErr w:type="spellEnd"/>
      <w:r w:rsidRPr="009C12D1">
        <w:rPr>
          <w:color w:val="000000"/>
          <w:lang w:val="el-GR"/>
        </w:rPr>
        <w:t xml:space="preserve"> </w:t>
      </w:r>
      <w:proofErr w:type="spellStart"/>
      <w:r w:rsidRPr="009C12D1">
        <w:rPr>
          <w:color w:val="000000"/>
          <w:lang w:val="el-GR"/>
        </w:rPr>
        <w:t>τινῶν</w:t>
      </w:r>
      <w:proofErr w:type="spellEnd"/>
      <w:r w:rsidRPr="009C12D1">
        <w:rPr>
          <w:color w:val="000000"/>
          <w:lang w:val="el-GR"/>
        </w:rPr>
        <w:t xml:space="preserve"> </w:t>
      </w:r>
      <w:proofErr w:type="spellStart"/>
      <w:r w:rsidRPr="009C12D1">
        <w:rPr>
          <w:color w:val="000000"/>
          <w:lang w:val="el-GR"/>
        </w:rPr>
        <w:t>ἕτερόν</w:t>
      </w:r>
      <w:proofErr w:type="spellEnd"/>
      <w:r w:rsidRPr="009C12D1">
        <w:rPr>
          <w:color w:val="000000"/>
          <w:lang w:val="el-GR"/>
        </w:rPr>
        <w:t xml:space="preserve"> τι </w:t>
      </w:r>
      <w:proofErr w:type="spellStart"/>
      <w:r w:rsidRPr="009C12D1">
        <w:rPr>
          <w:color w:val="000000"/>
          <w:lang w:val="el-GR"/>
        </w:rPr>
        <w:t>τῶν</w:t>
      </w:r>
      <w:proofErr w:type="spellEnd"/>
      <w:r w:rsidRPr="009C12D1">
        <w:rPr>
          <w:color w:val="000000"/>
          <w:lang w:val="el-GR"/>
        </w:rPr>
        <w:t xml:space="preserve"> κειμένων </w:t>
      </w:r>
      <w:proofErr w:type="spellStart"/>
      <w:r w:rsidRPr="009C12D1">
        <w:rPr>
          <w:color w:val="000000"/>
          <w:lang w:val="el-GR"/>
        </w:rPr>
        <w:t>ἐξ</w:t>
      </w:r>
      <w:proofErr w:type="spellEnd"/>
      <w:r w:rsidRPr="009C12D1">
        <w:rPr>
          <w:color w:val="000000"/>
          <w:lang w:val="el-GR"/>
        </w:rPr>
        <w:t xml:space="preserve"> </w:t>
      </w:r>
      <w:proofErr w:type="spellStart"/>
      <w:r w:rsidRPr="009C12D1">
        <w:rPr>
          <w:color w:val="000000"/>
          <w:lang w:val="el-GR"/>
        </w:rPr>
        <w:t>ἀνάγκης</w:t>
      </w:r>
      <w:proofErr w:type="spellEnd"/>
      <w:r w:rsidRPr="009C12D1">
        <w:rPr>
          <w:color w:val="000000"/>
          <w:lang w:val="el-GR"/>
        </w:rPr>
        <w:t xml:space="preserve"> συμβαίνει </w:t>
      </w:r>
      <w:proofErr w:type="spellStart"/>
      <w:r w:rsidRPr="009C12D1">
        <w:rPr>
          <w:color w:val="000000"/>
          <w:lang w:val="el-GR"/>
        </w:rPr>
        <w:t>τῷ</w:t>
      </w:r>
      <w:proofErr w:type="spellEnd"/>
      <w:r w:rsidRPr="009C12D1">
        <w:rPr>
          <w:color w:val="000000"/>
          <w:lang w:val="el-GR"/>
        </w:rPr>
        <w:t xml:space="preserve"> </w:t>
      </w:r>
      <w:proofErr w:type="spellStart"/>
      <w:r w:rsidRPr="009C12D1">
        <w:rPr>
          <w:color w:val="000000"/>
          <w:lang w:val="el-GR"/>
        </w:rPr>
        <w:t>ταῦτα</w:t>
      </w:r>
      <w:proofErr w:type="spellEnd"/>
      <w:r w:rsidRPr="009C12D1">
        <w:rPr>
          <w:color w:val="000000"/>
          <w:lang w:val="el-GR"/>
        </w:rPr>
        <w:t xml:space="preserve"> </w:t>
      </w:r>
      <w:proofErr w:type="spellStart"/>
      <w:r w:rsidRPr="009C12D1">
        <w:rPr>
          <w:color w:val="000000"/>
          <w:lang w:val="el-GR"/>
        </w:rPr>
        <w:t>εἶναι</w:t>
      </w:r>
      <w:proofErr w:type="spellEnd"/>
      <w:r w:rsidRPr="009C12D1">
        <w:rPr>
          <w:color w:val="000000"/>
          <w:lang w:val="el-GR"/>
        </w:rPr>
        <w:t xml:space="preserve">. Λέγω </w:t>
      </w:r>
      <w:proofErr w:type="spellStart"/>
      <w:r w:rsidRPr="009C12D1">
        <w:rPr>
          <w:color w:val="000000"/>
          <w:lang w:val="el-GR"/>
        </w:rPr>
        <w:t>δὲ</w:t>
      </w:r>
      <w:proofErr w:type="spellEnd"/>
      <w:r w:rsidRPr="009C12D1">
        <w:rPr>
          <w:color w:val="000000"/>
          <w:lang w:val="el-GR"/>
        </w:rPr>
        <w:t xml:space="preserve"> </w:t>
      </w:r>
      <w:proofErr w:type="spellStart"/>
      <w:r w:rsidRPr="009C12D1">
        <w:rPr>
          <w:color w:val="000000"/>
          <w:lang w:val="el-GR"/>
        </w:rPr>
        <w:t>τῷ</w:t>
      </w:r>
      <w:proofErr w:type="spellEnd"/>
      <w:r w:rsidRPr="009C12D1">
        <w:rPr>
          <w:color w:val="000000"/>
          <w:lang w:val="el-GR"/>
        </w:rPr>
        <w:t xml:space="preserve"> </w:t>
      </w:r>
      <w:proofErr w:type="spellStart"/>
      <w:r w:rsidRPr="009C12D1">
        <w:rPr>
          <w:color w:val="000000"/>
          <w:lang w:val="el-GR"/>
        </w:rPr>
        <w:t>ταῦτα</w:t>
      </w:r>
      <w:proofErr w:type="spellEnd"/>
      <w:r w:rsidRPr="009C12D1">
        <w:rPr>
          <w:color w:val="000000"/>
          <w:lang w:val="el-GR"/>
        </w:rPr>
        <w:t xml:space="preserve"> </w:t>
      </w:r>
      <w:proofErr w:type="spellStart"/>
      <w:r w:rsidRPr="009C12D1">
        <w:rPr>
          <w:color w:val="000000"/>
          <w:lang w:val="el-GR"/>
        </w:rPr>
        <w:t>εἶναι</w:t>
      </w:r>
      <w:proofErr w:type="spellEnd"/>
      <w:r w:rsidRPr="009C12D1">
        <w:rPr>
          <w:color w:val="000000"/>
          <w:lang w:val="el-GR"/>
        </w:rPr>
        <w:t xml:space="preserve"> </w:t>
      </w:r>
      <w:proofErr w:type="spellStart"/>
      <w:r w:rsidRPr="009C12D1">
        <w:rPr>
          <w:color w:val="000000"/>
          <w:lang w:val="el-GR"/>
        </w:rPr>
        <w:t>τὸ</w:t>
      </w:r>
      <w:proofErr w:type="spellEnd"/>
      <w:r w:rsidRPr="009C12D1">
        <w:rPr>
          <w:color w:val="000000"/>
          <w:lang w:val="el-GR"/>
        </w:rPr>
        <w:t xml:space="preserve"> </w:t>
      </w:r>
      <w:proofErr w:type="spellStart"/>
      <w:r w:rsidRPr="009C12D1">
        <w:rPr>
          <w:color w:val="000000"/>
          <w:lang w:val="el-GR"/>
        </w:rPr>
        <w:t>διὰ</w:t>
      </w:r>
      <w:proofErr w:type="spellEnd"/>
      <w:r w:rsidRPr="009C12D1">
        <w:rPr>
          <w:color w:val="000000"/>
          <w:lang w:val="el-GR"/>
        </w:rPr>
        <w:t xml:space="preserve"> </w:t>
      </w:r>
      <w:proofErr w:type="spellStart"/>
      <w:r w:rsidRPr="009C12D1">
        <w:rPr>
          <w:color w:val="000000"/>
          <w:lang w:val="el-GR"/>
        </w:rPr>
        <w:t>ταῦτα</w:t>
      </w:r>
      <w:proofErr w:type="spellEnd"/>
      <w:r w:rsidRPr="009C12D1">
        <w:rPr>
          <w:color w:val="000000"/>
          <w:lang w:val="el-GR"/>
        </w:rPr>
        <w:t xml:space="preserve"> </w:t>
      </w:r>
      <w:proofErr w:type="spellStart"/>
      <w:r w:rsidRPr="009C12D1">
        <w:rPr>
          <w:color w:val="000000"/>
          <w:lang w:val="el-GR"/>
        </w:rPr>
        <w:t>συμβαίνειν</w:t>
      </w:r>
      <w:proofErr w:type="spellEnd"/>
      <w:r w:rsidRPr="009C12D1">
        <w:rPr>
          <w:color w:val="000000"/>
          <w:lang w:val="el-GR"/>
        </w:rPr>
        <w:t xml:space="preserve">, </w:t>
      </w:r>
      <w:proofErr w:type="spellStart"/>
      <w:r w:rsidRPr="009C12D1">
        <w:rPr>
          <w:color w:val="000000"/>
          <w:lang w:val="el-GR"/>
        </w:rPr>
        <w:t>τὸ</w:t>
      </w:r>
      <w:proofErr w:type="spellEnd"/>
      <w:r w:rsidRPr="009C12D1">
        <w:rPr>
          <w:color w:val="000000"/>
          <w:lang w:val="el-GR"/>
        </w:rPr>
        <w:t xml:space="preserve"> </w:t>
      </w:r>
      <w:proofErr w:type="spellStart"/>
      <w:r w:rsidRPr="009C12D1">
        <w:rPr>
          <w:color w:val="000000"/>
          <w:lang w:val="el-GR"/>
        </w:rPr>
        <w:t>δὲ</w:t>
      </w:r>
      <w:proofErr w:type="spellEnd"/>
      <w:r w:rsidRPr="009C12D1">
        <w:rPr>
          <w:color w:val="000000"/>
          <w:lang w:val="el-GR"/>
        </w:rPr>
        <w:t xml:space="preserve"> </w:t>
      </w:r>
      <w:proofErr w:type="spellStart"/>
      <w:r w:rsidRPr="009C12D1">
        <w:rPr>
          <w:color w:val="000000"/>
          <w:lang w:val="el-GR"/>
        </w:rPr>
        <w:t>διὰ</w:t>
      </w:r>
      <w:proofErr w:type="spellEnd"/>
      <w:r w:rsidRPr="009C12D1">
        <w:rPr>
          <w:color w:val="000000"/>
          <w:lang w:val="el-GR"/>
        </w:rPr>
        <w:t xml:space="preserve"> </w:t>
      </w:r>
      <w:proofErr w:type="spellStart"/>
      <w:r w:rsidRPr="009C12D1">
        <w:rPr>
          <w:color w:val="000000"/>
          <w:lang w:val="el-GR"/>
        </w:rPr>
        <w:t>ταῦτα</w:t>
      </w:r>
      <w:proofErr w:type="spellEnd"/>
      <w:r w:rsidRPr="009C12D1">
        <w:rPr>
          <w:color w:val="000000"/>
          <w:lang w:val="el-GR"/>
        </w:rPr>
        <w:t xml:space="preserve"> </w:t>
      </w:r>
      <w:proofErr w:type="spellStart"/>
      <w:r w:rsidRPr="009C12D1">
        <w:rPr>
          <w:color w:val="000000"/>
          <w:lang w:val="el-GR"/>
        </w:rPr>
        <w:t>συμβαίνειν</w:t>
      </w:r>
      <w:proofErr w:type="spellEnd"/>
      <w:r w:rsidRPr="009C12D1">
        <w:rPr>
          <w:color w:val="000000"/>
          <w:lang w:val="el-GR"/>
        </w:rPr>
        <w:t xml:space="preserve"> </w:t>
      </w:r>
      <w:proofErr w:type="spellStart"/>
      <w:r w:rsidRPr="009C12D1">
        <w:rPr>
          <w:color w:val="000000"/>
          <w:lang w:val="el-GR"/>
        </w:rPr>
        <w:t>τὸ</w:t>
      </w:r>
      <w:proofErr w:type="spellEnd"/>
      <w:r w:rsidRPr="009C12D1">
        <w:rPr>
          <w:color w:val="000000"/>
          <w:lang w:val="el-GR"/>
        </w:rPr>
        <w:t xml:space="preserve"> </w:t>
      </w:r>
      <w:proofErr w:type="spellStart"/>
      <w:r w:rsidRPr="009C12D1">
        <w:rPr>
          <w:color w:val="000000"/>
          <w:lang w:val="el-GR"/>
        </w:rPr>
        <w:t>μηδενὸς</w:t>
      </w:r>
      <w:proofErr w:type="spellEnd"/>
      <w:r w:rsidRPr="009C12D1">
        <w:rPr>
          <w:color w:val="000000"/>
          <w:lang w:val="el-GR"/>
        </w:rPr>
        <w:t xml:space="preserve"> </w:t>
      </w:r>
      <w:proofErr w:type="spellStart"/>
      <w:r w:rsidRPr="009C12D1">
        <w:rPr>
          <w:color w:val="000000"/>
          <w:lang w:val="el-GR"/>
        </w:rPr>
        <w:t>ἔξωθεν</w:t>
      </w:r>
      <w:proofErr w:type="spellEnd"/>
      <w:r w:rsidRPr="009C12D1">
        <w:rPr>
          <w:color w:val="000000"/>
          <w:lang w:val="el-GR"/>
        </w:rPr>
        <w:t xml:space="preserve"> </w:t>
      </w:r>
      <w:proofErr w:type="spellStart"/>
      <w:r w:rsidRPr="009C12D1">
        <w:rPr>
          <w:color w:val="000000"/>
          <w:lang w:val="el-GR"/>
        </w:rPr>
        <w:t>ὅρου</w:t>
      </w:r>
      <w:proofErr w:type="spellEnd"/>
      <w:r w:rsidRPr="009C12D1">
        <w:rPr>
          <w:color w:val="000000"/>
          <w:lang w:val="el-GR"/>
        </w:rPr>
        <w:t xml:space="preserve"> </w:t>
      </w:r>
      <w:proofErr w:type="spellStart"/>
      <w:r w:rsidRPr="009C12D1">
        <w:rPr>
          <w:color w:val="000000"/>
          <w:lang w:val="el-GR"/>
        </w:rPr>
        <w:t>προσδεῖν</w:t>
      </w:r>
      <w:proofErr w:type="spellEnd"/>
      <w:r w:rsidRPr="009C12D1">
        <w:rPr>
          <w:color w:val="000000"/>
          <w:lang w:val="el-GR"/>
        </w:rPr>
        <w:t xml:space="preserve"> </w:t>
      </w:r>
      <w:proofErr w:type="spellStart"/>
      <w:r w:rsidRPr="009C12D1">
        <w:rPr>
          <w:color w:val="000000"/>
          <w:lang w:val="el-GR"/>
        </w:rPr>
        <w:t>πρὸς</w:t>
      </w:r>
      <w:proofErr w:type="spellEnd"/>
      <w:r w:rsidRPr="009C12D1">
        <w:rPr>
          <w:color w:val="000000"/>
          <w:lang w:val="el-GR"/>
        </w:rPr>
        <w:t xml:space="preserve"> </w:t>
      </w:r>
      <w:proofErr w:type="spellStart"/>
      <w:r w:rsidRPr="009C12D1">
        <w:rPr>
          <w:color w:val="000000"/>
          <w:lang w:val="el-GR"/>
        </w:rPr>
        <w:t>τὸ</w:t>
      </w:r>
      <w:proofErr w:type="spellEnd"/>
      <w:r w:rsidRPr="009C12D1">
        <w:rPr>
          <w:color w:val="000000"/>
          <w:lang w:val="el-GR"/>
        </w:rPr>
        <w:t xml:space="preserve"> γενέσθαι </w:t>
      </w:r>
      <w:proofErr w:type="spellStart"/>
      <w:r w:rsidRPr="009C12D1">
        <w:rPr>
          <w:color w:val="000000"/>
          <w:lang w:val="el-GR"/>
        </w:rPr>
        <w:t>τὸ</w:t>
      </w:r>
      <w:proofErr w:type="spellEnd"/>
      <w:r w:rsidRPr="009C12D1">
        <w:rPr>
          <w:color w:val="000000"/>
          <w:lang w:val="el-GR"/>
        </w:rPr>
        <w:t xml:space="preserve"> </w:t>
      </w:r>
      <w:proofErr w:type="spellStart"/>
      <w:r w:rsidRPr="009C12D1">
        <w:rPr>
          <w:color w:val="000000"/>
          <w:lang w:val="el-GR"/>
        </w:rPr>
        <w:t>ἀναγκαῖον</w:t>
      </w:r>
      <w:proofErr w:type="spellEnd"/>
      <w:r w:rsidRPr="009C12D1">
        <w:rPr>
          <w:color w:val="000000"/>
          <w:lang w:val="el-GR"/>
        </w:rPr>
        <w:t>.</w:t>
      </w:r>
      <w:r w:rsidRPr="009C12D1">
        <w:rPr>
          <w:color w:val="000000"/>
          <w:lang w:val="el-GR"/>
        </w:rPr>
        <w:br/>
      </w:r>
      <w:r w:rsidRPr="007C6417">
        <w:rPr>
          <w:color w:val="000000"/>
          <w:lang w:val="en-US"/>
        </w:rPr>
        <w:t>(24b18–22)</w:t>
      </w:r>
    </w:p>
    <w:p w14:paraId="031549CF" w14:textId="77777777" w:rsidR="00304420" w:rsidRPr="007C6417" w:rsidRDefault="00304420" w:rsidP="00304420">
      <w:pPr>
        <w:pStyle w:val="NormalWeb"/>
        <w:rPr>
          <w:color w:val="000000"/>
          <w:lang w:val="en-US"/>
        </w:rPr>
      </w:pPr>
      <w:r w:rsidRPr="007C6417">
        <w:rPr>
          <w:color w:val="000000"/>
          <w:lang w:val="en-US"/>
        </w:rPr>
        <w:t>“A syllogism is a discourse in which, given that certain things hold, something else follows of necessity, because those things are what they are. And by ‘because those things are what they are’ I mean that it follows because of them; and by ‘it follows because of them’ I mean that no additional term from outside is required in order for what is necessary to come about.”</w:t>
      </w:r>
    </w:p>
    <w:p w14:paraId="07DD1A0D" w14:textId="46FD6D22" w:rsidR="00304420" w:rsidRPr="007C6417" w:rsidRDefault="00304420" w:rsidP="00304420">
      <w:pPr>
        <w:pStyle w:val="NormalWeb"/>
        <w:rPr>
          <w:color w:val="000000"/>
          <w:lang w:val="en-US"/>
        </w:rPr>
      </w:pPr>
      <w:r w:rsidRPr="007C6417">
        <w:rPr>
          <w:color w:val="000000"/>
          <w:lang w:val="en-US"/>
        </w:rPr>
        <w:lastRenderedPageBreak/>
        <w:t>Aristotle is the first in history to speak of the syllogism. The term does not exist at all prior to him. Up to Aristotle’s time, the verb</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συλλογίζεσθ</w:t>
      </w:r>
      <w:proofErr w:type="spellEnd"/>
      <w:r w:rsidRPr="007C6417">
        <w:rPr>
          <w:rStyle w:val="Emphasis"/>
          <w:rFonts w:eastAsiaTheme="majorEastAsia"/>
          <w:color w:val="000000"/>
          <w:lang w:val="en-US"/>
        </w:rPr>
        <w:t>αι</w:t>
      </w:r>
      <w:r w:rsidRPr="007C6417">
        <w:rPr>
          <w:rStyle w:val="apple-converted-space"/>
          <w:rFonts w:eastAsiaTheme="majorEastAsia"/>
          <w:color w:val="000000"/>
          <w:lang w:val="en-US"/>
        </w:rPr>
        <w:t> </w:t>
      </w:r>
      <w:r w:rsidRPr="007C6417">
        <w:rPr>
          <w:color w:val="000000"/>
          <w:lang w:val="en-US"/>
        </w:rPr>
        <w:t>means “to recapitulate.”</w:t>
      </w:r>
      <w:r w:rsidR="00D64CAF" w:rsidRPr="007C6417">
        <w:rPr>
          <w:rStyle w:val="FootnoteReference"/>
          <w:color w:val="000000"/>
          <w:lang w:val="en-US"/>
        </w:rPr>
        <w:footnoteReference w:id="3"/>
      </w:r>
      <w:r w:rsidRPr="007C6417">
        <w:rPr>
          <w:color w:val="000000"/>
          <w:lang w:val="en-US"/>
        </w:rPr>
        <w:t xml:space="preserve"> And, of course, he is also the first to present a theory of the syllogism, which we shall discuss in what follows. Aristotle is conscious of his pioneering role and declares it, in a manner unusual for him, at the end of the</w:t>
      </w:r>
      <w:r w:rsidRPr="007C6417">
        <w:rPr>
          <w:rStyle w:val="apple-converted-space"/>
          <w:rFonts w:eastAsiaTheme="majorEastAsia"/>
          <w:color w:val="000000"/>
          <w:lang w:val="en-US"/>
        </w:rPr>
        <w:t> </w:t>
      </w:r>
      <w:r w:rsidRPr="007C6417">
        <w:rPr>
          <w:rStyle w:val="Emphasis"/>
          <w:rFonts w:eastAsiaTheme="majorEastAsia"/>
          <w:color w:val="000000"/>
          <w:lang w:val="en-US"/>
        </w:rPr>
        <w:t>Sophistical Refutations</w:t>
      </w:r>
      <w:r w:rsidRPr="007C6417">
        <w:rPr>
          <w:color w:val="000000"/>
          <w:lang w:val="en-US"/>
        </w:rPr>
        <w:t>.</w:t>
      </w:r>
    </w:p>
    <w:p w14:paraId="483D1979" w14:textId="77777777" w:rsidR="00304420" w:rsidRPr="007C6417" w:rsidRDefault="00304420" w:rsidP="00304420">
      <w:pPr>
        <w:pStyle w:val="NormalWeb"/>
        <w:rPr>
          <w:color w:val="000000"/>
          <w:lang w:val="en-US"/>
        </w:rPr>
      </w:pPr>
      <w:r w:rsidRPr="007C6417">
        <w:rPr>
          <w:color w:val="000000"/>
          <w:lang w:val="en-US"/>
        </w:rPr>
        <w:t>Καὶ π</w:t>
      </w:r>
      <w:proofErr w:type="spellStart"/>
      <w:r w:rsidRPr="007C6417">
        <w:rPr>
          <w:color w:val="000000"/>
          <w:lang w:val="en-US"/>
        </w:rPr>
        <w:t>ερὶ</w:t>
      </w:r>
      <w:proofErr w:type="spellEnd"/>
      <w:r w:rsidRPr="007C6417">
        <w:rPr>
          <w:color w:val="000000"/>
          <w:lang w:val="en-US"/>
        </w:rPr>
        <w:t xml:space="preserve"> </w:t>
      </w:r>
      <w:proofErr w:type="spellStart"/>
      <w:r w:rsidRPr="007C6417">
        <w:rPr>
          <w:color w:val="000000"/>
          <w:lang w:val="en-US"/>
        </w:rPr>
        <w:t>μὲν</w:t>
      </w:r>
      <w:proofErr w:type="spellEnd"/>
      <w:r w:rsidRPr="007C6417">
        <w:rPr>
          <w:color w:val="000000"/>
          <w:lang w:val="en-US"/>
        </w:rPr>
        <w:t xml:space="preserve"> </w:t>
      </w:r>
      <w:proofErr w:type="spellStart"/>
      <w:r w:rsidRPr="007C6417">
        <w:rPr>
          <w:color w:val="000000"/>
          <w:lang w:val="en-US"/>
        </w:rPr>
        <w:t>τῶν</w:t>
      </w:r>
      <w:proofErr w:type="spellEnd"/>
      <w:r w:rsidRPr="007C6417">
        <w:rPr>
          <w:color w:val="000000"/>
          <w:lang w:val="en-US"/>
        </w:rPr>
        <w:t xml:space="preserve"> </w:t>
      </w:r>
      <w:proofErr w:type="spellStart"/>
      <w:r w:rsidRPr="007C6417">
        <w:rPr>
          <w:color w:val="000000"/>
          <w:lang w:val="en-US"/>
        </w:rPr>
        <w:t>ῥητορικῶν</w:t>
      </w:r>
      <w:proofErr w:type="spellEnd"/>
      <w:r w:rsidRPr="007C6417">
        <w:rPr>
          <w:color w:val="000000"/>
          <w:lang w:val="en-US"/>
        </w:rPr>
        <w:t xml:space="preserve"> ὑπ</w:t>
      </w:r>
      <w:proofErr w:type="spellStart"/>
      <w:r w:rsidRPr="007C6417">
        <w:rPr>
          <w:color w:val="000000"/>
          <w:lang w:val="en-US"/>
        </w:rPr>
        <w:t>ήρχε</w:t>
      </w:r>
      <w:proofErr w:type="spellEnd"/>
      <w:r w:rsidRPr="007C6417">
        <w:rPr>
          <w:color w:val="000000"/>
          <w:lang w:val="en-US"/>
        </w:rPr>
        <w:t xml:space="preserve"> π</w:t>
      </w:r>
      <w:proofErr w:type="spellStart"/>
      <w:r w:rsidRPr="007C6417">
        <w:rPr>
          <w:color w:val="000000"/>
          <w:lang w:val="en-US"/>
        </w:rPr>
        <w:t>ολλὰ</w:t>
      </w:r>
      <w:proofErr w:type="spellEnd"/>
      <w:r w:rsidRPr="007C6417">
        <w:rPr>
          <w:color w:val="000000"/>
          <w:lang w:val="en-US"/>
        </w:rPr>
        <w:t xml:space="preserve"> καὶ παλα</w:t>
      </w:r>
      <w:proofErr w:type="spellStart"/>
      <w:r w:rsidRPr="007C6417">
        <w:rPr>
          <w:color w:val="000000"/>
          <w:lang w:val="en-US"/>
        </w:rPr>
        <w:t>ιὰ</w:t>
      </w:r>
      <w:proofErr w:type="spellEnd"/>
      <w:r w:rsidRPr="007C6417">
        <w:rPr>
          <w:color w:val="000000"/>
          <w:lang w:val="en-US"/>
        </w:rPr>
        <w:t xml:space="preserve"> </w:t>
      </w:r>
      <w:proofErr w:type="spellStart"/>
      <w:r w:rsidRPr="007C6417">
        <w:rPr>
          <w:color w:val="000000"/>
          <w:lang w:val="en-US"/>
        </w:rPr>
        <w:t>τὰ</w:t>
      </w:r>
      <w:proofErr w:type="spellEnd"/>
      <w:r w:rsidRPr="007C6417">
        <w:rPr>
          <w:color w:val="000000"/>
          <w:lang w:val="en-US"/>
        </w:rPr>
        <w:t xml:space="preserve"> </w:t>
      </w:r>
      <w:proofErr w:type="spellStart"/>
      <w:r w:rsidRPr="007C6417">
        <w:rPr>
          <w:color w:val="000000"/>
          <w:lang w:val="en-US"/>
        </w:rPr>
        <w:t>λεγόμεν</w:t>
      </w:r>
      <w:proofErr w:type="spellEnd"/>
      <w:r w:rsidRPr="007C6417">
        <w:rPr>
          <w:color w:val="000000"/>
          <w:lang w:val="en-US"/>
        </w:rPr>
        <w:t>α, π</w:t>
      </w:r>
      <w:proofErr w:type="spellStart"/>
      <w:r w:rsidRPr="007C6417">
        <w:rPr>
          <w:color w:val="000000"/>
          <w:lang w:val="en-US"/>
        </w:rPr>
        <w:t>ερὶ</w:t>
      </w:r>
      <w:proofErr w:type="spellEnd"/>
      <w:r w:rsidRPr="007C6417">
        <w:rPr>
          <w:color w:val="000000"/>
          <w:lang w:val="en-US"/>
        </w:rPr>
        <w:t xml:space="preserve"> </w:t>
      </w:r>
      <w:proofErr w:type="spellStart"/>
      <w:r w:rsidRPr="007C6417">
        <w:rPr>
          <w:color w:val="000000"/>
          <w:lang w:val="en-US"/>
        </w:rPr>
        <w:t>δὲ</w:t>
      </w:r>
      <w:proofErr w:type="spellEnd"/>
      <w:r w:rsidRPr="007C6417">
        <w:rPr>
          <w:color w:val="000000"/>
          <w:lang w:val="en-US"/>
        </w:rPr>
        <w:t xml:space="preserve"> </w:t>
      </w:r>
      <w:proofErr w:type="spellStart"/>
      <w:r w:rsidRPr="007C6417">
        <w:rPr>
          <w:color w:val="000000"/>
          <w:lang w:val="en-US"/>
        </w:rPr>
        <w:t>τοῦ</w:t>
      </w:r>
      <w:proofErr w:type="spellEnd"/>
      <w:r w:rsidRPr="007C6417">
        <w:rPr>
          <w:color w:val="000000"/>
          <w:lang w:val="en-US"/>
        </w:rPr>
        <w:t xml:space="preserve"> </w:t>
      </w:r>
      <w:proofErr w:type="spellStart"/>
      <w:r w:rsidRPr="007C6417">
        <w:rPr>
          <w:color w:val="000000"/>
          <w:lang w:val="en-US"/>
        </w:rPr>
        <w:t>συλλογίζεσθ</w:t>
      </w:r>
      <w:proofErr w:type="spellEnd"/>
      <w:r w:rsidRPr="007C6417">
        <w:rPr>
          <w:color w:val="000000"/>
          <w:lang w:val="en-US"/>
        </w:rPr>
        <w:t>αι πα</w:t>
      </w:r>
      <w:proofErr w:type="spellStart"/>
      <w:r w:rsidRPr="007C6417">
        <w:rPr>
          <w:color w:val="000000"/>
          <w:lang w:val="en-US"/>
        </w:rPr>
        <w:t>ντελῶς</w:t>
      </w:r>
      <w:proofErr w:type="spellEnd"/>
      <w:r w:rsidRPr="007C6417">
        <w:rPr>
          <w:color w:val="000000"/>
          <w:lang w:val="en-US"/>
        </w:rPr>
        <w:t xml:space="preserve"> </w:t>
      </w:r>
      <w:proofErr w:type="spellStart"/>
      <w:r w:rsidRPr="007C6417">
        <w:rPr>
          <w:color w:val="000000"/>
          <w:lang w:val="en-US"/>
        </w:rPr>
        <w:t>οὐδὲν</w:t>
      </w:r>
      <w:proofErr w:type="spellEnd"/>
      <w:r w:rsidRPr="007C6417">
        <w:rPr>
          <w:color w:val="000000"/>
          <w:lang w:val="en-US"/>
        </w:rPr>
        <w:t xml:space="preserve"> </w:t>
      </w:r>
      <w:proofErr w:type="spellStart"/>
      <w:r w:rsidRPr="007C6417">
        <w:rPr>
          <w:color w:val="000000"/>
          <w:lang w:val="en-US"/>
        </w:rPr>
        <w:t>εἴχομεν</w:t>
      </w:r>
      <w:proofErr w:type="spellEnd"/>
      <w:r w:rsidRPr="007C6417">
        <w:rPr>
          <w:color w:val="000000"/>
          <w:lang w:val="en-US"/>
        </w:rPr>
        <w:t xml:space="preserve"> π</w:t>
      </w:r>
      <w:proofErr w:type="spellStart"/>
      <w:r w:rsidRPr="007C6417">
        <w:rPr>
          <w:color w:val="000000"/>
          <w:lang w:val="en-US"/>
        </w:rPr>
        <w:t>ρότερον</w:t>
      </w:r>
      <w:proofErr w:type="spellEnd"/>
      <w:r w:rsidRPr="007C6417">
        <w:rPr>
          <w:color w:val="000000"/>
          <w:lang w:val="en-US"/>
        </w:rPr>
        <w:t xml:space="preserve"> </w:t>
      </w:r>
      <w:proofErr w:type="spellStart"/>
      <w:r w:rsidRPr="007C6417">
        <w:rPr>
          <w:color w:val="000000"/>
          <w:lang w:val="en-US"/>
        </w:rPr>
        <w:t>λέγειν</w:t>
      </w:r>
      <w:proofErr w:type="spellEnd"/>
      <w:r w:rsidRPr="007C6417">
        <w:rPr>
          <w:color w:val="000000"/>
          <w:lang w:val="en-US"/>
        </w:rPr>
        <w:t xml:space="preserve"> ἢ </w:t>
      </w:r>
      <w:proofErr w:type="spellStart"/>
      <w:r w:rsidRPr="007C6417">
        <w:rPr>
          <w:color w:val="000000"/>
          <w:lang w:val="en-US"/>
        </w:rPr>
        <w:t>τρι</w:t>
      </w:r>
      <w:proofErr w:type="spellEnd"/>
      <w:r w:rsidRPr="007C6417">
        <w:rPr>
          <w:color w:val="000000"/>
          <w:lang w:val="en-US"/>
        </w:rPr>
        <w:t xml:space="preserve">βῇ </w:t>
      </w:r>
      <w:proofErr w:type="spellStart"/>
      <w:r w:rsidRPr="007C6417">
        <w:rPr>
          <w:color w:val="000000"/>
          <w:lang w:val="en-US"/>
        </w:rPr>
        <w:t>ζητοῦντες</w:t>
      </w:r>
      <w:proofErr w:type="spellEnd"/>
      <w:r w:rsidRPr="007C6417">
        <w:rPr>
          <w:color w:val="000000"/>
          <w:lang w:val="en-US"/>
        </w:rPr>
        <w:t xml:space="preserve"> π</w:t>
      </w:r>
      <w:proofErr w:type="spellStart"/>
      <w:r w:rsidRPr="007C6417">
        <w:rPr>
          <w:color w:val="000000"/>
          <w:lang w:val="en-US"/>
        </w:rPr>
        <w:t>ολὺν</w:t>
      </w:r>
      <w:proofErr w:type="spellEnd"/>
      <w:r w:rsidRPr="007C6417">
        <w:rPr>
          <w:color w:val="000000"/>
          <w:lang w:val="en-US"/>
        </w:rPr>
        <w:t xml:space="preserve"> </w:t>
      </w:r>
      <w:proofErr w:type="spellStart"/>
      <w:r w:rsidRPr="007C6417">
        <w:rPr>
          <w:color w:val="000000"/>
          <w:lang w:val="en-US"/>
        </w:rPr>
        <w:t>χρόνον</w:t>
      </w:r>
      <w:proofErr w:type="spellEnd"/>
      <w:r w:rsidRPr="007C6417">
        <w:rPr>
          <w:color w:val="000000"/>
          <w:lang w:val="en-US"/>
        </w:rPr>
        <w:t xml:space="preserve"> ἐπ</w:t>
      </w:r>
      <w:proofErr w:type="spellStart"/>
      <w:r w:rsidRPr="007C6417">
        <w:rPr>
          <w:color w:val="000000"/>
          <w:lang w:val="en-US"/>
        </w:rPr>
        <w:t>ονοῦμεν</w:t>
      </w:r>
      <w:proofErr w:type="spellEnd"/>
      <w:r w:rsidRPr="007C6417">
        <w:rPr>
          <w:color w:val="000000"/>
          <w:lang w:val="en-US"/>
        </w:rPr>
        <w:t xml:space="preserve">. </w:t>
      </w:r>
      <w:proofErr w:type="spellStart"/>
      <w:r w:rsidRPr="007C6417">
        <w:rPr>
          <w:color w:val="000000"/>
          <w:lang w:val="en-US"/>
        </w:rPr>
        <w:t>εἰ</w:t>
      </w:r>
      <w:proofErr w:type="spellEnd"/>
      <w:r w:rsidRPr="007C6417">
        <w:rPr>
          <w:color w:val="000000"/>
          <w:lang w:val="en-US"/>
        </w:rPr>
        <w:t xml:space="preserve"> </w:t>
      </w:r>
      <w:proofErr w:type="spellStart"/>
      <w:r w:rsidRPr="007C6417">
        <w:rPr>
          <w:color w:val="000000"/>
          <w:lang w:val="en-US"/>
        </w:rPr>
        <w:t>δὲ</w:t>
      </w:r>
      <w:proofErr w:type="spellEnd"/>
      <w:r w:rsidRPr="007C6417">
        <w:rPr>
          <w:color w:val="000000"/>
          <w:lang w:val="en-US"/>
        </w:rPr>
        <w:t xml:space="preserve"> φα</w:t>
      </w:r>
      <w:proofErr w:type="spellStart"/>
      <w:r w:rsidRPr="007C6417">
        <w:rPr>
          <w:color w:val="000000"/>
          <w:lang w:val="en-US"/>
        </w:rPr>
        <w:t>ίνετ</w:t>
      </w:r>
      <w:proofErr w:type="spellEnd"/>
      <w:r w:rsidRPr="007C6417">
        <w:rPr>
          <w:color w:val="000000"/>
          <w:lang w:val="en-US"/>
        </w:rPr>
        <w:t xml:space="preserve">αι </w:t>
      </w:r>
      <w:proofErr w:type="spellStart"/>
      <w:r w:rsidRPr="007C6417">
        <w:rPr>
          <w:color w:val="000000"/>
          <w:lang w:val="en-US"/>
        </w:rPr>
        <w:t>θε</w:t>
      </w:r>
      <w:proofErr w:type="spellEnd"/>
      <w:r w:rsidRPr="007C6417">
        <w:rPr>
          <w:color w:val="000000"/>
          <w:lang w:val="en-US"/>
        </w:rPr>
        <w:t>ασα</w:t>
      </w:r>
      <w:proofErr w:type="spellStart"/>
      <w:r w:rsidRPr="007C6417">
        <w:rPr>
          <w:color w:val="000000"/>
          <w:lang w:val="en-US"/>
        </w:rPr>
        <w:t>μένοις</w:t>
      </w:r>
      <w:proofErr w:type="spellEnd"/>
      <w:r w:rsidRPr="007C6417">
        <w:rPr>
          <w:color w:val="000000"/>
          <w:lang w:val="en-US"/>
        </w:rPr>
        <w:t xml:space="preserve"> </w:t>
      </w:r>
      <w:proofErr w:type="spellStart"/>
      <w:r w:rsidRPr="007C6417">
        <w:rPr>
          <w:color w:val="000000"/>
          <w:lang w:val="en-US"/>
        </w:rPr>
        <w:t>ὑμῖν</w:t>
      </w:r>
      <w:proofErr w:type="spellEnd"/>
      <w:r w:rsidRPr="007C6417">
        <w:rPr>
          <w:color w:val="000000"/>
          <w:lang w:val="en-US"/>
        </w:rPr>
        <w:t xml:space="preserve">, </w:t>
      </w:r>
      <w:proofErr w:type="spellStart"/>
      <w:r w:rsidRPr="007C6417">
        <w:rPr>
          <w:color w:val="000000"/>
          <w:lang w:val="en-US"/>
        </w:rPr>
        <w:t>ὡς</w:t>
      </w:r>
      <w:proofErr w:type="spellEnd"/>
      <w:r w:rsidRPr="007C6417">
        <w:rPr>
          <w:color w:val="000000"/>
          <w:lang w:val="en-US"/>
        </w:rPr>
        <w:t xml:space="preserve"> </w:t>
      </w:r>
      <w:proofErr w:type="spellStart"/>
      <w:r w:rsidRPr="007C6417">
        <w:rPr>
          <w:color w:val="000000"/>
          <w:lang w:val="en-US"/>
        </w:rPr>
        <w:t>ἐκ</w:t>
      </w:r>
      <w:proofErr w:type="spellEnd"/>
      <w:r w:rsidRPr="007C6417">
        <w:rPr>
          <w:color w:val="000000"/>
          <w:lang w:val="en-US"/>
        </w:rPr>
        <w:t xml:space="preserve"> </w:t>
      </w:r>
      <w:proofErr w:type="spellStart"/>
      <w:r w:rsidRPr="007C6417">
        <w:rPr>
          <w:color w:val="000000"/>
          <w:lang w:val="en-US"/>
        </w:rPr>
        <w:t>τοιούτων</w:t>
      </w:r>
      <w:proofErr w:type="spellEnd"/>
      <w:r w:rsidRPr="007C6417">
        <w:rPr>
          <w:color w:val="000000"/>
          <w:lang w:val="en-US"/>
        </w:rPr>
        <w:t xml:space="preserve"> </w:t>
      </w:r>
      <w:proofErr w:type="spellStart"/>
      <w:r w:rsidRPr="007C6417">
        <w:rPr>
          <w:color w:val="000000"/>
          <w:lang w:val="en-US"/>
        </w:rPr>
        <w:t>ἐξ</w:t>
      </w:r>
      <w:proofErr w:type="spellEnd"/>
      <w:r w:rsidRPr="007C6417">
        <w:rPr>
          <w:color w:val="000000"/>
          <w:lang w:val="en-US"/>
        </w:rPr>
        <w:t xml:space="preserve"> </w:t>
      </w:r>
      <w:proofErr w:type="spellStart"/>
      <w:r w:rsidRPr="007C6417">
        <w:rPr>
          <w:color w:val="000000"/>
          <w:lang w:val="en-US"/>
        </w:rPr>
        <w:t>ἀρχῆς</w:t>
      </w:r>
      <w:proofErr w:type="spellEnd"/>
      <w:r w:rsidRPr="007C6417">
        <w:rPr>
          <w:color w:val="000000"/>
          <w:lang w:val="en-US"/>
        </w:rPr>
        <w:t xml:space="preserve"> ὑπα</w:t>
      </w:r>
      <w:proofErr w:type="spellStart"/>
      <w:r w:rsidRPr="007C6417">
        <w:rPr>
          <w:color w:val="000000"/>
          <w:lang w:val="en-US"/>
        </w:rPr>
        <w:t>ρχόντων</w:t>
      </w:r>
      <w:proofErr w:type="spellEnd"/>
      <w:r w:rsidRPr="007C6417">
        <w:rPr>
          <w:color w:val="000000"/>
          <w:lang w:val="en-US"/>
        </w:rPr>
        <w:t xml:space="preserve">, </w:t>
      </w:r>
      <w:proofErr w:type="spellStart"/>
      <w:r w:rsidRPr="007C6417">
        <w:rPr>
          <w:color w:val="000000"/>
          <w:lang w:val="en-US"/>
        </w:rPr>
        <w:t>ἔχειν</w:t>
      </w:r>
      <w:proofErr w:type="spellEnd"/>
      <w:r w:rsidRPr="007C6417">
        <w:rPr>
          <w:color w:val="000000"/>
          <w:lang w:val="en-US"/>
        </w:rPr>
        <w:t xml:space="preserve"> ἡ </w:t>
      </w:r>
      <w:proofErr w:type="spellStart"/>
      <w:r w:rsidRPr="007C6417">
        <w:rPr>
          <w:color w:val="000000"/>
          <w:lang w:val="en-US"/>
        </w:rPr>
        <w:t>μέθοδος</w:t>
      </w:r>
      <w:proofErr w:type="spellEnd"/>
      <w:r w:rsidRPr="007C6417">
        <w:rPr>
          <w:color w:val="000000"/>
          <w:lang w:val="en-US"/>
        </w:rPr>
        <w:t xml:space="preserve"> </w:t>
      </w:r>
      <w:proofErr w:type="spellStart"/>
      <w:r w:rsidRPr="007C6417">
        <w:rPr>
          <w:color w:val="000000"/>
          <w:lang w:val="en-US"/>
        </w:rPr>
        <w:t>ἱκ</w:t>
      </w:r>
      <w:proofErr w:type="spellEnd"/>
      <w:r w:rsidRPr="007C6417">
        <w:rPr>
          <w:color w:val="000000"/>
          <w:lang w:val="en-US"/>
        </w:rPr>
        <w:t>α</w:t>
      </w:r>
      <w:proofErr w:type="spellStart"/>
      <w:r w:rsidRPr="007C6417">
        <w:rPr>
          <w:color w:val="000000"/>
          <w:lang w:val="en-US"/>
        </w:rPr>
        <w:t>νῶς</w:t>
      </w:r>
      <w:proofErr w:type="spellEnd"/>
      <w:r w:rsidRPr="007C6417">
        <w:rPr>
          <w:color w:val="000000"/>
          <w:lang w:val="en-US"/>
        </w:rPr>
        <w:t xml:space="preserve"> πα</w:t>
      </w:r>
      <w:proofErr w:type="spellStart"/>
      <w:r w:rsidRPr="007C6417">
        <w:rPr>
          <w:color w:val="000000"/>
          <w:lang w:val="en-US"/>
        </w:rPr>
        <w:t>ρὰ</w:t>
      </w:r>
      <w:proofErr w:type="spellEnd"/>
      <w:r w:rsidRPr="007C6417">
        <w:rPr>
          <w:color w:val="000000"/>
          <w:lang w:val="en-US"/>
        </w:rPr>
        <w:t xml:space="preserve"> </w:t>
      </w:r>
      <w:proofErr w:type="spellStart"/>
      <w:r w:rsidRPr="007C6417">
        <w:rPr>
          <w:color w:val="000000"/>
          <w:lang w:val="en-US"/>
        </w:rPr>
        <w:t>τὰς</w:t>
      </w:r>
      <w:proofErr w:type="spellEnd"/>
      <w:r w:rsidRPr="007C6417">
        <w:rPr>
          <w:color w:val="000000"/>
          <w:lang w:val="en-US"/>
        </w:rPr>
        <w:t xml:space="preserve"> </w:t>
      </w:r>
      <w:proofErr w:type="spellStart"/>
      <w:r w:rsidRPr="007C6417">
        <w:rPr>
          <w:color w:val="000000"/>
          <w:lang w:val="en-US"/>
        </w:rPr>
        <w:t>ἄλλ</w:t>
      </w:r>
      <w:proofErr w:type="spellEnd"/>
      <w:r w:rsidRPr="007C6417">
        <w:rPr>
          <w:color w:val="000000"/>
          <w:lang w:val="en-US"/>
        </w:rPr>
        <w:t>ας πρα</w:t>
      </w:r>
      <w:proofErr w:type="spellStart"/>
      <w:r w:rsidRPr="007C6417">
        <w:rPr>
          <w:color w:val="000000"/>
          <w:lang w:val="en-US"/>
        </w:rPr>
        <w:t>γμ</w:t>
      </w:r>
      <w:proofErr w:type="spellEnd"/>
      <w:r w:rsidRPr="007C6417">
        <w:rPr>
          <w:color w:val="000000"/>
          <w:lang w:val="en-US"/>
        </w:rPr>
        <w:t>α</w:t>
      </w:r>
      <w:proofErr w:type="spellStart"/>
      <w:r w:rsidRPr="007C6417">
        <w:rPr>
          <w:color w:val="000000"/>
          <w:lang w:val="en-US"/>
        </w:rPr>
        <w:t>τεί</w:t>
      </w:r>
      <w:proofErr w:type="spellEnd"/>
      <w:r w:rsidRPr="007C6417">
        <w:rPr>
          <w:color w:val="000000"/>
          <w:lang w:val="en-US"/>
        </w:rPr>
        <w:t xml:space="preserve">ας </w:t>
      </w:r>
      <w:proofErr w:type="spellStart"/>
      <w:r w:rsidRPr="007C6417">
        <w:rPr>
          <w:color w:val="000000"/>
          <w:lang w:val="en-US"/>
        </w:rPr>
        <w:t>τὰς</w:t>
      </w:r>
      <w:proofErr w:type="spellEnd"/>
      <w:r w:rsidRPr="007C6417">
        <w:rPr>
          <w:color w:val="000000"/>
          <w:lang w:val="en-US"/>
        </w:rPr>
        <w:t xml:space="preserve"> </w:t>
      </w:r>
      <w:proofErr w:type="spellStart"/>
      <w:r w:rsidRPr="007C6417">
        <w:rPr>
          <w:color w:val="000000"/>
          <w:lang w:val="en-US"/>
        </w:rPr>
        <w:t>ἐκ</w:t>
      </w:r>
      <w:proofErr w:type="spellEnd"/>
      <w:r w:rsidRPr="007C6417">
        <w:rPr>
          <w:color w:val="000000"/>
          <w:lang w:val="en-US"/>
        </w:rPr>
        <w:t xml:space="preserve"> παρα</w:t>
      </w:r>
      <w:proofErr w:type="spellStart"/>
      <w:r w:rsidRPr="007C6417">
        <w:rPr>
          <w:color w:val="000000"/>
          <w:lang w:val="en-US"/>
        </w:rPr>
        <w:t>δόσεως</w:t>
      </w:r>
      <w:proofErr w:type="spellEnd"/>
      <w:r w:rsidRPr="007C6417">
        <w:rPr>
          <w:color w:val="000000"/>
          <w:lang w:val="en-US"/>
        </w:rPr>
        <w:t xml:space="preserve"> </w:t>
      </w:r>
      <w:proofErr w:type="spellStart"/>
      <w:r w:rsidRPr="007C6417">
        <w:rPr>
          <w:color w:val="000000"/>
          <w:lang w:val="en-US"/>
        </w:rPr>
        <w:t>ηὐξημέν</w:t>
      </w:r>
      <w:proofErr w:type="spellEnd"/>
      <w:r w:rsidRPr="007C6417">
        <w:rPr>
          <w:color w:val="000000"/>
          <w:lang w:val="en-US"/>
        </w:rPr>
        <w:t xml:space="preserve">ας, </w:t>
      </w:r>
      <w:proofErr w:type="spellStart"/>
      <w:r w:rsidRPr="007C6417">
        <w:rPr>
          <w:color w:val="000000"/>
          <w:lang w:val="en-US"/>
        </w:rPr>
        <w:t>λοι</w:t>
      </w:r>
      <w:proofErr w:type="spellEnd"/>
      <w:r w:rsidRPr="007C6417">
        <w:rPr>
          <w:color w:val="000000"/>
          <w:lang w:val="en-US"/>
        </w:rPr>
        <w:t>π</w:t>
      </w:r>
      <w:proofErr w:type="spellStart"/>
      <w:r w:rsidRPr="007C6417">
        <w:rPr>
          <w:color w:val="000000"/>
          <w:lang w:val="en-US"/>
        </w:rPr>
        <w:t>ὸν</w:t>
      </w:r>
      <w:proofErr w:type="spellEnd"/>
      <w:r w:rsidRPr="007C6417">
        <w:rPr>
          <w:color w:val="000000"/>
          <w:lang w:val="en-US"/>
        </w:rPr>
        <w:t xml:space="preserve"> </w:t>
      </w:r>
      <w:proofErr w:type="spellStart"/>
      <w:r w:rsidRPr="007C6417">
        <w:rPr>
          <w:color w:val="000000"/>
          <w:lang w:val="en-US"/>
        </w:rPr>
        <w:t>ἂν</w:t>
      </w:r>
      <w:proofErr w:type="spellEnd"/>
      <w:r w:rsidRPr="007C6417">
        <w:rPr>
          <w:color w:val="000000"/>
          <w:lang w:val="en-US"/>
        </w:rPr>
        <w:t xml:space="preserve"> </w:t>
      </w:r>
      <w:proofErr w:type="spellStart"/>
      <w:r w:rsidRPr="007C6417">
        <w:rPr>
          <w:color w:val="000000"/>
          <w:lang w:val="en-US"/>
        </w:rPr>
        <w:t>εἴη</w:t>
      </w:r>
      <w:proofErr w:type="spellEnd"/>
      <w:r w:rsidRPr="007C6417">
        <w:rPr>
          <w:color w:val="000000"/>
          <w:lang w:val="en-US"/>
        </w:rPr>
        <w:t xml:space="preserve"> π</w:t>
      </w:r>
      <w:proofErr w:type="spellStart"/>
      <w:r w:rsidRPr="007C6417">
        <w:rPr>
          <w:color w:val="000000"/>
          <w:lang w:val="en-US"/>
        </w:rPr>
        <w:t>άντων</w:t>
      </w:r>
      <w:proofErr w:type="spellEnd"/>
      <w:r w:rsidRPr="007C6417">
        <w:rPr>
          <w:color w:val="000000"/>
          <w:lang w:val="en-US"/>
        </w:rPr>
        <w:t xml:space="preserve"> </w:t>
      </w:r>
      <w:proofErr w:type="spellStart"/>
      <w:r w:rsidRPr="007C6417">
        <w:rPr>
          <w:color w:val="000000"/>
          <w:lang w:val="en-US"/>
        </w:rPr>
        <w:t>ὑμῶν</w:t>
      </w:r>
      <w:proofErr w:type="spellEnd"/>
      <w:r w:rsidRPr="007C6417">
        <w:rPr>
          <w:color w:val="000000"/>
          <w:lang w:val="en-US"/>
        </w:rPr>
        <w:t xml:space="preserve"> ἢ </w:t>
      </w:r>
      <w:proofErr w:type="spellStart"/>
      <w:r w:rsidRPr="007C6417">
        <w:rPr>
          <w:color w:val="000000"/>
          <w:lang w:val="en-US"/>
        </w:rPr>
        <w:t>τῶν</w:t>
      </w:r>
      <w:proofErr w:type="spellEnd"/>
      <w:r w:rsidRPr="007C6417">
        <w:rPr>
          <w:color w:val="000000"/>
          <w:lang w:val="en-US"/>
        </w:rPr>
        <w:t xml:space="preserve"> </w:t>
      </w:r>
      <w:proofErr w:type="spellStart"/>
      <w:r w:rsidRPr="007C6417">
        <w:rPr>
          <w:color w:val="000000"/>
          <w:lang w:val="en-US"/>
        </w:rPr>
        <w:t>ἠκρο</w:t>
      </w:r>
      <w:proofErr w:type="spellEnd"/>
      <w:r w:rsidRPr="007C6417">
        <w:rPr>
          <w:color w:val="000000"/>
          <w:lang w:val="en-US"/>
        </w:rPr>
        <w:t>α</w:t>
      </w:r>
      <w:proofErr w:type="spellStart"/>
      <w:r w:rsidRPr="007C6417">
        <w:rPr>
          <w:color w:val="000000"/>
          <w:lang w:val="en-US"/>
        </w:rPr>
        <w:t>μένων</w:t>
      </w:r>
      <w:proofErr w:type="spellEnd"/>
      <w:r w:rsidRPr="007C6417">
        <w:rPr>
          <w:color w:val="000000"/>
          <w:lang w:val="en-US"/>
        </w:rPr>
        <w:t xml:space="preserve"> </w:t>
      </w:r>
      <w:proofErr w:type="spellStart"/>
      <w:r w:rsidRPr="007C6417">
        <w:rPr>
          <w:color w:val="000000"/>
          <w:lang w:val="en-US"/>
        </w:rPr>
        <w:t>ἔργον</w:t>
      </w:r>
      <w:proofErr w:type="spellEnd"/>
      <w:r w:rsidRPr="007C6417">
        <w:rPr>
          <w:color w:val="000000"/>
          <w:lang w:val="en-US"/>
        </w:rPr>
        <w:t xml:space="preserve"> </w:t>
      </w:r>
      <w:proofErr w:type="spellStart"/>
      <w:r w:rsidRPr="007C6417">
        <w:rPr>
          <w:color w:val="000000"/>
          <w:lang w:val="en-US"/>
        </w:rPr>
        <w:t>τοῖς</w:t>
      </w:r>
      <w:proofErr w:type="spellEnd"/>
      <w:r w:rsidRPr="007C6417">
        <w:rPr>
          <w:color w:val="000000"/>
          <w:lang w:val="en-US"/>
        </w:rPr>
        <w:t xml:space="preserve"> </w:t>
      </w:r>
      <w:proofErr w:type="spellStart"/>
      <w:r w:rsidRPr="007C6417">
        <w:rPr>
          <w:color w:val="000000"/>
          <w:lang w:val="en-US"/>
        </w:rPr>
        <w:t>μὲν</w:t>
      </w:r>
      <w:proofErr w:type="spellEnd"/>
      <w:r w:rsidRPr="007C6417">
        <w:rPr>
          <w:color w:val="000000"/>
          <w:lang w:val="en-US"/>
        </w:rPr>
        <w:t xml:space="preserve"> παρα</w:t>
      </w:r>
      <w:proofErr w:type="spellStart"/>
      <w:r w:rsidRPr="007C6417">
        <w:rPr>
          <w:color w:val="000000"/>
          <w:lang w:val="en-US"/>
        </w:rPr>
        <w:t>λελειμμένοις</w:t>
      </w:r>
      <w:proofErr w:type="spellEnd"/>
      <w:r w:rsidRPr="007C6417">
        <w:rPr>
          <w:color w:val="000000"/>
          <w:lang w:val="en-US"/>
        </w:rPr>
        <w:t xml:space="preserve"> </w:t>
      </w:r>
      <w:proofErr w:type="spellStart"/>
      <w:r w:rsidRPr="007C6417">
        <w:rPr>
          <w:color w:val="000000"/>
          <w:lang w:val="en-US"/>
        </w:rPr>
        <w:t>τῆς</w:t>
      </w:r>
      <w:proofErr w:type="spellEnd"/>
      <w:r w:rsidRPr="007C6417">
        <w:rPr>
          <w:color w:val="000000"/>
          <w:lang w:val="en-US"/>
        </w:rPr>
        <w:t xml:space="preserve"> </w:t>
      </w:r>
      <w:proofErr w:type="spellStart"/>
      <w:r w:rsidRPr="007C6417">
        <w:rPr>
          <w:color w:val="000000"/>
          <w:lang w:val="en-US"/>
        </w:rPr>
        <w:t>μεθόδου</w:t>
      </w:r>
      <w:proofErr w:type="spellEnd"/>
      <w:r w:rsidRPr="007C6417">
        <w:rPr>
          <w:color w:val="000000"/>
          <w:lang w:val="en-US"/>
        </w:rPr>
        <w:t xml:space="preserve"> </w:t>
      </w:r>
      <w:proofErr w:type="spellStart"/>
      <w:r w:rsidRPr="007C6417">
        <w:rPr>
          <w:color w:val="000000"/>
          <w:lang w:val="en-US"/>
        </w:rPr>
        <w:t>συγγνώμην</w:t>
      </w:r>
      <w:proofErr w:type="spellEnd"/>
      <w:r w:rsidRPr="007C6417">
        <w:rPr>
          <w:color w:val="000000"/>
          <w:lang w:val="en-US"/>
        </w:rPr>
        <w:t xml:space="preserve"> </w:t>
      </w:r>
      <w:proofErr w:type="spellStart"/>
      <w:r w:rsidRPr="007C6417">
        <w:rPr>
          <w:color w:val="000000"/>
          <w:lang w:val="en-US"/>
        </w:rPr>
        <w:t>τοῖς</w:t>
      </w:r>
      <w:proofErr w:type="spellEnd"/>
      <w:r w:rsidRPr="007C6417">
        <w:rPr>
          <w:color w:val="000000"/>
          <w:lang w:val="en-US"/>
        </w:rPr>
        <w:t xml:space="preserve"> δ᾽ </w:t>
      </w:r>
      <w:proofErr w:type="spellStart"/>
      <w:r w:rsidRPr="007C6417">
        <w:rPr>
          <w:color w:val="000000"/>
          <w:lang w:val="en-US"/>
        </w:rPr>
        <w:t>εὑρημένοις</w:t>
      </w:r>
      <w:proofErr w:type="spellEnd"/>
      <w:r w:rsidRPr="007C6417">
        <w:rPr>
          <w:color w:val="000000"/>
          <w:lang w:val="en-US"/>
        </w:rPr>
        <w:t xml:space="preserve"> π</w:t>
      </w:r>
      <w:proofErr w:type="spellStart"/>
      <w:r w:rsidRPr="007C6417">
        <w:rPr>
          <w:color w:val="000000"/>
          <w:lang w:val="en-US"/>
        </w:rPr>
        <w:t>ολλὴν</w:t>
      </w:r>
      <w:proofErr w:type="spellEnd"/>
      <w:r w:rsidRPr="007C6417">
        <w:rPr>
          <w:color w:val="000000"/>
          <w:lang w:val="en-US"/>
        </w:rPr>
        <w:t xml:space="preserve"> </w:t>
      </w:r>
      <w:proofErr w:type="spellStart"/>
      <w:r w:rsidRPr="007C6417">
        <w:rPr>
          <w:color w:val="000000"/>
          <w:lang w:val="en-US"/>
        </w:rPr>
        <w:t>ἔχειν</w:t>
      </w:r>
      <w:proofErr w:type="spellEnd"/>
      <w:r w:rsidRPr="007C6417">
        <w:rPr>
          <w:color w:val="000000"/>
          <w:lang w:val="en-US"/>
        </w:rPr>
        <w:t xml:space="preserve"> </w:t>
      </w:r>
      <w:proofErr w:type="spellStart"/>
      <w:r w:rsidRPr="007C6417">
        <w:rPr>
          <w:color w:val="000000"/>
          <w:lang w:val="en-US"/>
        </w:rPr>
        <w:t>χάριν</w:t>
      </w:r>
      <w:proofErr w:type="spellEnd"/>
      <w:r w:rsidRPr="007C6417">
        <w:rPr>
          <w:color w:val="000000"/>
          <w:lang w:val="en-US"/>
        </w:rPr>
        <w:t>.</w:t>
      </w:r>
      <w:r w:rsidRPr="007C6417">
        <w:rPr>
          <w:color w:val="000000"/>
          <w:lang w:val="en-US"/>
        </w:rPr>
        <w:br/>
        <w:t>(</w:t>
      </w:r>
      <w:proofErr w:type="spellStart"/>
      <w:r w:rsidRPr="007C6417">
        <w:rPr>
          <w:color w:val="000000"/>
          <w:lang w:val="en-US"/>
        </w:rPr>
        <w:t>Σοφ</w:t>
      </w:r>
      <w:proofErr w:type="spellEnd"/>
      <w:r w:rsidRPr="007C6417">
        <w:rPr>
          <w:color w:val="000000"/>
          <w:lang w:val="en-US"/>
        </w:rPr>
        <w:t>. Ελ. 184a9–184b8)</w:t>
      </w:r>
    </w:p>
    <w:p w14:paraId="6B070C00" w14:textId="77777777" w:rsidR="00304420" w:rsidRPr="007C6417" w:rsidRDefault="00304420" w:rsidP="00304420">
      <w:pPr>
        <w:pStyle w:val="NormalWeb"/>
        <w:rPr>
          <w:color w:val="000000"/>
          <w:lang w:val="en-US"/>
        </w:rPr>
      </w:pPr>
      <w:r w:rsidRPr="007C6417">
        <w:rPr>
          <w:color w:val="000000"/>
          <w:lang w:val="en-US"/>
        </w:rPr>
        <w:t>In the field of rhetoric there were many things that had been said long ago. With regard to syllogistic, however, there was no earlier work to which we could refer, and for a long time we labored painfully on our own. If, then, on the basis of the works that have been produced for the first time, you judge that our method is satisfactory in comparison with those that have been shaped by tradition, then what remains for all of you, or for those who have attended our teaching, is to grant indulgence for what has been omitted and to show much gratitude for what has been discovered.</w:t>
      </w:r>
    </w:p>
    <w:p w14:paraId="0BD05CF3" w14:textId="5DE6B061" w:rsidR="00304420" w:rsidRPr="007C6417" w:rsidRDefault="00304420" w:rsidP="00304420">
      <w:pPr>
        <w:pStyle w:val="NormalWeb"/>
        <w:rPr>
          <w:color w:val="000000"/>
          <w:lang w:val="en-US"/>
        </w:rPr>
      </w:pPr>
      <w:r w:rsidRPr="007C6417">
        <w:rPr>
          <w:color w:val="000000"/>
          <w:lang w:val="en-US"/>
        </w:rPr>
        <w:t>The passage above allows us a rare glimpse into Aristotle’s own view of his work and its significance. At the same time, it highlights the unity of Aristotle’s logical works—the works of the so-called</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00D64CAF" w:rsidRPr="007C6417">
        <w:rPr>
          <w:color w:val="000000"/>
          <w:lang w:val="en-US"/>
        </w:rPr>
        <w:t>,</w:t>
      </w:r>
      <w:r w:rsidR="00D64CAF" w:rsidRPr="007C6417">
        <w:rPr>
          <w:rStyle w:val="FootnoteReference"/>
          <w:color w:val="000000"/>
          <w:lang w:val="en-US"/>
        </w:rPr>
        <w:footnoteReference w:id="4"/>
      </w:r>
      <w:r w:rsidR="00D64CAF" w:rsidRPr="007C6417">
        <w:rPr>
          <w:color w:val="000000"/>
          <w:lang w:val="en-US"/>
        </w:rPr>
        <w:t xml:space="preserve"> </w:t>
      </w:r>
      <w:r w:rsidRPr="007C6417">
        <w:rPr>
          <w:color w:val="000000"/>
          <w:lang w:val="en-US"/>
        </w:rPr>
        <w:t>and of the project of creating an art of syllogizing that can be applied widely both in science and in dialectic.</w:t>
      </w:r>
      <w:r w:rsidR="00D64CAF" w:rsidRPr="007C6417">
        <w:rPr>
          <w:rStyle w:val="FootnoteReference"/>
          <w:color w:val="000000"/>
          <w:lang w:val="en-US"/>
        </w:rPr>
        <w:footnoteReference w:id="5"/>
      </w:r>
      <w:r w:rsidRPr="007C6417">
        <w:rPr>
          <w:color w:val="000000"/>
          <w:lang w:val="en-US"/>
        </w:rPr>
        <w:t xml:space="preserve"> It is, of course, no coincidence that the Sophistical Refutations, which end with the passage cited above, were placed at the end of Aristotle’s logical works. The </w:t>
      </w:r>
      <w:r w:rsidRPr="007C6417">
        <w:rPr>
          <w:i/>
          <w:iCs/>
          <w:color w:val="000000"/>
          <w:lang w:val="en-US"/>
        </w:rPr>
        <w:t>Prior Analytics</w:t>
      </w:r>
      <w:r w:rsidRPr="007C6417">
        <w:rPr>
          <w:color w:val="000000"/>
          <w:lang w:val="en-US"/>
        </w:rPr>
        <w:t xml:space="preserve"> begin with the claim that the syllogism is the object of demonstrative science</w:t>
      </w:r>
      <w:r w:rsidR="00D64CAF" w:rsidRPr="007C6417">
        <w:rPr>
          <w:color w:val="000000"/>
          <w:lang w:val="en-US"/>
        </w:rPr>
        <w:t xml:space="preserve">, </w:t>
      </w:r>
      <w:r w:rsidRPr="007C6417">
        <w:rPr>
          <w:color w:val="000000"/>
          <w:lang w:val="en-US"/>
        </w:rPr>
        <w:t>that is, of the science of demonstration.</w:t>
      </w:r>
      <w:r w:rsidR="007C6417">
        <w:rPr>
          <w:color w:val="000000"/>
          <w:lang w:val="en-US"/>
        </w:rPr>
        <w:t xml:space="preserve"> </w:t>
      </w:r>
    </w:p>
    <w:p w14:paraId="538A942B" w14:textId="77777777" w:rsidR="00304420" w:rsidRPr="007C6417" w:rsidRDefault="00304420" w:rsidP="00304420">
      <w:pPr>
        <w:pStyle w:val="NormalWeb"/>
        <w:rPr>
          <w:color w:val="000000"/>
          <w:lang w:val="en-US"/>
        </w:rPr>
      </w:pPr>
      <w:proofErr w:type="spellStart"/>
      <w:r w:rsidRPr="007C6417">
        <w:rPr>
          <w:color w:val="000000"/>
          <w:lang w:val="en-US"/>
        </w:rPr>
        <w:t>Πρῶτον</w:t>
      </w:r>
      <w:proofErr w:type="spellEnd"/>
      <w:r w:rsidRPr="007C6417">
        <w:rPr>
          <w:color w:val="000000"/>
          <w:lang w:val="en-US"/>
        </w:rPr>
        <w:t xml:space="preserve"> </w:t>
      </w:r>
      <w:proofErr w:type="spellStart"/>
      <w:r w:rsidRPr="007C6417">
        <w:rPr>
          <w:color w:val="000000"/>
          <w:lang w:val="en-US"/>
        </w:rPr>
        <w:t>εἰ</w:t>
      </w:r>
      <w:proofErr w:type="spellEnd"/>
      <w:r w:rsidRPr="007C6417">
        <w:rPr>
          <w:color w:val="000000"/>
          <w:lang w:val="en-US"/>
        </w:rPr>
        <w:t>π</w:t>
      </w:r>
      <w:proofErr w:type="spellStart"/>
      <w:r w:rsidRPr="007C6417">
        <w:rPr>
          <w:color w:val="000000"/>
          <w:lang w:val="en-US"/>
        </w:rPr>
        <w:t>εῖν</w:t>
      </w:r>
      <w:proofErr w:type="spellEnd"/>
      <w:r w:rsidRPr="007C6417">
        <w:rPr>
          <w:color w:val="000000"/>
          <w:lang w:val="en-US"/>
        </w:rPr>
        <w:t xml:space="preserve"> π</w:t>
      </w:r>
      <w:proofErr w:type="spellStart"/>
      <w:r w:rsidRPr="007C6417">
        <w:rPr>
          <w:color w:val="000000"/>
          <w:lang w:val="en-US"/>
        </w:rPr>
        <w:t>ερὶ</w:t>
      </w:r>
      <w:proofErr w:type="spellEnd"/>
      <w:r w:rsidRPr="007C6417">
        <w:rPr>
          <w:color w:val="000000"/>
          <w:lang w:val="en-US"/>
        </w:rPr>
        <w:t xml:space="preserve"> </w:t>
      </w:r>
      <w:proofErr w:type="spellStart"/>
      <w:r w:rsidRPr="007C6417">
        <w:rPr>
          <w:color w:val="000000"/>
          <w:lang w:val="en-US"/>
        </w:rPr>
        <w:t>τί</w:t>
      </w:r>
      <w:proofErr w:type="spellEnd"/>
      <w:r w:rsidRPr="007C6417">
        <w:rPr>
          <w:color w:val="000000"/>
          <w:lang w:val="en-US"/>
        </w:rPr>
        <w:t xml:space="preserve"> καὶ </w:t>
      </w:r>
      <w:proofErr w:type="spellStart"/>
      <w:r w:rsidRPr="007C6417">
        <w:rPr>
          <w:color w:val="000000"/>
          <w:lang w:val="en-US"/>
        </w:rPr>
        <w:t>τίνος</w:t>
      </w:r>
      <w:proofErr w:type="spellEnd"/>
      <w:r w:rsidRPr="007C6417">
        <w:rPr>
          <w:color w:val="000000"/>
          <w:lang w:val="en-US"/>
        </w:rPr>
        <w:t xml:space="preserve"> </w:t>
      </w:r>
      <w:proofErr w:type="spellStart"/>
      <w:r w:rsidRPr="007C6417">
        <w:rPr>
          <w:color w:val="000000"/>
          <w:lang w:val="en-US"/>
        </w:rPr>
        <w:t>ἐστὶν</w:t>
      </w:r>
      <w:proofErr w:type="spellEnd"/>
      <w:r w:rsidRPr="007C6417">
        <w:rPr>
          <w:color w:val="000000"/>
          <w:lang w:val="en-US"/>
        </w:rPr>
        <w:t xml:space="preserve"> ἡ </w:t>
      </w:r>
      <w:proofErr w:type="spellStart"/>
      <w:r w:rsidRPr="007C6417">
        <w:rPr>
          <w:color w:val="000000"/>
          <w:lang w:val="en-US"/>
        </w:rPr>
        <w:t>σκέψις</w:t>
      </w:r>
      <w:proofErr w:type="spellEnd"/>
      <w:r w:rsidRPr="007C6417">
        <w:rPr>
          <w:color w:val="000000"/>
          <w:lang w:val="en-US"/>
        </w:rPr>
        <w:t xml:space="preserve">, </w:t>
      </w:r>
      <w:proofErr w:type="spellStart"/>
      <w:r w:rsidRPr="007C6417">
        <w:rPr>
          <w:color w:val="000000"/>
          <w:lang w:val="en-US"/>
        </w:rPr>
        <w:t>ὅτι</w:t>
      </w:r>
      <w:proofErr w:type="spellEnd"/>
      <w:r w:rsidRPr="007C6417">
        <w:rPr>
          <w:color w:val="000000"/>
          <w:lang w:val="en-US"/>
        </w:rPr>
        <w:t xml:space="preserve"> π</w:t>
      </w:r>
      <w:proofErr w:type="spellStart"/>
      <w:r w:rsidRPr="007C6417">
        <w:rPr>
          <w:color w:val="000000"/>
          <w:lang w:val="en-US"/>
        </w:rPr>
        <w:t>ερὶ</w:t>
      </w:r>
      <w:proofErr w:type="spellEnd"/>
      <w:r w:rsidRPr="007C6417">
        <w:rPr>
          <w:color w:val="000000"/>
          <w:lang w:val="en-US"/>
        </w:rPr>
        <w:t xml:space="preserve"> ἀπ</w:t>
      </w:r>
      <w:proofErr w:type="spellStart"/>
      <w:r w:rsidRPr="007C6417">
        <w:rPr>
          <w:color w:val="000000"/>
          <w:lang w:val="en-US"/>
        </w:rPr>
        <w:t>όδειξιν</w:t>
      </w:r>
      <w:proofErr w:type="spellEnd"/>
      <w:r w:rsidRPr="007C6417">
        <w:rPr>
          <w:color w:val="000000"/>
          <w:lang w:val="en-US"/>
        </w:rPr>
        <w:t xml:space="preserve"> καὶ ἐπ</w:t>
      </w:r>
      <w:proofErr w:type="spellStart"/>
      <w:r w:rsidRPr="007C6417">
        <w:rPr>
          <w:color w:val="000000"/>
          <w:lang w:val="en-US"/>
        </w:rPr>
        <w:t>ιστήμης</w:t>
      </w:r>
      <w:proofErr w:type="spellEnd"/>
      <w:r w:rsidRPr="007C6417">
        <w:rPr>
          <w:color w:val="000000"/>
          <w:lang w:val="en-US"/>
        </w:rPr>
        <w:t xml:space="preserve"> ἀπ</w:t>
      </w:r>
      <w:proofErr w:type="spellStart"/>
      <w:r w:rsidRPr="007C6417">
        <w:rPr>
          <w:color w:val="000000"/>
          <w:lang w:val="en-US"/>
        </w:rPr>
        <w:t>οδεικτικῆς</w:t>
      </w:r>
      <w:proofErr w:type="spellEnd"/>
      <w:r w:rsidRPr="007C6417">
        <w:rPr>
          <w:color w:val="000000"/>
          <w:lang w:val="en-US"/>
        </w:rPr>
        <w:t>. (24a10–11)</w:t>
      </w:r>
    </w:p>
    <w:p w14:paraId="066310D0" w14:textId="77777777" w:rsidR="00304420" w:rsidRPr="007C6417" w:rsidRDefault="00304420" w:rsidP="00304420">
      <w:pPr>
        <w:pStyle w:val="NormalWeb"/>
        <w:rPr>
          <w:color w:val="000000"/>
          <w:lang w:val="en-US"/>
        </w:rPr>
      </w:pPr>
      <w:r w:rsidRPr="007C6417">
        <w:rPr>
          <w:color w:val="000000"/>
          <w:lang w:val="en-US"/>
        </w:rPr>
        <w:t>At the outset, we must state what the present inquiry is about and to which science it belongs: its object is demonstration and science—demonstrative science.</w:t>
      </w:r>
    </w:p>
    <w:p w14:paraId="2188B137" w14:textId="77777777" w:rsidR="00304420" w:rsidRPr="007C6417" w:rsidRDefault="00304420" w:rsidP="00304420">
      <w:pPr>
        <w:pStyle w:val="NormalWeb"/>
        <w:rPr>
          <w:color w:val="000000"/>
          <w:lang w:val="en-US"/>
        </w:rPr>
      </w:pPr>
      <w:r w:rsidRPr="007C6417">
        <w:rPr>
          <w:color w:val="000000"/>
          <w:lang w:val="en-US"/>
        </w:rPr>
        <w:t xml:space="preserve">Demonstrative science begins with the theory of the syllogism, that is, syllogistic, which is presented in detail in the Prior Analytics, and continues with the theory of scientific </w:t>
      </w:r>
      <w:r w:rsidRPr="007C6417">
        <w:rPr>
          <w:color w:val="000000"/>
          <w:lang w:val="en-US"/>
        </w:rPr>
        <w:lastRenderedPageBreak/>
        <w:t xml:space="preserve">demonstration—that is, with the way in which we generate scientific knowledge, namely, how we arrive at conclusions of a scientific kind. This is the subject of the Posterior Analytics. Aristotle maintains that every demonstration is a syllogism, but not every syllogism is a demonstration (25b28–31). In this sense, the </w:t>
      </w:r>
      <w:r w:rsidRPr="007C6417">
        <w:rPr>
          <w:i/>
          <w:iCs/>
          <w:color w:val="000000"/>
          <w:lang w:val="en-US"/>
        </w:rPr>
        <w:t>Prior</w:t>
      </w:r>
      <w:r w:rsidRPr="007C6417">
        <w:rPr>
          <w:color w:val="000000"/>
          <w:lang w:val="en-US"/>
        </w:rPr>
        <w:t xml:space="preserve"> and </w:t>
      </w:r>
      <w:r w:rsidRPr="007C6417">
        <w:rPr>
          <w:i/>
          <w:iCs/>
          <w:color w:val="000000"/>
          <w:lang w:val="en-US"/>
        </w:rPr>
        <w:t>Posterior</w:t>
      </w:r>
      <w:r w:rsidRPr="007C6417">
        <w:rPr>
          <w:color w:val="000000"/>
          <w:lang w:val="en-US"/>
        </w:rPr>
        <w:t xml:space="preserve"> </w:t>
      </w:r>
      <w:r w:rsidRPr="007C6417">
        <w:rPr>
          <w:i/>
          <w:iCs/>
          <w:color w:val="000000"/>
          <w:lang w:val="en-US"/>
        </w:rPr>
        <w:t>Analytics</w:t>
      </w:r>
      <w:r w:rsidRPr="007C6417">
        <w:rPr>
          <w:color w:val="000000"/>
          <w:lang w:val="en-US"/>
        </w:rPr>
        <w:t xml:space="preserve"> are parts of demonstrative science and possess a unity; philosophically, however, demonstration seems to presuppose the syllogism, as is evident from the </w:t>
      </w:r>
      <w:r w:rsidRPr="007C6417">
        <w:rPr>
          <w:i/>
          <w:iCs/>
          <w:color w:val="000000"/>
          <w:lang w:val="en-US"/>
        </w:rPr>
        <w:t>Posterior Analytics</w:t>
      </w:r>
      <w:r w:rsidRPr="007C6417">
        <w:rPr>
          <w:color w:val="000000"/>
          <w:lang w:val="en-US"/>
        </w:rPr>
        <w:t>, and thus the discussion of demonstration appears to presuppose the discussion of the syllogism.</w:t>
      </w:r>
    </w:p>
    <w:p w14:paraId="1403408F" w14:textId="4A7A56AA" w:rsidR="00304420" w:rsidRPr="007C6417" w:rsidRDefault="00304420" w:rsidP="00304420">
      <w:pPr>
        <w:pStyle w:val="NormalWeb"/>
        <w:rPr>
          <w:color w:val="000000"/>
          <w:lang w:val="en-US"/>
        </w:rPr>
      </w:pPr>
      <w:r w:rsidRPr="007C6417">
        <w:rPr>
          <w:color w:val="000000"/>
          <w:lang w:val="en-US"/>
        </w:rPr>
        <w:t xml:space="preserve">There is, however, controversy within the scholarly community regarding the relation between the two </w:t>
      </w:r>
      <w:r w:rsidRPr="007C6417">
        <w:rPr>
          <w:i/>
          <w:iCs/>
          <w:color w:val="000000"/>
          <w:lang w:val="en-US"/>
        </w:rPr>
        <w:t>Analytics</w:t>
      </w:r>
      <w:r w:rsidRPr="007C6417">
        <w:rPr>
          <w:color w:val="000000"/>
          <w:lang w:val="en-US"/>
        </w:rPr>
        <w:t xml:space="preserve">, the </w:t>
      </w:r>
      <w:r w:rsidRPr="007C6417">
        <w:rPr>
          <w:i/>
          <w:iCs/>
          <w:color w:val="000000"/>
          <w:lang w:val="en-US"/>
        </w:rPr>
        <w:t>Prior</w:t>
      </w:r>
      <w:r w:rsidRPr="007C6417">
        <w:rPr>
          <w:color w:val="000000"/>
          <w:lang w:val="en-US"/>
        </w:rPr>
        <w:t xml:space="preserve"> and the </w:t>
      </w:r>
      <w:r w:rsidRPr="007C6417">
        <w:rPr>
          <w:i/>
          <w:iCs/>
          <w:color w:val="000000"/>
          <w:lang w:val="en-US"/>
        </w:rPr>
        <w:t>Posterior</w:t>
      </w:r>
      <w:r w:rsidRPr="007C6417">
        <w:rPr>
          <w:color w:val="000000"/>
          <w:lang w:val="en-US"/>
        </w:rPr>
        <w:t xml:space="preserve">. </w:t>
      </w:r>
      <w:proofErr w:type="spellStart"/>
      <w:r w:rsidRPr="007C6417">
        <w:rPr>
          <w:color w:val="000000"/>
          <w:lang w:val="en-US"/>
        </w:rPr>
        <w:t>Solmsen</w:t>
      </w:r>
      <w:proofErr w:type="spellEnd"/>
      <w:r w:rsidRPr="007C6417">
        <w:rPr>
          <w:color w:val="000000"/>
          <w:lang w:val="en-US"/>
        </w:rPr>
        <w:t xml:space="preserve">, who investigated the development of Aristotle’s logical thought, argued that the </w:t>
      </w:r>
      <w:r w:rsidRPr="007C6417">
        <w:rPr>
          <w:i/>
          <w:iCs/>
          <w:color w:val="000000"/>
          <w:lang w:val="en-US"/>
        </w:rPr>
        <w:t>Posterior Analytics</w:t>
      </w:r>
      <w:r w:rsidRPr="007C6417">
        <w:rPr>
          <w:color w:val="000000"/>
          <w:lang w:val="en-US"/>
        </w:rPr>
        <w:t xml:space="preserve"> is the earlier of the two works and that the theory developed there is relatively independent of the syllogistic of the </w:t>
      </w:r>
      <w:r w:rsidRPr="007C6417">
        <w:rPr>
          <w:i/>
          <w:iCs/>
          <w:color w:val="000000"/>
          <w:lang w:val="en-US"/>
        </w:rPr>
        <w:t>Prior Analytics</w:t>
      </w:r>
      <w:r w:rsidRPr="007C6417">
        <w:rPr>
          <w:color w:val="000000"/>
          <w:lang w:val="en-US"/>
        </w:rPr>
        <w:t>.</w:t>
      </w:r>
      <w:r w:rsidR="00D64CAF" w:rsidRPr="007C6417">
        <w:rPr>
          <w:rStyle w:val="FootnoteReference"/>
          <w:color w:val="000000"/>
          <w:lang w:val="en-US"/>
        </w:rPr>
        <w:footnoteReference w:id="6"/>
      </w:r>
      <w:r w:rsidRPr="007C6417">
        <w:rPr>
          <w:color w:val="000000"/>
          <w:lang w:val="en-US"/>
        </w:rPr>
        <w:t xml:space="preserve"> Barnes even argues that the </w:t>
      </w:r>
      <w:r w:rsidRPr="007C6417">
        <w:rPr>
          <w:i/>
          <w:iCs/>
          <w:color w:val="000000"/>
          <w:lang w:val="en-US"/>
        </w:rPr>
        <w:t>Posterior Analytics</w:t>
      </w:r>
      <w:r w:rsidRPr="007C6417">
        <w:rPr>
          <w:color w:val="000000"/>
          <w:lang w:val="en-US"/>
        </w:rPr>
        <w:t xml:space="preserve"> must have been written while Aristotle was still within the circle of Plato’s Academy, since, he claims, the work contains many references to ideas of Plato and the Academy.</w:t>
      </w:r>
      <w:r w:rsidR="00D64CAF" w:rsidRPr="007C6417">
        <w:rPr>
          <w:rStyle w:val="FootnoteReference"/>
          <w:color w:val="000000"/>
          <w:lang w:val="en-US"/>
        </w:rPr>
        <w:footnoteReference w:id="7"/>
      </w:r>
      <w:r w:rsidRPr="007C6417">
        <w:rPr>
          <w:color w:val="000000"/>
          <w:lang w:val="en-US"/>
        </w:rPr>
        <w:t xml:space="preserve"> The idea shared by both </w:t>
      </w:r>
      <w:proofErr w:type="spellStart"/>
      <w:r w:rsidRPr="007C6417">
        <w:rPr>
          <w:color w:val="000000"/>
          <w:lang w:val="en-US"/>
        </w:rPr>
        <w:t>Solmsen</w:t>
      </w:r>
      <w:proofErr w:type="spellEnd"/>
      <w:r w:rsidRPr="007C6417">
        <w:rPr>
          <w:color w:val="000000"/>
          <w:lang w:val="en-US"/>
        </w:rPr>
        <w:t xml:space="preserve"> and Barnes is that Aristotle develops syllogistic in the </w:t>
      </w:r>
      <w:r w:rsidRPr="007C6417">
        <w:rPr>
          <w:i/>
          <w:iCs/>
          <w:color w:val="000000"/>
          <w:lang w:val="en-US"/>
        </w:rPr>
        <w:t>Prior Analytics</w:t>
      </w:r>
      <w:r w:rsidRPr="007C6417">
        <w:rPr>
          <w:color w:val="000000"/>
          <w:lang w:val="en-US"/>
        </w:rPr>
        <w:t xml:space="preserve"> after having already written the </w:t>
      </w:r>
      <w:r w:rsidRPr="007C6417">
        <w:rPr>
          <w:i/>
          <w:iCs/>
          <w:color w:val="000000"/>
          <w:lang w:val="en-US"/>
        </w:rPr>
        <w:t>Posterior Analytics</w:t>
      </w:r>
      <w:r w:rsidRPr="007C6417">
        <w:rPr>
          <w:color w:val="000000"/>
          <w:lang w:val="en-US"/>
        </w:rPr>
        <w:t xml:space="preserve">, and that in this way—namely, through syllogistic—he provides a firmer foundation for demonstrative science. After all, the </w:t>
      </w:r>
      <w:r w:rsidRPr="007C6417">
        <w:rPr>
          <w:i/>
          <w:iCs/>
          <w:color w:val="000000"/>
          <w:lang w:val="en-US"/>
        </w:rPr>
        <w:t>Posterior Analytics</w:t>
      </w:r>
      <w:r w:rsidRPr="007C6417">
        <w:rPr>
          <w:color w:val="000000"/>
          <w:lang w:val="en-US"/>
        </w:rPr>
        <w:t xml:space="preserve"> begin with a very general introduction that makes no specific references to other works, whereas the </w:t>
      </w:r>
      <w:r w:rsidRPr="007C6417">
        <w:rPr>
          <w:i/>
          <w:iCs/>
          <w:color w:val="000000"/>
          <w:lang w:val="en-US"/>
        </w:rPr>
        <w:t>Prior Analytics</w:t>
      </w:r>
      <w:r w:rsidRPr="007C6417">
        <w:rPr>
          <w:color w:val="000000"/>
          <w:lang w:val="en-US"/>
        </w:rPr>
        <w:t xml:space="preserve"> refer from the very outset to demonstrative science, which is thematized in the </w:t>
      </w:r>
      <w:r w:rsidRPr="007C6417">
        <w:rPr>
          <w:i/>
          <w:iCs/>
          <w:color w:val="000000"/>
          <w:lang w:val="en-US"/>
        </w:rPr>
        <w:t>Posterior Analytics</w:t>
      </w:r>
      <w:r w:rsidRPr="007C6417">
        <w:rPr>
          <w:color w:val="000000"/>
          <w:lang w:val="en-US"/>
        </w:rPr>
        <w:t>.</w:t>
      </w:r>
    </w:p>
    <w:p w14:paraId="5BD05C8E" w14:textId="4D831B67" w:rsidR="00304420" w:rsidRPr="007C6417" w:rsidRDefault="00304420" w:rsidP="00304420">
      <w:pPr>
        <w:pStyle w:val="NormalWeb"/>
        <w:rPr>
          <w:color w:val="000000"/>
          <w:lang w:val="en-US"/>
        </w:rPr>
      </w:pPr>
      <w:r w:rsidRPr="007C6417">
        <w:rPr>
          <w:color w:val="000000"/>
          <w:lang w:val="en-US"/>
        </w:rPr>
        <w:t xml:space="preserve">On the other hand, the </w:t>
      </w:r>
      <w:r w:rsidRPr="007C6417">
        <w:rPr>
          <w:i/>
          <w:iCs/>
          <w:color w:val="000000"/>
          <w:lang w:val="en-US"/>
        </w:rPr>
        <w:t>Posterior Analytics</w:t>
      </w:r>
      <w:r w:rsidRPr="007C6417">
        <w:rPr>
          <w:color w:val="000000"/>
          <w:lang w:val="en-US"/>
        </w:rPr>
        <w:t xml:space="preserve"> in several places include elements of the syllogistic of the </w:t>
      </w:r>
      <w:r w:rsidRPr="007C6417">
        <w:rPr>
          <w:i/>
          <w:iCs/>
          <w:color w:val="000000"/>
          <w:lang w:val="en-US"/>
        </w:rPr>
        <w:t>Prior Analytics</w:t>
      </w:r>
      <w:r w:rsidRPr="007C6417">
        <w:rPr>
          <w:color w:val="000000"/>
          <w:lang w:val="en-US"/>
        </w:rPr>
        <w:t xml:space="preserve">, and chapters of the </w:t>
      </w:r>
      <w:r w:rsidRPr="007C6417">
        <w:rPr>
          <w:i/>
          <w:iCs/>
          <w:color w:val="000000"/>
          <w:lang w:val="en-US"/>
        </w:rPr>
        <w:t>Prior Analytics</w:t>
      </w:r>
      <w:r w:rsidRPr="007C6417">
        <w:rPr>
          <w:color w:val="000000"/>
          <w:lang w:val="en-US"/>
        </w:rPr>
        <w:t xml:space="preserve"> posit the syllogism as prior to the theory of the </w:t>
      </w:r>
      <w:r w:rsidRPr="007C6417">
        <w:rPr>
          <w:i/>
          <w:iCs/>
          <w:color w:val="000000"/>
          <w:lang w:val="en-US"/>
        </w:rPr>
        <w:t>Posterior Analytics</w:t>
      </w:r>
      <w:r w:rsidRPr="007C6417">
        <w:rPr>
          <w:color w:val="000000"/>
          <w:lang w:val="en-US"/>
        </w:rPr>
        <w:t>.</w:t>
      </w:r>
      <w:r w:rsidR="00D64CAF" w:rsidRPr="007C6417">
        <w:rPr>
          <w:rStyle w:val="FootnoteReference"/>
          <w:color w:val="000000"/>
          <w:lang w:val="en-US"/>
        </w:rPr>
        <w:footnoteReference w:id="8"/>
      </w:r>
      <w:r w:rsidRPr="007C6417">
        <w:rPr>
          <w:color w:val="000000"/>
          <w:lang w:val="en-US"/>
        </w:rPr>
        <w:t xml:space="preserve"> Chapters I.14–15 and I.19 of the </w:t>
      </w:r>
      <w:r w:rsidRPr="007C6417">
        <w:rPr>
          <w:i/>
          <w:iCs/>
          <w:color w:val="000000"/>
          <w:lang w:val="en-US"/>
        </w:rPr>
        <w:t>Posterior Analytics</w:t>
      </w:r>
      <w:r w:rsidRPr="007C6417">
        <w:rPr>
          <w:color w:val="000000"/>
          <w:lang w:val="en-US"/>
        </w:rPr>
        <w:t xml:space="preserve">, for example, appear to presuppose the syllogistic of the </w:t>
      </w:r>
      <w:r w:rsidRPr="007C6417">
        <w:rPr>
          <w:i/>
          <w:iCs/>
          <w:color w:val="000000"/>
          <w:lang w:val="en-US"/>
        </w:rPr>
        <w:t>Prior Analytics</w:t>
      </w:r>
      <w:r w:rsidRPr="007C6417">
        <w:rPr>
          <w:color w:val="000000"/>
          <w:lang w:val="en-US"/>
        </w:rPr>
        <w:t xml:space="preserve">; chapter I.4 of the </w:t>
      </w:r>
      <w:r w:rsidRPr="007C6417">
        <w:rPr>
          <w:i/>
          <w:iCs/>
          <w:color w:val="000000"/>
          <w:lang w:val="en-US"/>
        </w:rPr>
        <w:t>Prior Analytics</w:t>
      </w:r>
      <w:r w:rsidRPr="007C6417">
        <w:rPr>
          <w:color w:val="000000"/>
          <w:lang w:val="en-US"/>
        </w:rPr>
        <w:t xml:space="preserve"> treats the syllogism as prior to the demonstration of the </w:t>
      </w:r>
      <w:r w:rsidRPr="007C6417">
        <w:rPr>
          <w:i/>
          <w:iCs/>
          <w:color w:val="000000"/>
          <w:lang w:val="en-US"/>
        </w:rPr>
        <w:t>Posterior Analytics</w:t>
      </w:r>
      <w:r w:rsidRPr="007C6417">
        <w:rPr>
          <w:color w:val="000000"/>
          <w:lang w:val="en-US"/>
        </w:rPr>
        <w:t xml:space="preserve">; while chapter II.21 of the </w:t>
      </w:r>
      <w:r w:rsidRPr="007C6417">
        <w:rPr>
          <w:i/>
          <w:iCs/>
          <w:color w:val="000000"/>
          <w:lang w:val="en-US"/>
        </w:rPr>
        <w:t>Prior Analytics</w:t>
      </w:r>
      <w:r w:rsidRPr="007C6417">
        <w:rPr>
          <w:color w:val="000000"/>
          <w:lang w:val="en-US"/>
        </w:rPr>
        <w:t xml:space="preserve"> runs parallel to chapters I.16–17 of the </w:t>
      </w:r>
      <w:r w:rsidRPr="007C6417">
        <w:rPr>
          <w:i/>
          <w:iCs/>
          <w:color w:val="000000"/>
          <w:lang w:val="en-US"/>
        </w:rPr>
        <w:t>Posterior Analytics</w:t>
      </w:r>
      <w:r w:rsidRPr="007C6417">
        <w:rPr>
          <w:color w:val="000000"/>
          <w:lang w:val="en-US"/>
        </w:rPr>
        <w:t>. It is quite likely that parts were added to both works. The chapters on modal logic—namely, 3 and 8 through 22—are most probably a later addition by Aristotle, that is, after he had developed the categorical logic of chapters 4 through 7, which the chapters on modal logic presuppose.</w:t>
      </w:r>
      <w:r w:rsidR="00D64CAF" w:rsidRPr="007C6417">
        <w:rPr>
          <w:rStyle w:val="FootnoteReference"/>
          <w:color w:val="000000"/>
          <w:lang w:val="en-US"/>
        </w:rPr>
        <w:footnoteReference w:id="9"/>
      </w:r>
    </w:p>
    <w:p w14:paraId="233BBF50" w14:textId="32A46822" w:rsidR="00304420" w:rsidRPr="007C6417" w:rsidRDefault="00304420" w:rsidP="00304420">
      <w:pPr>
        <w:pStyle w:val="NormalWeb"/>
        <w:rPr>
          <w:color w:val="000000"/>
          <w:lang w:val="en-US"/>
        </w:rPr>
      </w:pPr>
      <w:r w:rsidRPr="007C6417">
        <w:rPr>
          <w:color w:val="000000"/>
          <w:lang w:val="en-US"/>
        </w:rPr>
        <w:t>If this is so, it becomes even more difficult to determine the relative order of the two works. Even more debatable, of course, is which of the two works is more carefully composed philosophically and stylistically.</w:t>
      </w:r>
      <w:r w:rsidR="00523936" w:rsidRPr="007C6417">
        <w:rPr>
          <w:rStyle w:val="FootnoteReference"/>
          <w:color w:val="000000"/>
          <w:lang w:val="en-US"/>
        </w:rPr>
        <w:footnoteReference w:id="10"/>
      </w:r>
      <w:r w:rsidRPr="007C6417">
        <w:rPr>
          <w:color w:val="000000"/>
          <w:lang w:val="en-US"/>
        </w:rPr>
        <w:t xml:space="preserve"> What is certain, however, is that the two works are part of a common research program of Aristotle and of a single science—that of demonstration—and that they constitute a unity. Already in chapter 4 of the </w:t>
      </w:r>
      <w:r w:rsidRPr="007C6417">
        <w:rPr>
          <w:i/>
          <w:iCs/>
          <w:color w:val="000000"/>
          <w:lang w:val="en-US"/>
        </w:rPr>
        <w:t>Prior</w:t>
      </w:r>
      <w:r w:rsidRPr="007C6417">
        <w:rPr>
          <w:rStyle w:val="Emphasis"/>
          <w:rFonts w:eastAsiaTheme="majorEastAsia"/>
          <w:color w:val="000000"/>
          <w:lang w:val="en-US"/>
        </w:rPr>
        <w:t xml:space="preserve"> Analytics</w:t>
      </w:r>
      <w:r w:rsidRPr="007C6417">
        <w:rPr>
          <w:rStyle w:val="apple-converted-space"/>
          <w:rFonts w:eastAsiaTheme="majorEastAsia"/>
          <w:color w:val="000000"/>
          <w:lang w:val="en-US"/>
        </w:rPr>
        <w:t> </w:t>
      </w:r>
      <w:r w:rsidRPr="007C6417">
        <w:rPr>
          <w:color w:val="000000"/>
          <w:lang w:val="en-US"/>
        </w:rPr>
        <w:t>Aristotle speaks of the two undertakings, syllogistic and demonstrative science, as a unity and in a definite order.</w:t>
      </w:r>
      <w:r w:rsidR="00523936" w:rsidRPr="007C6417">
        <w:rPr>
          <w:rStyle w:val="FootnoteReference"/>
          <w:color w:val="000000"/>
          <w:lang w:val="en-US"/>
        </w:rPr>
        <w:footnoteReference w:id="11"/>
      </w:r>
      <w:r w:rsidRPr="007C6417">
        <w:rPr>
          <w:color w:val="000000"/>
          <w:lang w:val="en-US"/>
        </w:rPr>
        <w:t xml:space="preserve"> But, on the other hand, both works also appear to be embedded in a broader research </w:t>
      </w:r>
      <w:r w:rsidRPr="007C6417">
        <w:rPr>
          <w:color w:val="000000"/>
          <w:lang w:val="en-US"/>
        </w:rPr>
        <w:lastRenderedPageBreak/>
        <w:t>program, that of dialectic or argument. This line of inquiry on Aristotle’s part already begins with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which are certainly earlier than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color w:val="000000"/>
          <w:lang w:val="en-US"/>
        </w:rPr>
        <w:t>.</w:t>
      </w:r>
      <w:r w:rsidR="00523936" w:rsidRPr="007C6417">
        <w:rPr>
          <w:rStyle w:val="FootnoteReference"/>
          <w:color w:val="000000"/>
          <w:lang w:val="en-US"/>
        </w:rPr>
        <w:footnoteReference w:id="12"/>
      </w:r>
    </w:p>
    <w:p w14:paraId="46271EDA" w14:textId="77777777" w:rsidR="00304420" w:rsidRPr="007C6417" w:rsidRDefault="00304420" w:rsidP="00304420">
      <w:pPr>
        <w:pStyle w:val="NormalWeb"/>
        <w:rPr>
          <w:color w:val="000000"/>
          <w:lang w:val="en-US"/>
        </w:rPr>
      </w:pPr>
      <w:r w:rsidRPr="007C6417">
        <w:rPr>
          <w:color w:val="000000"/>
          <w:lang w:val="en-US"/>
        </w:rPr>
        <w:t>At the beginning of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Aristotle specifies the aim of the work as the method for constructing syllogisms.</w:t>
      </w:r>
    </w:p>
    <w:p w14:paraId="65D77346" w14:textId="09B5BD0B" w:rsidR="00304420" w:rsidRPr="007C6417" w:rsidRDefault="00304420" w:rsidP="00304420">
      <w:pPr>
        <w:pStyle w:val="NormalWeb"/>
        <w:rPr>
          <w:color w:val="000000"/>
          <w:lang w:val="en-US"/>
        </w:rPr>
      </w:pPr>
      <w:r w:rsidRPr="007C6417">
        <w:rPr>
          <w:color w:val="000000"/>
          <w:lang w:val="en-US"/>
        </w:rPr>
        <w:t xml:space="preserve">Ἡ </w:t>
      </w:r>
      <w:proofErr w:type="spellStart"/>
      <w:r w:rsidRPr="007C6417">
        <w:rPr>
          <w:color w:val="000000"/>
          <w:lang w:val="en-US"/>
        </w:rPr>
        <w:t>μὲν</w:t>
      </w:r>
      <w:proofErr w:type="spellEnd"/>
      <w:r w:rsidRPr="007C6417">
        <w:rPr>
          <w:color w:val="000000"/>
          <w:lang w:val="en-US"/>
        </w:rPr>
        <w:t xml:space="preserve"> π</w:t>
      </w:r>
      <w:proofErr w:type="spellStart"/>
      <w:r w:rsidRPr="007C6417">
        <w:rPr>
          <w:color w:val="000000"/>
          <w:lang w:val="en-US"/>
        </w:rPr>
        <w:t>ρόθεσις</w:t>
      </w:r>
      <w:proofErr w:type="spellEnd"/>
      <w:r w:rsidRPr="007C6417">
        <w:rPr>
          <w:color w:val="000000"/>
          <w:lang w:val="en-US"/>
        </w:rPr>
        <w:t xml:space="preserve"> </w:t>
      </w:r>
      <w:proofErr w:type="spellStart"/>
      <w:r w:rsidRPr="007C6417">
        <w:rPr>
          <w:color w:val="000000"/>
          <w:lang w:val="en-US"/>
        </w:rPr>
        <w:t>τῆς</w:t>
      </w:r>
      <w:proofErr w:type="spellEnd"/>
      <w:r w:rsidRPr="007C6417">
        <w:rPr>
          <w:color w:val="000000"/>
          <w:lang w:val="en-US"/>
        </w:rPr>
        <w:t xml:space="preserve"> πρα</w:t>
      </w:r>
      <w:proofErr w:type="spellStart"/>
      <w:r w:rsidRPr="007C6417">
        <w:rPr>
          <w:color w:val="000000"/>
          <w:lang w:val="en-US"/>
        </w:rPr>
        <w:t>γμ</w:t>
      </w:r>
      <w:proofErr w:type="spellEnd"/>
      <w:r w:rsidRPr="007C6417">
        <w:rPr>
          <w:color w:val="000000"/>
          <w:lang w:val="en-US"/>
        </w:rPr>
        <w:t>α</w:t>
      </w:r>
      <w:proofErr w:type="spellStart"/>
      <w:r w:rsidRPr="007C6417">
        <w:rPr>
          <w:color w:val="000000"/>
          <w:lang w:val="en-US"/>
        </w:rPr>
        <w:t>τεί</w:t>
      </w:r>
      <w:proofErr w:type="spellEnd"/>
      <w:r w:rsidRPr="007C6417">
        <w:rPr>
          <w:color w:val="000000"/>
          <w:lang w:val="en-US"/>
        </w:rPr>
        <w:t xml:space="preserve">ας </w:t>
      </w:r>
      <w:proofErr w:type="spellStart"/>
      <w:r w:rsidRPr="007C6417">
        <w:rPr>
          <w:color w:val="000000"/>
          <w:lang w:val="en-US"/>
        </w:rPr>
        <w:t>μέθοδον</w:t>
      </w:r>
      <w:proofErr w:type="spellEnd"/>
      <w:r w:rsidRPr="007C6417">
        <w:rPr>
          <w:color w:val="000000"/>
          <w:lang w:val="en-US"/>
        </w:rPr>
        <w:t xml:space="preserve"> </w:t>
      </w:r>
      <w:proofErr w:type="spellStart"/>
      <w:r w:rsidRPr="007C6417">
        <w:rPr>
          <w:color w:val="000000"/>
          <w:lang w:val="en-US"/>
        </w:rPr>
        <w:t>εὑρεῖν</w:t>
      </w:r>
      <w:proofErr w:type="spellEnd"/>
      <w:r w:rsidRPr="007C6417">
        <w:rPr>
          <w:color w:val="000000"/>
          <w:lang w:val="en-US"/>
        </w:rPr>
        <w:t xml:space="preserve"> </w:t>
      </w:r>
      <w:proofErr w:type="spellStart"/>
      <w:r w:rsidRPr="007C6417">
        <w:rPr>
          <w:color w:val="000000"/>
          <w:lang w:val="en-US"/>
        </w:rPr>
        <w:t>ἀφ</w:t>
      </w:r>
      <w:proofErr w:type="spellEnd"/>
      <w:r w:rsidRPr="007C6417">
        <w:rPr>
          <w:color w:val="000000"/>
          <w:lang w:val="en-US"/>
        </w:rPr>
        <w:t xml:space="preserve">᾽ </w:t>
      </w:r>
      <w:proofErr w:type="spellStart"/>
      <w:r w:rsidRPr="007C6417">
        <w:rPr>
          <w:color w:val="000000"/>
          <w:lang w:val="en-US"/>
        </w:rPr>
        <w:t>ἧς</w:t>
      </w:r>
      <w:proofErr w:type="spellEnd"/>
      <w:r w:rsidRPr="007C6417">
        <w:rPr>
          <w:color w:val="000000"/>
          <w:lang w:val="en-US"/>
        </w:rPr>
        <w:t xml:space="preserve"> </w:t>
      </w:r>
      <w:proofErr w:type="spellStart"/>
      <w:r w:rsidRPr="007C6417">
        <w:rPr>
          <w:color w:val="000000"/>
          <w:lang w:val="en-US"/>
        </w:rPr>
        <w:t>δυνησόμεθ</w:t>
      </w:r>
      <w:proofErr w:type="spellEnd"/>
      <w:r w:rsidRPr="007C6417">
        <w:rPr>
          <w:color w:val="000000"/>
          <w:lang w:val="en-US"/>
        </w:rPr>
        <w:t xml:space="preserve">α </w:t>
      </w:r>
      <w:proofErr w:type="spellStart"/>
      <w:r w:rsidRPr="007C6417">
        <w:rPr>
          <w:color w:val="000000"/>
          <w:lang w:val="en-US"/>
        </w:rPr>
        <w:t>συλλογίζεσθ</w:t>
      </w:r>
      <w:proofErr w:type="spellEnd"/>
      <w:r w:rsidRPr="007C6417">
        <w:rPr>
          <w:color w:val="000000"/>
          <w:lang w:val="en-US"/>
        </w:rPr>
        <w:t>αι π</w:t>
      </w:r>
      <w:proofErr w:type="spellStart"/>
      <w:r w:rsidRPr="007C6417">
        <w:rPr>
          <w:color w:val="000000"/>
          <w:lang w:val="en-US"/>
        </w:rPr>
        <w:t>ερὶ</w:t>
      </w:r>
      <w:proofErr w:type="spellEnd"/>
      <w:r w:rsidRPr="007C6417">
        <w:rPr>
          <w:color w:val="000000"/>
          <w:lang w:val="en-US"/>
        </w:rPr>
        <w:t xml:space="preserve"> πα</w:t>
      </w:r>
      <w:proofErr w:type="spellStart"/>
      <w:r w:rsidRPr="007C6417">
        <w:rPr>
          <w:color w:val="000000"/>
          <w:lang w:val="en-US"/>
        </w:rPr>
        <w:t>ντὸς</w:t>
      </w:r>
      <w:proofErr w:type="spellEnd"/>
      <w:r w:rsidRPr="007C6417">
        <w:rPr>
          <w:color w:val="000000"/>
          <w:lang w:val="en-US"/>
        </w:rPr>
        <w:t xml:space="preserve"> </w:t>
      </w:r>
      <w:proofErr w:type="spellStart"/>
      <w:r w:rsidRPr="007C6417">
        <w:rPr>
          <w:color w:val="000000"/>
          <w:lang w:val="en-US"/>
        </w:rPr>
        <w:t>τοῦ</w:t>
      </w:r>
      <w:proofErr w:type="spellEnd"/>
      <w:r w:rsidRPr="007C6417">
        <w:rPr>
          <w:color w:val="000000"/>
          <w:lang w:val="en-US"/>
        </w:rPr>
        <w:t xml:space="preserve"> π</w:t>
      </w:r>
      <w:proofErr w:type="spellStart"/>
      <w:r w:rsidRPr="007C6417">
        <w:rPr>
          <w:color w:val="000000"/>
          <w:lang w:val="en-US"/>
        </w:rPr>
        <w:t>ροτεθέντος</w:t>
      </w:r>
      <w:proofErr w:type="spellEnd"/>
      <w:r w:rsidRPr="007C6417">
        <w:rPr>
          <w:color w:val="000000"/>
          <w:lang w:val="en-US"/>
        </w:rPr>
        <w:t xml:space="preserve"> π</w:t>
      </w:r>
      <w:proofErr w:type="spellStart"/>
      <w:r w:rsidRPr="007C6417">
        <w:rPr>
          <w:color w:val="000000"/>
          <w:lang w:val="en-US"/>
        </w:rPr>
        <w:t>ρο</w:t>
      </w:r>
      <w:proofErr w:type="spellEnd"/>
      <w:r w:rsidRPr="007C6417">
        <w:rPr>
          <w:color w:val="000000"/>
          <w:lang w:val="en-US"/>
        </w:rPr>
        <w:t>β</w:t>
      </w:r>
      <w:proofErr w:type="spellStart"/>
      <w:r w:rsidRPr="007C6417">
        <w:rPr>
          <w:color w:val="000000"/>
          <w:lang w:val="en-US"/>
        </w:rPr>
        <w:t>λήμ</w:t>
      </w:r>
      <w:proofErr w:type="spellEnd"/>
      <w:r w:rsidRPr="007C6417">
        <w:rPr>
          <w:color w:val="000000"/>
          <w:lang w:val="en-US"/>
        </w:rPr>
        <w:t>α</w:t>
      </w:r>
      <w:proofErr w:type="spellStart"/>
      <w:r w:rsidRPr="007C6417">
        <w:rPr>
          <w:color w:val="000000"/>
          <w:lang w:val="en-US"/>
        </w:rPr>
        <w:t>τος</w:t>
      </w:r>
      <w:proofErr w:type="spellEnd"/>
      <w:r w:rsidRPr="007C6417">
        <w:rPr>
          <w:color w:val="000000"/>
          <w:lang w:val="en-US"/>
        </w:rPr>
        <w:t xml:space="preserve"> </w:t>
      </w:r>
      <w:proofErr w:type="spellStart"/>
      <w:r w:rsidRPr="007C6417">
        <w:rPr>
          <w:color w:val="000000"/>
          <w:lang w:val="en-US"/>
        </w:rPr>
        <w:t>ἐξ</w:t>
      </w:r>
      <w:proofErr w:type="spellEnd"/>
      <w:r w:rsidRPr="007C6417">
        <w:rPr>
          <w:color w:val="000000"/>
          <w:lang w:val="en-US"/>
        </w:rPr>
        <w:t xml:space="preserve"> </w:t>
      </w:r>
      <w:proofErr w:type="spellStart"/>
      <w:r w:rsidRPr="007C6417">
        <w:rPr>
          <w:color w:val="000000"/>
          <w:lang w:val="en-US"/>
        </w:rPr>
        <w:t>ἐνδόξων</w:t>
      </w:r>
      <w:proofErr w:type="spellEnd"/>
      <w:r w:rsidRPr="007C6417">
        <w:rPr>
          <w:color w:val="000000"/>
          <w:lang w:val="en-US"/>
        </w:rPr>
        <w:t>, καὶ α</w:t>
      </w:r>
      <w:proofErr w:type="spellStart"/>
      <w:r w:rsidRPr="007C6417">
        <w:rPr>
          <w:color w:val="000000"/>
          <w:lang w:val="en-US"/>
        </w:rPr>
        <w:t>ὐτοὶ</w:t>
      </w:r>
      <w:proofErr w:type="spellEnd"/>
      <w:r w:rsidRPr="007C6417">
        <w:rPr>
          <w:color w:val="000000"/>
          <w:lang w:val="en-US"/>
        </w:rPr>
        <w:t xml:space="preserve"> </w:t>
      </w:r>
      <w:proofErr w:type="spellStart"/>
      <w:r w:rsidRPr="007C6417">
        <w:rPr>
          <w:color w:val="000000"/>
          <w:lang w:val="en-US"/>
        </w:rPr>
        <w:t>λόγον</w:t>
      </w:r>
      <w:proofErr w:type="spellEnd"/>
      <w:r w:rsidRPr="007C6417">
        <w:rPr>
          <w:color w:val="000000"/>
          <w:lang w:val="en-US"/>
        </w:rPr>
        <w:t xml:space="preserve"> ὑπ</w:t>
      </w:r>
      <w:proofErr w:type="spellStart"/>
      <w:r w:rsidRPr="007C6417">
        <w:rPr>
          <w:color w:val="000000"/>
          <w:lang w:val="en-US"/>
        </w:rPr>
        <w:t>έχοντες</w:t>
      </w:r>
      <w:proofErr w:type="spellEnd"/>
      <w:r w:rsidRPr="007C6417">
        <w:rPr>
          <w:color w:val="000000"/>
          <w:lang w:val="en-US"/>
        </w:rPr>
        <w:t xml:space="preserve"> </w:t>
      </w:r>
      <w:proofErr w:type="spellStart"/>
      <w:r w:rsidRPr="007C6417">
        <w:rPr>
          <w:color w:val="000000"/>
          <w:lang w:val="en-US"/>
        </w:rPr>
        <w:t>μηθὲν</w:t>
      </w:r>
      <w:proofErr w:type="spellEnd"/>
      <w:r w:rsidRPr="007C6417">
        <w:rPr>
          <w:color w:val="000000"/>
          <w:lang w:val="en-US"/>
        </w:rPr>
        <w:t xml:space="preserve"> </w:t>
      </w:r>
      <w:proofErr w:type="spellStart"/>
      <w:r w:rsidRPr="007C6417">
        <w:rPr>
          <w:color w:val="000000"/>
          <w:lang w:val="en-US"/>
        </w:rPr>
        <w:t>ἐροῦμεν</w:t>
      </w:r>
      <w:proofErr w:type="spellEnd"/>
      <w:r w:rsidRPr="007C6417">
        <w:rPr>
          <w:color w:val="000000"/>
          <w:lang w:val="en-US"/>
        </w:rPr>
        <w:t xml:space="preserve"> ὑπ</w:t>
      </w:r>
      <w:proofErr w:type="spellStart"/>
      <w:r w:rsidRPr="007C6417">
        <w:rPr>
          <w:color w:val="000000"/>
          <w:lang w:val="en-US"/>
        </w:rPr>
        <w:t>εν</w:t>
      </w:r>
      <w:proofErr w:type="spellEnd"/>
      <w:r w:rsidRPr="007C6417">
        <w:rPr>
          <w:color w:val="000000"/>
          <w:lang w:val="en-US"/>
        </w:rPr>
        <w:t>α</w:t>
      </w:r>
      <w:proofErr w:type="spellStart"/>
      <w:r w:rsidRPr="007C6417">
        <w:rPr>
          <w:color w:val="000000"/>
          <w:lang w:val="en-US"/>
        </w:rPr>
        <w:t>ντίον</w:t>
      </w:r>
      <w:proofErr w:type="spellEnd"/>
      <w:r w:rsidRPr="007C6417">
        <w:rPr>
          <w:color w:val="000000"/>
          <w:lang w:val="en-US"/>
        </w:rPr>
        <w:t>.</w:t>
      </w:r>
      <w:r w:rsidRPr="007C6417">
        <w:rPr>
          <w:color w:val="000000"/>
          <w:lang w:val="en-US"/>
        </w:rPr>
        <w:br/>
        <w:t>(</w:t>
      </w:r>
      <w:r w:rsidR="007C6417" w:rsidRPr="007C6417">
        <w:rPr>
          <w:i/>
          <w:iCs/>
          <w:color w:val="000000"/>
          <w:lang w:val="en-US"/>
        </w:rPr>
        <w:t>Top</w:t>
      </w:r>
      <w:r w:rsidR="007C6417">
        <w:rPr>
          <w:color w:val="000000"/>
          <w:lang w:val="en-US"/>
        </w:rPr>
        <w:t>.</w:t>
      </w:r>
      <w:r w:rsidRPr="007C6417">
        <w:rPr>
          <w:color w:val="000000"/>
          <w:lang w:val="en-US"/>
        </w:rPr>
        <w:t xml:space="preserve"> I.1, 100a18–21)</w:t>
      </w:r>
    </w:p>
    <w:p w14:paraId="156E3BB8" w14:textId="77777777" w:rsidR="00304420" w:rsidRPr="007C6417" w:rsidRDefault="00304420" w:rsidP="00304420">
      <w:pPr>
        <w:pStyle w:val="NormalWeb"/>
        <w:rPr>
          <w:color w:val="000000"/>
          <w:lang w:val="en-US"/>
        </w:rPr>
      </w:pPr>
      <w:r w:rsidRPr="007C6417">
        <w:rPr>
          <w:color w:val="000000"/>
          <w:lang w:val="en-US"/>
        </w:rPr>
        <w:t>The purpose of the present work is to discover a method of inquiry by means of which we shall be able to reason syllogistically about every problem that is set before us on the basis of reputable opinions, and ourselves, when giving an account, to say nothing contradictory.</w:t>
      </w:r>
    </w:p>
    <w:p w14:paraId="40F5BBEA" w14:textId="77777777" w:rsidR="00304420" w:rsidRPr="007C6417" w:rsidRDefault="00304420" w:rsidP="00304420">
      <w:pPr>
        <w:pStyle w:val="NormalWeb"/>
        <w:rPr>
          <w:color w:val="000000"/>
          <w:lang w:val="en-US"/>
        </w:rPr>
      </w:pPr>
      <w:r w:rsidRPr="007C6417">
        <w:rPr>
          <w:color w:val="000000"/>
          <w:lang w:val="en-US"/>
        </w:rPr>
        <w:t>Immediately thereafter Aristotle gives the definition of the syllogism.</w:t>
      </w:r>
    </w:p>
    <w:p w14:paraId="2E36D115" w14:textId="77777777" w:rsidR="00304420" w:rsidRPr="007C6417" w:rsidRDefault="00304420" w:rsidP="00304420">
      <w:pPr>
        <w:pStyle w:val="NormalWeb"/>
        <w:rPr>
          <w:color w:val="000000"/>
          <w:lang w:val="en-US"/>
        </w:rPr>
      </w:pPr>
      <w:proofErr w:type="spellStart"/>
      <w:r w:rsidRPr="009C12D1">
        <w:rPr>
          <w:color w:val="000000"/>
          <w:lang w:val="el-GR"/>
        </w:rPr>
        <w:t>Ἔστι</w:t>
      </w:r>
      <w:proofErr w:type="spellEnd"/>
      <w:r w:rsidRPr="009C12D1">
        <w:rPr>
          <w:color w:val="000000"/>
          <w:lang w:val="el-GR"/>
        </w:rPr>
        <w:t xml:space="preserve"> </w:t>
      </w:r>
      <w:proofErr w:type="spellStart"/>
      <w:r w:rsidRPr="009C12D1">
        <w:rPr>
          <w:color w:val="000000"/>
          <w:lang w:val="el-GR"/>
        </w:rPr>
        <w:t>δὴ</w:t>
      </w:r>
      <w:proofErr w:type="spellEnd"/>
      <w:r w:rsidRPr="009C12D1">
        <w:rPr>
          <w:color w:val="000000"/>
          <w:lang w:val="el-GR"/>
        </w:rPr>
        <w:t xml:space="preserve"> </w:t>
      </w:r>
      <w:proofErr w:type="spellStart"/>
      <w:r w:rsidRPr="009C12D1">
        <w:rPr>
          <w:color w:val="000000"/>
          <w:lang w:val="el-GR"/>
        </w:rPr>
        <w:t>συλλογισμὸς</w:t>
      </w:r>
      <w:proofErr w:type="spellEnd"/>
      <w:r w:rsidRPr="009C12D1">
        <w:rPr>
          <w:color w:val="000000"/>
          <w:lang w:val="el-GR"/>
        </w:rPr>
        <w:t xml:space="preserve"> λόγος </w:t>
      </w:r>
      <w:proofErr w:type="spellStart"/>
      <w:r w:rsidRPr="009C12D1">
        <w:rPr>
          <w:color w:val="000000"/>
          <w:lang w:val="el-GR"/>
        </w:rPr>
        <w:t>ἐν</w:t>
      </w:r>
      <w:proofErr w:type="spellEnd"/>
      <w:r w:rsidRPr="009C12D1">
        <w:rPr>
          <w:color w:val="000000"/>
          <w:lang w:val="el-GR"/>
        </w:rPr>
        <w:t xml:space="preserve"> ᾧ </w:t>
      </w:r>
      <w:proofErr w:type="spellStart"/>
      <w:r w:rsidRPr="009C12D1">
        <w:rPr>
          <w:color w:val="000000"/>
          <w:lang w:val="el-GR"/>
        </w:rPr>
        <w:t>τεθέντων</w:t>
      </w:r>
      <w:proofErr w:type="spellEnd"/>
      <w:r w:rsidRPr="009C12D1">
        <w:rPr>
          <w:color w:val="000000"/>
          <w:lang w:val="el-GR"/>
        </w:rPr>
        <w:t xml:space="preserve"> </w:t>
      </w:r>
      <w:proofErr w:type="spellStart"/>
      <w:r w:rsidRPr="009C12D1">
        <w:rPr>
          <w:color w:val="000000"/>
          <w:lang w:val="el-GR"/>
        </w:rPr>
        <w:t>τινῶν</w:t>
      </w:r>
      <w:proofErr w:type="spellEnd"/>
      <w:r w:rsidRPr="009C12D1">
        <w:rPr>
          <w:color w:val="000000"/>
          <w:lang w:val="el-GR"/>
        </w:rPr>
        <w:t xml:space="preserve"> </w:t>
      </w:r>
      <w:proofErr w:type="spellStart"/>
      <w:r w:rsidRPr="009C12D1">
        <w:rPr>
          <w:color w:val="000000"/>
          <w:lang w:val="el-GR"/>
        </w:rPr>
        <w:t>ἕτερόν</w:t>
      </w:r>
      <w:proofErr w:type="spellEnd"/>
      <w:r w:rsidRPr="009C12D1">
        <w:rPr>
          <w:color w:val="000000"/>
          <w:lang w:val="el-GR"/>
        </w:rPr>
        <w:t xml:space="preserve"> τι </w:t>
      </w:r>
      <w:proofErr w:type="spellStart"/>
      <w:r w:rsidRPr="009C12D1">
        <w:rPr>
          <w:color w:val="000000"/>
          <w:lang w:val="el-GR"/>
        </w:rPr>
        <w:t>τῶν</w:t>
      </w:r>
      <w:proofErr w:type="spellEnd"/>
      <w:r w:rsidRPr="009C12D1">
        <w:rPr>
          <w:color w:val="000000"/>
          <w:lang w:val="el-GR"/>
        </w:rPr>
        <w:t xml:space="preserve"> κειμένων </w:t>
      </w:r>
      <w:proofErr w:type="spellStart"/>
      <w:r w:rsidRPr="009C12D1">
        <w:rPr>
          <w:color w:val="000000"/>
          <w:lang w:val="el-GR"/>
        </w:rPr>
        <w:t>ἐξ</w:t>
      </w:r>
      <w:proofErr w:type="spellEnd"/>
      <w:r w:rsidRPr="009C12D1">
        <w:rPr>
          <w:color w:val="000000"/>
          <w:lang w:val="el-GR"/>
        </w:rPr>
        <w:t xml:space="preserve"> </w:t>
      </w:r>
      <w:proofErr w:type="spellStart"/>
      <w:r w:rsidRPr="009C12D1">
        <w:rPr>
          <w:color w:val="000000"/>
          <w:lang w:val="el-GR"/>
        </w:rPr>
        <w:t>ἀνάγκης</w:t>
      </w:r>
      <w:proofErr w:type="spellEnd"/>
      <w:r w:rsidRPr="009C12D1">
        <w:rPr>
          <w:color w:val="000000"/>
          <w:lang w:val="el-GR"/>
        </w:rPr>
        <w:t xml:space="preserve"> συμβαίνει </w:t>
      </w:r>
      <w:proofErr w:type="spellStart"/>
      <w:r w:rsidRPr="009C12D1">
        <w:rPr>
          <w:color w:val="000000"/>
          <w:lang w:val="el-GR"/>
        </w:rPr>
        <w:t>διὰ</w:t>
      </w:r>
      <w:proofErr w:type="spellEnd"/>
      <w:r w:rsidRPr="009C12D1">
        <w:rPr>
          <w:color w:val="000000"/>
          <w:lang w:val="el-GR"/>
        </w:rPr>
        <w:t xml:space="preserve"> </w:t>
      </w:r>
      <w:proofErr w:type="spellStart"/>
      <w:r w:rsidRPr="009C12D1">
        <w:rPr>
          <w:color w:val="000000"/>
          <w:lang w:val="el-GR"/>
        </w:rPr>
        <w:t>τῶν</w:t>
      </w:r>
      <w:proofErr w:type="spellEnd"/>
      <w:r w:rsidRPr="009C12D1">
        <w:rPr>
          <w:color w:val="000000"/>
          <w:lang w:val="el-GR"/>
        </w:rPr>
        <w:t xml:space="preserve"> κειμένων.</w:t>
      </w:r>
      <w:r w:rsidRPr="009C12D1">
        <w:rPr>
          <w:color w:val="000000"/>
          <w:lang w:val="el-GR"/>
        </w:rPr>
        <w:br/>
      </w:r>
      <w:r w:rsidRPr="007C6417">
        <w:rPr>
          <w:color w:val="000000"/>
          <w:lang w:val="en-US"/>
        </w:rPr>
        <w:t>(</w:t>
      </w:r>
      <w:proofErr w:type="spellStart"/>
      <w:r w:rsidRPr="007C6417">
        <w:rPr>
          <w:color w:val="000000"/>
          <w:lang w:val="en-US"/>
        </w:rPr>
        <w:t>Το</w:t>
      </w:r>
      <w:proofErr w:type="spellEnd"/>
      <w:r w:rsidRPr="007C6417">
        <w:rPr>
          <w:color w:val="000000"/>
          <w:lang w:val="en-US"/>
        </w:rPr>
        <w:t>π. I.1, 100a25–27)</w:t>
      </w:r>
    </w:p>
    <w:p w14:paraId="07FFDAA4" w14:textId="77777777" w:rsidR="00304420" w:rsidRPr="007C6417" w:rsidRDefault="00304420" w:rsidP="00304420">
      <w:pPr>
        <w:pStyle w:val="NormalWeb"/>
        <w:rPr>
          <w:color w:val="000000"/>
          <w:lang w:val="en-US"/>
        </w:rPr>
      </w:pPr>
      <w:r w:rsidRPr="007C6417">
        <w:rPr>
          <w:color w:val="000000"/>
          <w:lang w:val="en-US"/>
        </w:rPr>
        <w:t>“A syllogism is a discourse in which, given that certain things are posited, something else follows of necessity because of what has been posited.”</w:t>
      </w:r>
    </w:p>
    <w:p w14:paraId="7D73680B" w14:textId="0BF22059" w:rsidR="00304420" w:rsidRPr="007C6417" w:rsidRDefault="00304420" w:rsidP="00304420">
      <w:pPr>
        <w:pStyle w:val="NormalWeb"/>
        <w:rPr>
          <w:color w:val="000000"/>
          <w:lang w:val="en-US"/>
        </w:rPr>
      </w:pPr>
      <w:r w:rsidRPr="007C6417">
        <w:rPr>
          <w:color w:val="000000"/>
          <w:lang w:val="en-US"/>
        </w:rPr>
        <w:t>The definition of the syllogism here is essentially the same as that of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color w:val="000000"/>
          <w:lang w:val="en-US"/>
        </w:rPr>
        <w:t>. Nevertheless,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Aristotle does not examine the syllogism in detail, nor does he offer a theory of syllogism or tools for proving its validity, as he does in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color w:val="000000"/>
          <w:lang w:val="en-US"/>
        </w:rPr>
        <w:t>.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the aim is the construction of opinions (</w:t>
      </w:r>
      <w:proofErr w:type="spellStart"/>
      <w:r w:rsidRPr="007C6417">
        <w:rPr>
          <w:rStyle w:val="Emphasis"/>
          <w:rFonts w:eastAsiaTheme="majorEastAsia"/>
          <w:color w:val="000000"/>
          <w:lang w:val="en-US"/>
        </w:rPr>
        <w:t>endoxa</w:t>
      </w:r>
      <w:proofErr w:type="spellEnd"/>
      <w:r w:rsidRPr="007C6417">
        <w:rPr>
          <w:color w:val="000000"/>
          <w:lang w:val="en-US"/>
        </w:rPr>
        <w:t>) that are persuasive, so that they may be accepted by others, whether by the general public or by experts in a given field of knowledge.</w:t>
      </w:r>
      <w:r w:rsidR="00523936" w:rsidRPr="007C6417">
        <w:rPr>
          <w:rStyle w:val="FootnoteReference"/>
          <w:color w:val="000000"/>
          <w:lang w:val="en-US"/>
        </w:rPr>
        <w:footnoteReference w:id="13"/>
      </w:r>
      <w:r w:rsidRPr="007C6417">
        <w:rPr>
          <w:color w:val="000000"/>
          <w:lang w:val="en-US"/>
        </w:rPr>
        <w:t xml:space="preserve"> Aristotle classifies all the propositions used in syllogistic reasoning into four kinds of categorical predications, which signify either an accidental attribute (</w:t>
      </w:r>
      <w:proofErr w:type="spellStart"/>
      <w:r w:rsidRPr="007C6417">
        <w:rPr>
          <w:rStyle w:val="Emphasis"/>
          <w:rFonts w:eastAsiaTheme="majorEastAsia"/>
          <w:color w:val="000000"/>
          <w:lang w:val="en-US"/>
        </w:rPr>
        <w:t>συμ</w:t>
      </w:r>
      <w:proofErr w:type="spellEnd"/>
      <w:r w:rsidRPr="007C6417">
        <w:rPr>
          <w:rStyle w:val="Emphasis"/>
          <w:rFonts w:eastAsiaTheme="majorEastAsia"/>
          <w:color w:val="000000"/>
          <w:lang w:val="en-US"/>
        </w:rPr>
        <w:t>βεβ</w:t>
      </w:r>
      <w:proofErr w:type="spellStart"/>
      <w:r w:rsidRPr="007C6417">
        <w:rPr>
          <w:rStyle w:val="Emphasis"/>
          <w:rFonts w:eastAsiaTheme="majorEastAsia"/>
          <w:color w:val="000000"/>
          <w:lang w:val="en-US"/>
        </w:rPr>
        <w:t>ηκός</w:t>
      </w:r>
      <w:proofErr w:type="spellEnd"/>
      <w:r w:rsidRPr="007C6417">
        <w:rPr>
          <w:color w:val="000000"/>
          <w:lang w:val="en-US"/>
        </w:rPr>
        <w:t>), or a genus, or a proper attribute (</w:t>
      </w:r>
      <w:proofErr w:type="spellStart"/>
      <w:r w:rsidRPr="007C6417">
        <w:rPr>
          <w:rStyle w:val="Emphasis"/>
          <w:rFonts w:eastAsiaTheme="majorEastAsia"/>
          <w:color w:val="000000"/>
          <w:lang w:val="en-US"/>
        </w:rPr>
        <w:t>ἴδιον</w:t>
      </w:r>
      <w:proofErr w:type="spellEnd"/>
      <w:r w:rsidRPr="007C6417">
        <w:rPr>
          <w:color w:val="000000"/>
          <w:lang w:val="en-US"/>
        </w:rPr>
        <w:t>), or a definition (</w:t>
      </w:r>
      <w:proofErr w:type="spellStart"/>
      <w:r w:rsidRPr="007C6417">
        <w:rPr>
          <w:rStyle w:val="Emphasis"/>
          <w:rFonts w:eastAsiaTheme="majorEastAsia"/>
          <w:color w:val="000000"/>
          <w:lang w:val="en-US"/>
        </w:rPr>
        <w:t>ὅρος</w:t>
      </w:r>
      <w:proofErr w:type="spellEnd"/>
      <w:r w:rsidRPr="007C6417">
        <w:rPr>
          <w:color w:val="000000"/>
          <w:lang w:val="en-US"/>
        </w:rPr>
        <w:t>). These are four kinds of predicates.</w:t>
      </w:r>
    </w:p>
    <w:p w14:paraId="4F6B5D1D" w14:textId="3E4EB4FD" w:rsidR="00304420" w:rsidRPr="007C6417" w:rsidRDefault="00304420" w:rsidP="00304420">
      <w:pPr>
        <w:pStyle w:val="NormalWeb"/>
        <w:rPr>
          <w:color w:val="000000"/>
          <w:lang w:val="en-US"/>
        </w:rPr>
      </w:pPr>
      <w:r w:rsidRPr="007C6417">
        <w:rPr>
          <w:color w:val="000000"/>
          <w:lang w:val="en-US"/>
        </w:rPr>
        <w:t>The interlocutor chooses one opinion from a pair of contraries and defends it, while his opponent attempts—on the basis of syllogisms whose premisses are the answers given by the other interlocutor—to lead him to accept an opinion that contradicts the original one. The aim of each is to show that the position of the interlocutor is invalid or at least weak.</w:t>
      </w:r>
      <w:r w:rsidR="00523936" w:rsidRPr="007C6417">
        <w:rPr>
          <w:rStyle w:val="FootnoteReference"/>
          <w:color w:val="000000"/>
          <w:lang w:val="en-US"/>
        </w:rPr>
        <w:footnoteReference w:id="14"/>
      </w:r>
    </w:p>
    <w:p w14:paraId="4810D7CF" w14:textId="05CE8639" w:rsidR="00304420" w:rsidRPr="007C6417" w:rsidRDefault="00304420" w:rsidP="00304420">
      <w:pPr>
        <w:pStyle w:val="NormalWeb"/>
        <w:rPr>
          <w:color w:val="000000"/>
          <w:lang w:val="en-US"/>
        </w:rPr>
      </w:pPr>
      <w:r w:rsidRPr="007C6417">
        <w:rPr>
          <w:color w:val="000000"/>
          <w:lang w:val="en-US"/>
        </w:rPr>
        <w:t>The</w:t>
      </w:r>
      <w:r w:rsidRPr="007C6417">
        <w:rPr>
          <w:rStyle w:val="apple-converted-space"/>
          <w:rFonts w:eastAsiaTheme="majorEastAsia"/>
          <w:color w:val="000000"/>
          <w:lang w:val="en-US"/>
        </w:rPr>
        <w:t> </w:t>
      </w:r>
      <w:r w:rsidRPr="007C6417">
        <w:rPr>
          <w:rStyle w:val="Emphasis"/>
          <w:rFonts w:eastAsiaTheme="majorEastAsia"/>
          <w:color w:val="000000"/>
          <w:lang w:val="en-US"/>
        </w:rPr>
        <w:t>topoi</w:t>
      </w:r>
      <w:r w:rsidRPr="007C6417">
        <w:rPr>
          <w:rStyle w:val="apple-converted-space"/>
          <w:rFonts w:eastAsiaTheme="majorEastAsia"/>
          <w:color w:val="000000"/>
          <w:lang w:val="en-US"/>
        </w:rPr>
        <w:t> </w:t>
      </w:r>
      <w:r w:rsidRPr="007C6417">
        <w:rPr>
          <w:color w:val="000000"/>
          <w:lang w:val="en-US"/>
        </w:rPr>
        <w:t>presented in books 2 through 7 of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are rules or positions that help an interlocutor arrive at the desired conclusion and prevail over his opponent in the dialectical contest.</w:t>
      </w:r>
      <w:r w:rsidR="00523936" w:rsidRPr="007C6417">
        <w:rPr>
          <w:rStyle w:val="FootnoteReference"/>
          <w:color w:val="000000"/>
          <w:lang w:val="en-US"/>
        </w:rPr>
        <w:footnoteReference w:id="15"/>
      </w:r>
      <w:r w:rsidRPr="007C6417">
        <w:rPr>
          <w:color w:val="000000"/>
          <w:lang w:val="en-US"/>
        </w:rPr>
        <w:t xml:space="preserve"> In this context, the syllogism has its place as part of the dialectical struggle and of dialectical inquiry. One of the two interlocutors may, for instance, assert the following: if A is B and B is C, then A is C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 xml:space="preserve">I.18, 102b12–19). Brunschwig argues, not without reason, </w:t>
      </w:r>
      <w:r w:rsidRPr="007C6417">
        <w:rPr>
          <w:color w:val="000000"/>
          <w:lang w:val="en-US"/>
        </w:rPr>
        <w:lastRenderedPageBreak/>
        <w:t>that these arguments (the term</w:t>
      </w:r>
      <w:r w:rsidRPr="007C6417">
        <w:rPr>
          <w:rStyle w:val="apple-converted-space"/>
          <w:rFonts w:eastAsiaTheme="majorEastAsia"/>
          <w:color w:val="000000"/>
          <w:lang w:val="en-US"/>
        </w:rPr>
        <w:t> </w:t>
      </w:r>
      <w:r w:rsidRPr="007C6417">
        <w:rPr>
          <w:rStyle w:val="Emphasis"/>
          <w:rFonts w:eastAsiaTheme="majorEastAsia"/>
          <w:color w:val="000000"/>
          <w:lang w:val="en-US"/>
        </w:rPr>
        <w:t>ἐπ</w:t>
      </w:r>
      <w:proofErr w:type="spellStart"/>
      <w:r w:rsidRPr="007C6417">
        <w:rPr>
          <w:rStyle w:val="Emphasis"/>
          <w:rFonts w:eastAsiaTheme="majorEastAsia"/>
          <w:color w:val="000000"/>
          <w:lang w:val="en-US"/>
        </w:rPr>
        <w:t>ιχείρημ</w:t>
      </w:r>
      <w:proofErr w:type="spellEnd"/>
      <w:r w:rsidRPr="007C6417">
        <w:rPr>
          <w:rStyle w:val="Emphasis"/>
          <w:rFonts w:eastAsiaTheme="majorEastAsia"/>
          <w:color w:val="000000"/>
          <w:lang w:val="en-US"/>
        </w:rPr>
        <w:t>α</w:t>
      </w:r>
      <w:r w:rsidRPr="007C6417">
        <w:rPr>
          <w:rStyle w:val="apple-converted-space"/>
          <w:rFonts w:eastAsiaTheme="majorEastAsia"/>
          <w:color w:val="000000"/>
          <w:lang w:val="en-US"/>
        </w:rPr>
        <w:t> </w:t>
      </w:r>
      <w:r w:rsidRPr="007C6417">
        <w:rPr>
          <w:color w:val="000000"/>
          <w:lang w:val="en-US"/>
        </w:rPr>
        <w:t>is an Aristotelian technical term</w:t>
      </w:r>
      <w:r w:rsidR="00523936" w:rsidRPr="007C6417">
        <w:rPr>
          <w:rStyle w:val="FootnoteReference"/>
          <w:color w:val="000000"/>
          <w:lang w:val="en-US"/>
        </w:rPr>
        <w:footnoteReference w:id="16"/>
      </w:r>
      <w:r w:rsidRPr="007C6417">
        <w:rPr>
          <w:color w:val="000000"/>
          <w:lang w:val="en-US"/>
        </w:rPr>
        <w:t>) have the form of modus ponens (if</w:t>
      </w:r>
      <w:r w:rsidRPr="007C6417">
        <w:rPr>
          <w:rStyle w:val="apple-converted-space"/>
          <w:rFonts w:eastAsiaTheme="majorEastAsia"/>
          <w:color w:val="000000"/>
          <w:lang w:val="en-US"/>
        </w:rPr>
        <w:t> </w:t>
      </w:r>
      <w:r w:rsidRPr="007C6417">
        <w:rPr>
          <w:rStyle w:val="Emphasis"/>
          <w:rFonts w:eastAsiaTheme="majorEastAsia"/>
          <w:color w:val="000000"/>
          <w:lang w:val="en-US"/>
        </w:rPr>
        <w:t>p</w:t>
      </w:r>
      <w:r w:rsidRPr="007C6417">
        <w:rPr>
          <w:color w:val="000000"/>
          <w:lang w:val="en-US"/>
        </w:rPr>
        <w:t>, then</w:t>
      </w:r>
      <w:r w:rsidRPr="007C6417">
        <w:rPr>
          <w:rStyle w:val="apple-converted-space"/>
          <w:rFonts w:eastAsiaTheme="majorEastAsia"/>
          <w:color w:val="000000"/>
          <w:lang w:val="en-US"/>
        </w:rPr>
        <w:t> </w:t>
      </w:r>
      <w:r w:rsidRPr="007C6417">
        <w:rPr>
          <w:rStyle w:val="Emphasis"/>
          <w:rFonts w:eastAsiaTheme="majorEastAsia"/>
          <w:color w:val="000000"/>
          <w:lang w:val="en-US"/>
        </w:rPr>
        <w:t>q</w:t>
      </w:r>
      <w:r w:rsidRPr="007C6417">
        <w:rPr>
          <w:color w:val="000000"/>
          <w:lang w:val="en-US"/>
        </w:rPr>
        <w:t>;</w:t>
      </w:r>
      <w:r w:rsidRPr="007C6417">
        <w:rPr>
          <w:rStyle w:val="apple-converted-space"/>
          <w:rFonts w:eastAsiaTheme="majorEastAsia"/>
          <w:color w:val="000000"/>
          <w:lang w:val="en-US"/>
        </w:rPr>
        <w:t> </w:t>
      </w:r>
      <w:r w:rsidRPr="007C6417">
        <w:rPr>
          <w:rStyle w:val="Emphasis"/>
          <w:rFonts w:eastAsiaTheme="majorEastAsia"/>
          <w:color w:val="000000"/>
          <w:lang w:val="en-US"/>
        </w:rPr>
        <w:t>p</w:t>
      </w:r>
      <w:r w:rsidRPr="007C6417">
        <w:rPr>
          <w:color w:val="000000"/>
          <w:lang w:val="en-US"/>
        </w:rPr>
        <w:t>; therefore</w:t>
      </w:r>
      <w:r w:rsidRPr="007C6417">
        <w:rPr>
          <w:rStyle w:val="apple-converted-space"/>
          <w:rFonts w:eastAsiaTheme="majorEastAsia"/>
          <w:color w:val="000000"/>
          <w:lang w:val="en-US"/>
        </w:rPr>
        <w:t> </w:t>
      </w:r>
      <w:r w:rsidRPr="007C6417">
        <w:rPr>
          <w:rStyle w:val="Emphasis"/>
          <w:rFonts w:eastAsiaTheme="majorEastAsia"/>
          <w:color w:val="000000"/>
          <w:lang w:val="en-US"/>
        </w:rPr>
        <w:t>q</w:t>
      </w:r>
      <w:r w:rsidRPr="007C6417">
        <w:rPr>
          <w:color w:val="000000"/>
          <w:lang w:val="en-US"/>
        </w:rPr>
        <w:t>), or of modus tollens (if</w:t>
      </w:r>
      <w:r w:rsidRPr="007C6417">
        <w:rPr>
          <w:rStyle w:val="apple-converted-space"/>
          <w:rFonts w:eastAsiaTheme="majorEastAsia"/>
          <w:color w:val="000000"/>
          <w:lang w:val="en-US"/>
        </w:rPr>
        <w:t> </w:t>
      </w:r>
      <w:r w:rsidRPr="007C6417">
        <w:rPr>
          <w:rStyle w:val="Emphasis"/>
          <w:rFonts w:eastAsiaTheme="majorEastAsia"/>
          <w:color w:val="000000"/>
          <w:lang w:val="en-US"/>
        </w:rPr>
        <w:t>p</w:t>
      </w:r>
      <w:r w:rsidRPr="007C6417">
        <w:rPr>
          <w:color w:val="000000"/>
          <w:lang w:val="en-US"/>
        </w:rPr>
        <w:t>, then</w:t>
      </w:r>
      <w:r w:rsidRPr="007C6417">
        <w:rPr>
          <w:rStyle w:val="apple-converted-space"/>
          <w:rFonts w:eastAsiaTheme="majorEastAsia"/>
          <w:color w:val="000000"/>
          <w:lang w:val="en-US"/>
        </w:rPr>
        <w:t> </w:t>
      </w:r>
      <w:r w:rsidRPr="007C6417">
        <w:rPr>
          <w:rStyle w:val="Emphasis"/>
          <w:rFonts w:eastAsiaTheme="majorEastAsia"/>
          <w:color w:val="000000"/>
          <w:lang w:val="en-US"/>
        </w:rPr>
        <w:t>q</w:t>
      </w:r>
      <w:r w:rsidRPr="007C6417">
        <w:rPr>
          <w:color w:val="000000"/>
          <w:lang w:val="en-US"/>
        </w:rPr>
        <w:t>; not</w:t>
      </w:r>
      <w:r w:rsidRPr="007C6417">
        <w:rPr>
          <w:rStyle w:val="apple-converted-space"/>
          <w:rFonts w:eastAsiaTheme="majorEastAsia"/>
          <w:color w:val="000000"/>
          <w:lang w:val="en-US"/>
        </w:rPr>
        <w:t> </w:t>
      </w:r>
      <w:r w:rsidRPr="007C6417">
        <w:rPr>
          <w:rStyle w:val="Emphasis"/>
          <w:rFonts w:eastAsiaTheme="majorEastAsia"/>
          <w:color w:val="000000"/>
          <w:lang w:val="en-US"/>
        </w:rPr>
        <w:t>q</w:t>
      </w:r>
      <w:r w:rsidRPr="007C6417">
        <w:rPr>
          <w:color w:val="000000"/>
          <w:lang w:val="en-US"/>
        </w:rPr>
        <w:t xml:space="preserve">; </w:t>
      </w:r>
      <w:proofErr w:type="gramStart"/>
      <w:r w:rsidRPr="007C6417">
        <w:rPr>
          <w:color w:val="000000"/>
          <w:lang w:val="en-US"/>
        </w:rPr>
        <w:t>therefore</w:t>
      </w:r>
      <w:proofErr w:type="gramEnd"/>
      <w:r w:rsidRPr="007C6417">
        <w:rPr>
          <w:color w:val="000000"/>
          <w:lang w:val="en-US"/>
        </w:rPr>
        <w:t xml:space="preserve"> not</w:t>
      </w:r>
      <w:r w:rsidRPr="007C6417">
        <w:rPr>
          <w:rStyle w:val="apple-converted-space"/>
          <w:rFonts w:eastAsiaTheme="majorEastAsia"/>
          <w:color w:val="000000"/>
          <w:lang w:val="en-US"/>
        </w:rPr>
        <w:t> </w:t>
      </w:r>
      <w:r w:rsidRPr="007C6417">
        <w:rPr>
          <w:rStyle w:val="Emphasis"/>
          <w:rFonts w:eastAsiaTheme="majorEastAsia"/>
          <w:color w:val="000000"/>
          <w:lang w:val="en-US"/>
        </w:rPr>
        <w:t>p</w:t>
      </w:r>
      <w:r w:rsidRPr="007C6417">
        <w:rPr>
          <w:color w:val="000000"/>
          <w:lang w:val="en-US"/>
        </w:rPr>
        <w:t>). Aristotle, however, is not acquainted with propositional logic, which was developed later by the Stoics. He does not even recognize compound propositions, such as hypothetical, conjunctive or disjunctive, which are handled by propositional logic. Even when he does make use of them, however, he does not possess a formal theory concerning them. Aristotle does not provide us with a theory of these hypothetical syllogisms that he introduces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He does not even discuss the syllogism as such as a mechanism, even of dialectical demonstration.</w:t>
      </w:r>
      <w:r w:rsidR="00523936" w:rsidRPr="007C6417">
        <w:rPr>
          <w:rStyle w:val="FootnoteReference"/>
          <w:color w:val="000000"/>
          <w:lang w:val="en-US"/>
        </w:rPr>
        <w:footnoteReference w:id="17"/>
      </w:r>
    </w:p>
    <w:p w14:paraId="4933F983" w14:textId="77777777" w:rsidR="00304420" w:rsidRPr="007C6417" w:rsidRDefault="00304420" w:rsidP="00304420">
      <w:pPr>
        <w:pStyle w:val="NormalWeb"/>
        <w:rPr>
          <w:color w:val="000000"/>
          <w:lang w:val="en-US"/>
        </w:rPr>
      </w:pPr>
      <w:r w:rsidRPr="007C6417">
        <w:rPr>
          <w:color w:val="000000"/>
          <w:lang w:val="en-US"/>
        </w:rPr>
        <w:t>In the</w:t>
      </w:r>
      <w:r w:rsidRPr="007C6417">
        <w:rPr>
          <w:rStyle w:val="apple-converted-space"/>
          <w:rFonts w:eastAsiaTheme="majorEastAsia"/>
          <w:color w:val="000000"/>
          <w:lang w:val="en-US"/>
        </w:rPr>
        <w:t> </w:t>
      </w:r>
      <w:r w:rsidRPr="007C6417">
        <w:rPr>
          <w:rStyle w:val="Emphasis"/>
          <w:rFonts w:eastAsiaTheme="majorEastAsia"/>
          <w:color w:val="000000"/>
          <w:lang w:val="en-US"/>
        </w:rPr>
        <w:t>Sophistical Refutations</w:t>
      </w:r>
      <w:r w:rsidRPr="007C6417">
        <w:rPr>
          <w:color w:val="000000"/>
          <w:lang w:val="en-US"/>
        </w:rPr>
        <w:t>, which clearly constitute a continuation of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and belong to the same line of inquiry—namely, dialectic—Aristotle speaks of arguments that are not valid and that yield only apparently, not genuinely true, conclusions. These are, according to Aristotle, arguments whose conclusions do not follow of necessity from the premisses (</w:t>
      </w:r>
      <w:r w:rsidRPr="007C6417">
        <w:rPr>
          <w:rStyle w:val="Emphasis"/>
          <w:rFonts w:eastAsiaTheme="majorEastAsia"/>
          <w:color w:val="000000"/>
          <w:lang w:val="en-US"/>
        </w:rPr>
        <w:t>Soph. El.</w:t>
      </w:r>
      <w:r w:rsidRPr="007C6417">
        <w:rPr>
          <w:rStyle w:val="apple-converted-space"/>
          <w:rFonts w:eastAsiaTheme="majorEastAsia"/>
          <w:color w:val="000000"/>
          <w:lang w:val="en-US"/>
        </w:rPr>
        <w:t> </w:t>
      </w:r>
      <w:r w:rsidRPr="007C6417">
        <w:rPr>
          <w:color w:val="000000"/>
          <w:lang w:val="en-US"/>
        </w:rPr>
        <w:t>168a21–23).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and in the</w:t>
      </w:r>
      <w:r w:rsidRPr="007C6417">
        <w:rPr>
          <w:rStyle w:val="apple-converted-space"/>
          <w:rFonts w:eastAsiaTheme="majorEastAsia"/>
          <w:color w:val="000000"/>
          <w:lang w:val="en-US"/>
        </w:rPr>
        <w:t> </w:t>
      </w:r>
      <w:r w:rsidRPr="007C6417">
        <w:rPr>
          <w:rStyle w:val="Emphasis"/>
          <w:rFonts w:eastAsiaTheme="majorEastAsia"/>
          <w:color w:val="000000"/>
          <w:lang w:val="en-US"/>
        </w:rPr>
        <w:t>Sophistical Refutations</w:t>
      </w:r>
      <w:r w:rsidRPr="007C6417">
        <w:rPr>
          <w:color w:val="000000"/>
          <w:lang w:val="en-US"/>
        </w:rPr>
        <w:t>, Aristotle does not explain how a true conclusion arises in a syllogism, nor how one can judge that the conclusion of a syllogism follows validly and why. This is what he does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It is noteworthy that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Aristotle eventually does speak briefly of hypothetical syllogisms—syllogisms with hypothetical premisses (</w:t>
      </w:r>
      <w:proofErr w:type="spellStart"/>
      <w:r w:rsidRPr="007C6417">
        <w:rPr>
          <w:color w:val="000000"/>
          <w:lang w:val="en-US"/>
        </w:rPr>
        <w:t>ch.</w:t>
      </w:r>
      <w:proofErr w:type="spellEnd"/>
      <w:r w:rsidRPr="007C6417">
        <w:rPr>
          <w:color w:val="000000"/>
          <w:lang w:val="en-US"/>
        </w:rPr>
        <w:t xml:space="preserve"> 44, 50a16–28)—which he introduces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and where he also acknowledges that these syllogisms do not belong to the syllogistic figures presented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nor can they be reduced to them. He concludes there that the conclusions of these syllogisms should not be accepted</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ἐκ</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συλλογισμοῦ</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ἀλλ</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ἐξ</w:t>
      </w:r>
      <w:proofErr w:type="spellEnd"/>
      <w:r w:rsidRPr="007C6417">
        <w:rPr>
          <w:rStyle w:val="Emphasis"/>
          <w:rFonts w:eastAsiaTheme="majorEastAsia"/>
          <w:color w:val="000000"/>
          <w:lang w:val="en-US"/>
        </w:rPr>
        <w:t xml:space="preserve"> ὑπ</w:t>
      </w:r>
      <w:proofErr w:type="spellStart"/>
      <w:r w:rsidRPr="007C6417">
        <w:rPr>
          <w:rStyle w:val="Emphasis"/>
          <w:rFonts w:eastAsiaTheme="majorEastAsia"/>
          <w:color w:val="000000"/>
          <w:lang w:val="en-US"/>
        </w:rPr>
        <w:t>οθέσεως</w:t>
      </w:r>
      <w:proofErr w:type="spellEnd"/>
      <w:r w:rsidRPr="007C6417">
        <w:rPr>
          <w:rStyle w:val="apple-converted-space"/>
          <w:rFonts w:eastAsiaTheme="majorEastAsia"/>
          <w:color w:val="000000"/>
          <w:lang w:val="en-US"/>
        </w:rPr>
        <w:t> </w:t>
      </w:r>
      <w:r w:rsidRPr="007C6417">
        <w:rPr>
          <w:color w:val="000000"/>
          <w:lang w:val="en-US"/>
        </w:rPr>
        <w:t>(50a25–26). It is ultimately unclear whether Aristotle thought that these syllogisms were not useful for demonstrative science, or whether he regarded them as useful but simply did not find the time to develop them.</w:t>
      </w:r>
    </w:p>
    <w:p w14:paraId="69F80435" w14:textId="77777777" w:rsidR="00304420" w:rsidRPr="007C6417" w:rsidRDefault="00304420" w:rsidP="00304420">
      <w:pPr>
        <w:pStyle w:val="NormalWeb"/>
        <w:rPr>
          <w:color w:val="000000"/>
          <w:lang w:val="en-US"/>
        </w:rPr>
      </w:pPr>
      <w:r w:rsidRPr="007C6417">
        <w:rPr>
          <w:color w:val="000000"/>
          <w:lang w:val="en-US"/>
        </w:rPr>
        <w:t>In the</w:t>
      </w:r>
      <w:r w:rsidRPr="007C6417">
        <w:rPr>
          <w:rStyle w:val="apple-converted-space"/>
          <w:rFonts w:eastAsiaTheme="majorEastAsia"/>
          <w:color w:val="000000"/>
          <w:lang w:val="en-US"/>
        </w:rPr>
        <w:t> </w:t>
      </w:r>
      <w:r w:rsidRPr="007C6417">
        <w:rPr>
          <w:rStyle w:val="Emphasis"/>
          <w:rFonts w:eastAsiaTheme="majorEastAsia"/>
          <w:color w:val="000000"/>
          <w:lang w:val="en-US"/>
        </w:rPr>
        <w:t>Rhetoric</w:t>
      </w:r>
      <w:r w:rsidRPr="007C6417">
        <w:rPr>
          <w:color w:val="000000"/>
          <w:lang w:val="en-US"/>
        </w:rPr>
        <w:t>, Aristotle now maintains that rhetoric, too, reasons syllogistically (</w:t>
      </w:r>
      <w:r w:rsidRPr="007C6417">
        <w:rPr>
          <w:rStyle w:val="Emphasis"/>
          <w:rFonts w:eastAsiaTheme="majorEastAsia"/>
          <w:color w:val="000000"/>
          <w:lang w:val="en-US"/>
        </w:rPr>
        <w:t>Rhet.</w:t>
      </w:r>
      <w:r w:rsidRPr="007C6417">
        <w:rPr>
          <w:rStyle w:val="apple-converted-space"/>
          <w:rFonts w:eastAsiaTheme="majorEastAsia"/>
          <w:color w:val="000000"/>
          <w:lang w:val="en-US"/>
        </w:rPr>
        <w:t> </w:t>
      </w:r>
      <w:r w:rsidRPr="007C6417">
        <w:rPr>
          <w:color w:val="000000"/>
          <w:lang w:val="en-US"/>
        </w:rPr>
        <w:t>I.2, 1356a35–b7), and he speaks of the</w:t>
      </w:r>
      <w:r w:rsidRPr="007C6417">
        <w:rPr>
          <w:rStyle w:val="apple-converted-space"/>
          <w:rFonts w:eastAsiaTheme="majorEastAsia"/>
          <w:color w:val="000000"/>
          <w:lang w:val="en-US"/>
        </w:rPr>
        <w:t> </w:t>
      </w:r>
      <w:r w:rsidRPr="007C6417">
        <w:rPr>
          <w:rStyle w:val="Emphasis"/>
          <w:rFonts w:eastAsiaTheme="majorEastAsia"/>
          <w:color w:val="000000"/>
          <w:lang w:val="en-US"/>
        </w:rPr>
        <w:t>enthymeme</w:t>
      </w:r>
      <w:r w:rsidRPr="007C6417">
        <w:rPr>
          <w:color w:val="000000"/>
          <w:lang w:val="en-US"/>
        </w:rPr>
        <w:t>, a kind of rhetorical syllogism. In this context he even provides a definition of the syllogism similar to that found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w:t>
      </w:r>
    </w:p>
    <w:p w14:paraId="6AC65B7D" w14:textId="77777777" w:rsidR="00304420" w:rsidRPr="007C6417" w:rsidRDefault="00304420" w:rsidP="00304420">
      <w:pPr>
        <w:pStyle w:val="NormalWeb"/>
        <w:rPr>
          <w:color w:val="000000"/>
          <w:lang w:val="en-US"/>
        </w:rPr>
      </w:pPr>
      <w:proofErr w:type="spellStart"/>
      <w:r w:rsidRPr="007C6417">
        <w:rPr>
          <w:color w:val="000000"/>
          <w:lang w:val="en-US"/>
        </w:rPr>
        <w:t>Τίς</w:t>
      </w:r>
      <w:proofErr w:type="spellEnd"/>
      <w:r w:rsidRPr="007C6417">
        <w:rPr>
          <w:color w:val="000000"/>
          <w:lang w:val="en-US"/>
        </w:rPr>
        <w:t xml:space="preserve"> δ᾽ </w:t>
      </w:r>
      <w:proofErr w:type="spellStart"/>
      <w:r w:rsidRPr="007C6417">
        <w:rPr>
          <w:color w:val="000000"/>
          <w:lang w:val="en-US"/>
        </w:rPr>
        <w:t>ἐστὶν</w:t>
      </w:r>
      <w:proofErr w:type="spellEnd"/>
      <w:r w:rsidRPr="007C6417">
        <w:rPr>
          <w:color w:val="000000"/>
          <w:lang w:val="en-US"/>
        </w:rPr>
        <w:t xml:space="preserve"> </w:t>
      </w:r>
      <w:proofErr w:type="spellStart"/>
      <w:r w:rsidRPr="007C6417">
        <w:rPr>
          <w:color w:val="000000"/>
          <w:lang w:val="en-US"/>
        </w:rPr>
        <w:t>δι</w:t>
      </w:r>
      <w:proofErr w:type="spellEnd"/>
      <w:r w:rsidRPr="007C6417">
        <w:rPr>
          <w:color w:val="000000"/>
          <w:lang w:val="en-US"/>
        </w:rPr>
        <w:t>α</w:t>
      </w:r>
      <w:proofErr w:type="spellStart"/>
      <w:r w:rsidRPr="007C6417">
        <w:rPr>
          <w:color w:val="000000"/>
          <w:lang w:val="en-US"/>
        </w:rPr>
        <w:t>φορὰ</w:t>
      </w:r>
      <w:proofErr w:type="spellEnd"/>
      <w:r w:rsidRPr="007C6417">
        <w:rPr>
          <w:color w:val="000000"/>
          <w:lang w:val="en-US"/>
        </w:rPr>
        <w:t xml:space="preserve"> παρα</w:t>
      </w:r>
      <w:proofErr w:type="spellStart"/>
      <w:r w:rsidRPr="007C6417">
        <w:rPr>
          <w:color w:val="000000"/>
          <w:lang w:val="en-US"/>
        </w:rPr>
        <w:t>δείγμ</w:t>
      </w:r>
      <w:proofErr w:type="spellEnd"/>
      <w:r w:rsidRPr="007C6417">
        <w:rPr>
          <w:color w:val="000000"/>
          <w:lang w:val="en-US"/>
        </w:rPr>
        <w:t>α</w:t>
      </w:r>
      <w:proofErr w:type="spellStart"/>
      <w:r w:rsidRPr="007C6417">
        <w:rPr>
          <w:color w:val="000000"/>
          <w:lang w:val="en-US"/>
        </w:rPr>
        <w:t>τος</w:t>
      </w:r>
      <w:proofErr w:type="spellEnd"/>
      <w:r w:rsidRPr="007C6417">
        <w:rPr>
          <w:color w:val="000000"/>
          <w:lang w:val="en-US"/>
        </w:rPr>
        <w:t xml:space="preserve"> καὶ </w:t>
      </w:r>
      <w:proofErr w:type="spellStart"/>
      <w:r w:rsidRPr="007C6417">
        <w:rPr>
          <w:color w:val="000000"/>
          <w:lang w:val="en-US"/>
        </w:rPr>
        <w:t>ἐνθυμήμ</w:t>
      </w:r>
      <w:proofErr w:type="spellEnd"/>
      <w:r w:rsidRPr="007C6417">
        <w:rPr>
          <w:color w:val="000000"/>
          <w:lang w:val="en-US"/>
        </w:rPr>
        <w:t>α</w:t>
      </w:r>
      <w:proofErr w:type="spellStart"/>
      <w:r w:rsidRPr="007C6417">
        <w:rPr>
          <w:color w:val="000000"/>
          <w:lang w:val="en-US"/>
        </w:rPr>
        <w:t>τος</w:t>
      </w:r>
      <w:proofErr w:type="spellEnd"/>
      <w:r w:rsidRPr="007C6417">
        <w:rPr>
          <w:color w:val="000000"/>
          <w:lang w:val="en-US"/>
        </w:rPr>
        <w:t>, φα</w:t>
      </w:r>
      <w:proofErr w:type="spellStart"/>
      <w:r w:rsidRPr="007C6417">
        <w:rPr>
          <w:color w:val="000000"/>
          <w:lang w:val="en-US"/>
        </w:rPr>
        <w:t>νερὸν</w:t>
      </w:r>
      <w:proofErr w:type="spellEnd"/>
      <w:r w:rsidRPr="007C6417">
        <w:rPr>
          <w:color w:val="000000"/>
          <w:lang w:val="en-US"/>
        </w:rPr>
        <w:t xml:space="preserve"> </w:t>
      </w:r>
      <w:proofErr w:type="spellStart"/>
      <w:r w:rsidRPr="007C6417">
        <w:rPr>
          <w:color w:val="000000"/>
          <w:lang w:val="en-US"/>
        </w:rPr>
        <w:t>ἐκ</w:t>
      </w:r>
      <w:proofErr w:type="spellEnd"/>
      <w:r w:rsidRPr="007C6417">
        <w:rPr>
          <w:color w:val="000000"/>
          <w:lang w:val="en-US"/>
        </w:rPr>
        <w:t xml:space="preserve"> </w:t>
      </w:r>
      <w:proofErr w:type="spellStart"/>
      <w:r w:rsidRPr="007C6417">
        <w:rPr>
          <w:color w:val="000000"/>
          <w:lang w:val="en-US"/>
        </w:rPr>
        <w:t>τῶν</w:t>
      </w:r>
      <w:proofErr w:type="spellEnd"/>
      <w:r w:rsidRPr="007C6417">
        <w:rPr>
          <w:color w:val="000000"/>
          <w:lang w:val="en-US"/>
        </w:rPr>
        <w:t xml:space="preserve"> </w:t>
      </w:r>
      <w:proofErr w:type="spellStart"/>
      <w:r w:rsidRPr="007C6417">
        <w:rPr>
          <w:color w:val="000000"/>
          <w:lang w:val="en-US"/>
        </w:rPr>
        <w:t>Το</w:t>
      </w:r>
      <w:proofErr w:type="spellEnd"/>
      <w:r w:rsidRPr="007C6417">
        <w:rPr>
          <w:color w:val="000000"/>
          <w:lang w:val="en-US"/>
        </w:rPr>
        <w:t>π</w:t>
      </w:r>
      <w:proofErr w:type="spellStart"/>
      <w:r w:rsidRPr="007C6417">
        <w:rPr>
          <w:color w:val="000000"/>
          <w:lang w:val="en-US"/>
        </w:rPr>
        <w:t>ικῶν</w:t>
      </w:r>
      <w:proofErr w:type="spellEnd"/>
      <w:r w:rsidRPr="007C6417">
        <w:rPr>
          <w:color w:val="000000"/>
          <w:lang w:val="en-US"/>
        </w:rPr>
        <w:t xml:space="preserve"> (</w:t>
      </w:r>
      <w:proofErr w:type="spellStart"/>
      <w:r w:rsidRPr="007C6417">
        <w:rPr>
          <w:color w:val="000000"/>
          <w:lang w:val="en-US"/>
        </w:rPr>
        <w:t>ἐκεῖ</w:t>
      </w:r>
      <w:proofErr w:type="spellEnd"/>
      <w:r w:rsidRPr="007C6417">
        <w:rPr>
          <w:color w:val="000000"/>
          <w:lang w:val="en-US"/>
        </w:rPr>
        <w:t xml:space="preserve"> </w:t>
      </w:r>
      <w:proofErr w:type="spellStart"/>
      <w:r w:rsidRPr="007C6417">
        <w:rPr>
          <w:color w:val="000000"/>
          <w:lang w:val="en-US"/>
        </w:rPr>
        <w:t>γὰρ</w:t>
      </w:r>
      <w:proofErr w:type="spellEnd"/>
      <w:r w:rsidRPr="007C6417">
        <w:rPr>
          <w:color w:val="000000"/>
          <w:lang w:val="en-US"/>
        </w:rPr>
        <w:t xml:space="preserve"> π</w:t>
      </w:r>
      <w:proofErr w:type="spellStart"/>
      <w:r w:rsidRPr="007C6417">
        <w:rPr>
          <w:color w:val="000000"/>
          <w:lang w:val="en-US"/>
        </w:rPr>
        <w:t>ερὶ</w:t>
      </w:r>
      <w:proofErr w:type="spellEnd"/>
      <w:r w:rsidRPr="007C6417">
        <w:rPr>
          <w:color w:val="000000"/>
          <w:lang w:val="en-US"/>
        </w:rPr>
        <w:t xml:space="preserve"> </w:t>
      </w:r>
      <w:proofErr w:type="spellStart"/>
      <w:r w:rsidRPr="007C6417">
        <w:rPr>
          <w:color w:val="000000"/>
          <w:lang w:val="en-US"/>
        </w:rPr>
        <w:t>συλλογισμοῦ</w:t>
      </w:r>
      <w:proofErr w:type="spellEnd"/>
      <w:r w:rsidRPr="007C6417">
        <w:rPr>
          <w:color w:val="000000"/>
          <w:lang w:val="en-US"/>
        </w:rPr>
        <w:t xml:space="preserve"> καὶ ἐπα</w:t>
      </w:r>
      <w:proofErr w:type="spellStart"/>
      <w:r w:rsidRPr="007C6417">
        <w:rPr>
          <w:color w:val="000000"/>
          <w:lang w:val="en-US"/>
        </w:rPr>
        <w:t>γωγῆς</w:t>
      </w:r>
      <w:proofErr w:type="spellEnd"/>
      <w:r w:rsidRPr="007C6417">
        <w:rPr>
          <w:color w:val="000000"/>
          <w:lang w:val="en-US"/>
        </w:rPr>
        <w:t xml:space="preserve"> </w:t>
      </w:r>
      <w:proofErr w:type="spellStart"/>
      <w:r w:rsidRPr="007C6417">
        <w:rPr>
          <w:color w:val="000000"/>
          <w:lang w:val="en-US"/>
        </w:rPr>
        <w:t>εἴρητ</w:t>
      </w:r>
      <w:proofErr w:type="spellEnd"/>
      <w:r w:rsidRPr="007C6417">
        <w:rPr>
          <w:color w:val="000000"/>
          <w:lang w:val="en-US"/>
        </w:rPr>
        <w:t>αι π</w:t>
      </w:r>
      <w:proofErr w:type="spellStart"/>
      <w:r w:rsidRPr="007C6417">
        <w:rPr>
          <w:color w:val="000000"/>
          <w:lang w:val="en-US"/>
        </w:rPr>
        <w:t>ρότερον</w:t>
      </w:r>
      <w:proofErr w:type="spellEnd"/>
      <w:r w:rsidRPr="007C6417">
        <w:rPr>
          <w:color w:val="000000"/>
          <w:lang w:val="en-US"/>
        </w:rPr>
        <w:t xml:space="preserve">), </w:t>
      </w:r>
      <w:proofErr w:type="spellStart"/>
      <w:r w:rsidRPr="007C6417">
        <w:rPr>
          <w:color w:val="000000"/>
          <w:lang w:val="en-US"/>
        </w:rPr>
        <w:t>ὅτι</w:t>
      </w:r>
      <w:proofErr w:type="spellEnd"/>
      <w:r w:rsidRPr="007C6417">
        <w:rPr>
          <w:color w:val="000000"/>
          <w:lang w:val="en-US"/>
        </w:rPr>
        <w:t xml:space="preserve"> </w:t>
      </w:r>
      <w:proofErr w:type="spellStart"/>
      <w:r w:rsidRPr="007C6417">
        <w:rPr>
          <w:color w:val="000000"/>
          <w:lang w:val="en-US"/>
        </w:rPr>
        <w:t>τὸ</w:t>
      </w:r>
      <w:proofErr w:type="spellEnd"/>
      <w:r w:rsidRPr="007C6417">
        <w:rPr>
          <w:color w:val="000000"/>
          <w:lang w:val="en-US"/>
        </w:rPr>
        <w:t xml:space="preserve"> </w:t>
      </w:r>
      <w:proofErr w:type="spellStart"/>
      <w:r w:rsidRPr="007C6417">
        <w:rPr>
          <w:color w:val="000000"/>
          <w:lang w:val="en-US"/>
        </w:rPr>
        <w:t>μὲν</w:t>
      </w:r>
      <w:proofErr w:type="spellEnd"/>
      <w:r w:rsidRPr="007C6417">
        <w:rPr>
          <w:color w:val="000000"/>
          <w:lang w:val="en-US"/>
        </w:rPr>
        <w:t xml:space="preserve"> ἐπὶ π</w:t>
      </w:r>
      <w:proofErr w:type="spellStart"/>
      <w:r w:rsidRPr="007C6417">
        <w:rPr>
          <w:color w:val="000000"/>
          <w:lang w:val="en-US"/>
        </w:rPr>
        <w:t>ολλῶν</w:t>
      </w:r>
      <w:proofErr w:type="spellEnd"/>
      <w:r w:rsidRPr="007C6417">
        <w:rPr>
          <w:color w:val="000000"/>
          <w:lang w:val="en-US"/>
        </w:rPr>
        <w:t xml:space="preserve"> καὶ </w:t>
      </w:r>
      <w:proofErr w:type="spellStart"/>
      <w:r w:rsidRPr="007C6417">
        <w:rPr>
          <w:color w:val="000000"/>
          <w:lang w:val="en-US"/>
        </w:rPr>
        <w:t>ὁμοίων</w:t>
      </w:r>
      <w:proofErr w:type="spellEnd"/>
      <w:r w:rsidRPr="007C6417">
        <w:rPr>
          <w:color w:val="000000"/>
          <w:lang w:val="en-US"/>
        </w:rPr>
        <w:t xml:space="preserve"> </w:t>
      </w:r>
      <w:proofErr w:type="spellStart"/>
      <w:r w:rsidRPr="007C6417">
        <w:rPr>
          <w:color w:val="000000"/>
          <w:lang w:val="en-US"/>
        </w:rPr>
        <w:t>δείκνυσθ</w:t>
      </w:r>
      <w:proofErr w:type="spellEnd"/>
      <w:r w:rsidRPr="007C6417">
        <w:rPr>
          <w:color w:val="000000"/>
          <w:lang w:val="en-US"/>
        </w:rPr>
        <w:t xml:space="preserve">αι </w:t>
      </w:r>
      <w:proofErr w:type="spellStart"/>
      <w:r w:rsidRPr="007C6417">
        <w:rPr>
          <w:color w:val="000000"/>
          <w:lang w:val="en-US"/>
        </w:rPr>
        <w:t>ὅτι</w:t>
      </w:r>
      <w:proofErr w:type="spellEnd"/>
      <w:r w:rsidRPr="007C6417">
        <w:rPr>
          <w:color w:val="000000"/>
          <w:lang w:val="en-US"/>
        </w:rPr>
        <w:t xml:space="preserve"> </w:t>
      </w:r>
      <w:proofErr w:type="spellStart"/>
      <w:r w:rsidRPr="007C6417">
        <w:rPr>
          <w:color w:val="000000"/>
          <w:lang w:val="en-US"/>
        </w:rPr>
        <w:t>οὕτως</w:t>
      </w:r>
      <w:proofErr w:type="spellEnd"/>
      <w:r w:rsidRPr="007C6417">
        <w:rPr>
          <w:color w:val="000000"/>
          <w:lang w:val="en-US"/>
        </w:rPr>
        <w:t xml:space="preserve"> </w:t>
      </w:r>
      <w:proofErr w:type="spellStart"/>
      <w:r w:rsidRPr="007C6417">
        <w:rPr>
          <w:color w:val="000000"/>
          <w:lang w:val="en-US"/>
        </w:rPr>
        <w:t>ἔχει</w:t>
      </w:r>
      <w:proofErr w:type="spellEnd"/>
      <w:r w:rsidRPr="007C6417">
        <w:rPr>
          <w:color w:val="000000"/>
          <w:lang w:val="en-US"/>
        </w:rPr>
        <w:t xml:space="preserve"> </w:t>
      </w:r>
      <w:proofErr w:type="spellStart"/>
      <w:r w:rsidRPr="007C6417">
        <w:rPr>
          <w:color w:val="000000"/>
          <w:lang w:val="en-US"/>
        </w:rPr>
        <w:t>ἐκεῖ</w:t>
      </w:r>
      <w:proofErr w:type="spellEnd"/>
      <w:r w:rsidRPr="007C6417">
        <w:rPr>
          <w:color w:val="000000"/>
          <w:lang w:val="en-US"/>
        </w:rPr>
        <w:t xml:space="preserve"> </w:t>
      </w:r>
      <w:proofErr w:type="spellStart"/>
      <w:r w:rsidRPr="007C6417">
        <w:rPr>
          <w:color w:val="000000"/>
          <w:lang w:val="en-US"/>
        </w:rPr>
        <w:t>μὲν</w:t>
      </w:r>
      <w:proofErr w:type="spellEnd"/>
      <w:r w:rsidRPr="007C6417">
        <w:rPr>
          <w:color w:val="000000"/>
          <w:lang w:val="en-US"/>
        </w:rPr>
        <w:t xml:space="preserve"> ἐπα</w:t>
      </w:r>
      <w:proofErr w:type="spellStart"/>
      <w:r w:rsidRPr="007C6417">
        <w:rPr>
          <w:color w:val="000000"/>
          <w:lang w:val="en-US"/>
        </w:rPr>
        <w:t>γωγή</w:t>
      </w:r>
      <w:proofErr w:type="spellEnd"/>
      <w:r w:rsidRPr="007C6417">
        <w:rPr>
          <w:color w:val="000000"/>
          <w:lang w:val="en-US"/>
        </w:rPr>
        <w:t xml:space="preserve"> </w:t>
      </w:r>
      <w:proofErr w:type="spellStart"/>
      <w:r w:rsidRPr="007C6417">
        <w:rPr>
          <w:color w:val="000000"/>
          <w:lang w:val="en-US"/>
        </w:rPr>
        <w:t>ἐστιν</w:t>
      </w:r>
      <w:proofErr w:type="spellEnd"/>
      <w:r w:rsidRPr="007C6417">
        <w:rPr>
          <w:color w:val="000000"/>
          <w:lang w:val="en-US"/>
        </w:rPr>
        <w:t xml:space="preserve"> </w:t>
      </w:r>
      <w:proofErr w:type="spellStart"/>
      <w:r w:rsidRPr="007C6417">
        <w:rPr>
          <w:color w:val="000000"/>
          <w:lang w:val="en-US"/>
        </w:rPr>
        <w:t>ἐντ</w:t>
      </w:r>
      <w:proofErr w:type="spellEnd"/>
      <w:r w:rsidRPr="007C6417">
        <w:rPr>
          <w:color w:val="000000"/>
          <w:lang w:val="en-US"/>
        </w:rPr>
        <w:t>α</w:t>
      </w:r>
      <w:proofErr w:type="spellStart"/>
      <w:r w:rsidRPr="007C6417">
        <w:rPr>
          <w:color w:val="000000"/>
          <w:lang w:val="en-US"/>
        </w:rPr>
        <w:t>ῦθ</w:t>
      </w:r>
      <w:proofErr w:type="spellEnd"/>
      <w:r w:rsidRPr="007C6417">
        <w:rPr>
          <w:color w:val="000000"/>
          <w:lang w:val="en-US"/>
        </w:rPr>
        <w:t xml:space="preserve">α </w:t>
      </w:r>
      <w:proofErr w:type="spellStart"/>
      <w:r w:rsidRPr="007C6417">
        <w:rPr>
          <w:color w:val="000000"/>
          <w:lang w:val="en-US"/>
        </w:rPr>
        <w:t>δὲ</w:t>
      </w:r>
      <w:proofErr w:type="spellEnd"/>
      <w:r w:rsidRPr="007C6417">
        <w:rPr>
          <w:color w:val="000000"/>
          <w:lang w:val="en-US"/>
        </w:rPr>
        <w:t xml:space="preserve"> πα</w:t>
      </w:r>
      <w:proofErr w:type="spellStart"/>
      <w:r w:rsidRPr="007C6417">
        <w:rPr>
          <w:color w:val="000000"/>
          <w:lang w:val="en-US"/>
        </w:rPr>
        <w:t>ράδειγμ</w:t>
      </w:r>
      <w:proofErr w:type="spellEnd"/>
      <w:r w:rsidRPr="007C6417">
        <w:rPr>
          <w:color w:val="000000"/>
          <w:lang w:val="en-US"/>
        </w:rPr>
        <w:t xml:space="preserve">α, </w:t>
      </w:r>
      <w:proofErr w:type="spellStart"/>
      <w:r w:rsidRPr="007C6417">
        <w:rPr>
          <w:color w:val="000000"/>
          <w:lang w:val="en-US"/>
        </w:rPr>
        <w:t>τὸ</w:t>
      </w:r>
      <w:proofErr w:type="spellEnd"/>
      <w:r w:rsidRPr="007C6417">
        <w:rPr>
          <w:color w:val="000000"/>
          <w:lang w:val="en-US"/>
        </w:rPr>
        <w:t xml:space="preserve"> </w:t>
      </w:r>
      <w:proofErr w:type="spellStart"/>
      <w:r w:rsidRPr="007C6417">
        <w:rPr>
          <w:color w:val="000000"/>
          <w:lang w:val="en-US"/>
        </w:rPr>
        <w:t>δὲ</w:t>
      </w:r>
      <w:proofErr w:type="spellEnd"/>
      <w:r w:rsidRPr="007C6417">
        <w:rPr>
          <w:color w:val="000000"/>
          <w:lang w:val="en-US"/>
        </w:rPr>
        <w:t xml:space="preserve"> </w:t>
      </w:r>
      <w:proofErr w:type="spellStart"/>
      <w:r w:rsidRPr="007C6417">
        <w:rPr>
          <w:color w:val="000000"/>
          <w:lang w:val="en-US"/>
        </w:rPr>
        <w:t>τινῶν</w:t>
      </w:r>
      <w:proofErr w:type="spellEnd"/>
      <w:r w:rsidRPr="007C6417">
        <w:rPr>
          <w:color w:val="000000"/>
          <w:lang w:val="en-US"/>
        </w:rPr>
        <w:t xml:space="preserve"> </w:t>
      </w:r>
      <w:proofErr w:type="spellStart"/>
      <w:r w:rsidRPr="007C6417">
        <w:rPr>
          <w:color w:val="000000"/>
          <w:lang w:val="en-US"/>
        </w:rPr>
        <w:t>ὄντων</w:t>
      </w:r>
      <w:proofErr w:type="spellEnd"/>
      <w:r w:rsidRPr="007C6417">
        <w:rPr>
          <w:color w:val="000000"/>
          <w:lang w:val="en-US"/>
        </w:rPr>
        <w:t xml:space="preserve"> </w:t>
      </w:r>
      <w:proofErr w:type="spellStart"/>
      <w:r w:rsidRPr="007C6417">
        <w:rPr>
          <w:color w:val="000000"/>
          <w:lang w:val="en-US"/>
        </w:rPr>
        <w:t>ἕτερόν</w:t>
      </w:r>
      <w:proofErr w:type="spellEnd"/>
      <w:r w:rsidRPr="007C6417">
        <w:rPr>
          <w:color w:val="000000"/>
          <w:lang w:val="en-US"/>
        </w:rPr>
        <w:t xml:space="preserve"> </w:t>
      </w:r>
      <w:proofErr w:type="spellStart"/>
      <w:r w:rsidRPr="007C6417">
        <w:rPr>
          <w:color w:val="000000"/>
          <w:lang w:val="en-US"/>
        </w:rPr>
        <w:t>τι</w:t>
      </w:r>
      <w:proofErr w:type="spellEnd"/>
      <w:r w:rsidRPr="007C6417">
        <w:rPr>
          <w:color w:val="000000"/>
          <w:lang w:val="en-US"/>
        </w:rPr>
        <w:t xml:space="preserve"> </w:t>
      </w:r>
      <w:proofErr w:type="spellStart"/>
      <w:r w:rsidRPr="007C6417">
        <w:rPr>
          <w:color w:val="000000"/>
          <w:lang w:val="en-US"/>
        </w:rPr>
        <w:t>διὰ</w:t>
      </w:r>
      <w:proofErr w:type="spellEnd"/>
      <w:r w:rsidRPr="007C6417">
        <w:rPr>
          <w:color w:val="000000"/>
          <w:lang w:val="en-US"/>
        </w:rPr>
        <w:t xml:space="preserve"> τα</w:t>
      </w:r>
      <w:proofErr w:type="spellStart"/>
      <w:r w:rsidRPr="007C6417">
        <w:rPr>
          <w:color w:val="000000"/>
          <w:lang w:val="en-US"/>
        </w:rPr>
        <w:t>ῦτ</w:t>
      </w:r>
      <w:proofErr w:type="spellEnd"/>
      <w:r w:rsidRPr="007C6417">
        <w:rPr>
          <w:color w:val="000000"/>
          <w:lang w:val="en-US"/>
        </w:rPr>
        <w:t xml:space="preserve">α </w:t>
      </w:r>
      <w:proofErr w:type="spellStart"/>
      <w:r w:rsidRPr="007C6417">
        <w:rPr>
          <w:color w:val="000000"/>
          <w:lang w:val="en-US"/>
        </w:rPr>
        <w:t>συμ</w:t>
      </w:r>
      <w:proofErr w:type="spellEnd"/>
      <w:r w:rsidRPr="007C6417">
        <w:rPr>
          <w:color w:val="000000"/>
          <w:lang w:val="en-US"/>
        </w:rPr>
        <w:t>βα</w:t>
      </w:r>
      <w:proofErr w:type="spellStart"/>
      <w:r w:rsidRPr="007C6417">
        <w:rPr>
          <w:color w:val="000000"/>
          <w:lang w:val="en-US"/>
        </w:rPr>
        <w:t>ίνειν</w:t>
      </w:r>
      <w:proofErr w:type="spellEnd"/>
      <w:r w:rsidRPr="007C6417">
        <w:rPr>
          <w:color w:val="000000"/>
          <w:lang w:val="en-US"/>
        </w:rPr>
        <w:t xml:space="preserve"> πα</w:t>
      </w:r>
      <w:proofErr w:type="spellStart"/>
      <w:r w:rsidRPr="007C6417">
        <w:rPr>
          <w:color w:val="000000"/>
          <w:lang w:val="en-US"/>
        </w:rPr>
        <w:t>ρὰ</w:t>
      </w:r>
      <w:proofErr w:type="spellEnd"/>
      <w:r w:rsidRPr="007C6417">
        <w:rPr>
          <w:color w:val="000000"/>
          <w:lang w:val="en-US"/>
        </w:rPr>
        <w:t xml:space="preserve"> τα</w:t>
      </w:r>
      <w:proofErr w:type="spellStart"/>
      <w:r w:rsidRPr="007C6417">
        <w:rPr>
          <w:color w:val="000000"/>
          <w:lang w:val="en-US"/>
        </w:rPr>
        <w:t>ῦτ</w:t>
      </w:r>
      <w:proofErr w:type="spellEnd"/>
      <w:r w:rsidRPr="007C6417">
        <w:rPr>
          <w:color w:val="000000"/>
          <w:lang w:val="en-US"/>
        </w:rPr>
        <w:t xml:space="preserve">α </w:t>
      </w:r>
      <w:proofErr w:type="spellStart"/>
      <w:r w:rsidRPr="007C6417">
        <w:rPr>
          <w:color w:val="000000"/>
          <w:lang w:val="en-US"/>
        </w:rPr>
        <w:t>τῷ</w:t>
      </w:r>
      <w:proofErr w:type="spellEnd"/>
      <w:r w:rsidRPr="007C6417">
        <w:rPr>
          <w:color w:val="000000"/>
          <w:lang w:val="en-US"/>
        </w:rPr>
        <w:t xml:space="preserve"> τα</w:t>
      </w:r>
      <w:proofErr w:type="spellStart"/>
      <w:r w:rsidRPr="007C6417">
        <w:rPr>
          <w:color w:val="000000"/>
          <w:lang w:val="en-US"/>
        </w:rPr>
        <w:t>ῦτ</w:t>
      </w:r>
      <w:proofErr w:type="spellEnd"/>
      <w:r w:rsidRPr="007C6417">
        <w:rPr>
          <w:color w:val="000000"/>
          <w:lang w:val="en-US"/>
        </w:rPr>
        <w:t xml:space="preserve">α </w:t>
      </w:r>
      <w:proofErr w:type="spellStart"/>
      <w:r w:rsidRPr="007C6417">
        <w:rPr>
          <w:color w:val="000000"/>
          <w:lang w:val="en-US"/>
        </w:rPr>
        <w:t>εἶν</w:t>
      </w:r>
      <w:proofErr w:type="spellEnd"/>
      <w:r w:rsidRPr="007C6417">
        <w:rPr>
          <w:color w:val="000000"/>
          <w:lang w:val="en-US"/>
        </w:rPr>
        <w:t>αι ἢ κα</w:t>
      </w:r>
      <w:proofErr w:type="spellStart"/>
      <w:r w:rsidRPr="007C6417">
        <w:rPr>
          <w:color w:val="000000"/>
          <w:lang w:val="en-US"/>
        </w:rPr>
        <w:t>θόλου</w:t>
      </w:r>
      <w:proofErr w:type="spellEnd"/>
      <w:r w:rsidRPr="007C6417">
        <w:rPr>
          <w:color w:val="000000"/>
          <w:lang w:val="en-US"/>
        </w:rPr>
        <w:t xml:space="preserve"> ἢ </w:t>
      </w:r>
      <w:proofErr w:type="spellStart"/>
      <w:r w:rsidRPr="007C6417">
        <w:rPr>
          <w:color w:val="000000"/>
          <w:lang w:val="en-US"/>
        </w:rPr>
        <w:t>ὡς</w:t>
      </w:r>
      <w:proofErr w:type="spellEnd"/>
      <w:r w:rsidRPr="007C6417">
        <w:rPr>
          <w:color w:val="000000"/>
          <w:lang w:val="en-US"/>
        </w:rPr>
        <w:t xml:space="preserve"> ἐπὶ </w:t>
      </w:r>
      <w:proofErr w:type="spellStart"/>
      <w:r w:rsidRPr="007C6417">
        <w:rPr>
          <w:color w:val="000000"/>
          <w:lang w:val="en-US"/>
        </w:rPr>
        <w:t>τὸ</w:t>
      </w:r>
      <w:proofErr w:type="spellEnd"/>
      <w:r w:rsidRPr="007C6417">
        <w:rPr>
          <w:color w:val="000000"/>
          <w:lang w:val="en-US"/>
        </w:rPr>
        <w:t xml:space="preserve"> π</w:t>
      </w:r>
      <w:proofErr w:type="spellStart"/>
      <w:r w:rsidRPr="007C6417">
        <w:rPr>
          <w:color w:val="000000"/>
          <w:lang w:val="en-US"/>
        </w:rPr>
        <w:t>ολὺ</w:t>
      </w:r>
      <w:proofErr w:type="spellEnd"/>
      <w:r w:rsidRPr="007C6417">
        <w:rPr>
          <w:color w:val="000000"/>
          <w:lang w:val="en-US"/>
        </w:rPr>
        <w:t xml:space="preserve"> </w:t>
      </w:r>
      <w:proofErr w:type="spellStart"/>
      <w:r w:rsidRPr="007C6417">
        <w:rPr>
          <w:color w:val="000000"/>
          <w:lang w:val="en-US"/>
        </w:rPr>
        <w:t>ἐκεῖ</w:t>
      </w:r>
      <w:proofErr w:type="spellEnd"/>
      <w:r w:rsidRPr="007C6417">
        <w:rPr>
          <w:color w:val="000000"/>
          <w:lang w:val="en-US"/>
        </w:rPr>
        <w:t xml:space="preserve"> </w:t>
      </w:r>
      <w:proofErr w:type="spellStart"/>
      <w:r w:rsidRPr="007C6417">
        <w:rPr>
          <w:color w:val="000000"/>
          <w:lang w:val="en-US"/>
        </w:rPr>
        <w:t>μὲν</w:t>
      </w:r>
      <w:proofErr w:type="spellEnd"/>
      <w:r w:rsidRPr="007C6417">
        <w:rPr>
          <w:color w:val="000000"/>
          <w:lang w:val="en-US"/>
        </w:rPr>
        <w:t xml:space="preserve"> </w:t>
      </w:r>
      <w:proofErr w:type="spellStart"/>
      <w:r w:rsidRPr="007C6417">
        <w:rPr>
          <w:color w:val="000000"/>
          <w:lang w:val="en-US"/>
        </w:rPr>
        <w:t>συλλογισμὸς</w:t>
      </w:r>
      <w:proofErr w:type="spellEnd"/>
      <w:r w:rsidRPr="007C6417">
        <w:rPr>
          <w:color w:val="000000"/>
          <w:lang w:val="en-US"/>
        </w:rPr>
        <w:t xml:space="preserve"> </w:t>
      </w:r>
      <w:proofErr w:type="spellStart"/>
      <w:r w:rsidRPr="007C6417">
        <w:rPr>
          <w:color w:val="000000"/>
          <w:lang w:val="en-US"/>
        </w:rPr>
        <w:t>ἐντ</w:t>
      </w:r>
      <w:proofErr w:type="spellEnd"/>
      <w:r w:rsidRPr="007C6417">
        <w:rPr>
          <w:color w:val="000000"/>
          <w:lang w:val="en-US"/>
        </w:rPr>
        <w:t>α</w:t>
      </w:r>
      <w:proofErr w:type="spellStart"/>
      <w:r w:rsidRPr="007C6417">
        <w:rPr>
          <w:color w:val="000000"/>
          <w:lang w:val="en-US"/>
        </w:rPr>
        <w:t>ῦθ</w:t>
      </w:r>
      <w:proofErr w:type="spellEnd"/>
      <w:r w:rsidRPr="007C6417">
        <w:rPr>
          <w:color w:val="000000"/>
          <w:lang w:val="en-US"/>
        </w:rPr>
        <w:t xml:space="preserve">α </w:t>
      </w:r>
      <w:proofErr w:type="spellStart"/>
      <w:r w:rsidRPr="007C6417">
        <w:rPr>
          <w:color w:val="000000"/>
          <w:lang w:val="en-US"/>
        </w:rPr>
        <w:t>δὲ</w:t>
      </w:r>
      <w:proofErr w:type="spellEnd"/>
      <w:r w:rsidRPr="007C6417">
        <w:rPr>
          <w:color w:val="000000"/>
          <w:lang w:val="en-US"/>
        </w:rPr>
        <w:t xml:space="preserve"> </w:t>
      </w:r>
      <w:proofErr w:type="spellStart"/>
      <w:r w:rsidRPr="007C6417">
        <w:rPr>
          <w:color w:val="000000"/>
          <w:lang w:val="en-US"/>
        </w:rPr>
        <w:t>ἐνθύμημ</w:t>
      </w:r>
      <w:proofErr w:type="spellEnd"/>
      <w:r w:rsidRPr="007C6417">
        <w:rPr>
          <w:color w:val="000000"/>
          <w:lang w:val="en-US"/>
        </w:rPr>
        <w:t>α κα</w:t>
      </w:r>
      <w:proofErr w:type="spellStart"/>
      <w:r w:rsidRPr="007C6417">
        <w:rPr>
          <w:color w:val="000000"/>
          <w:lang w:val="en-US"/>
        </w:rPr>
        <w:t>λεῖτ</w:t>
      </w:r>
      <w:proofErr w:type="spellEnd"/>
      <w:r w:rsidRPr="007C6417">
        <w:rPr>
          <w:color w:val="000000"/>
          <w:lang w:val="en-US"/>
        </w:rPr>
        <w:t>αι.</w:t>
      </w:r>
      <w:r w:rsidRPr="007C6417">
        <w:rPr>
          <w:color w:val="000000"/>
          <w:lang w:val="en-US"/>
        </w:rPr>
        <w:br/>
        <w:t>(</w:t>
      </w:r>
      <w:r w:rsidRPr="007C6417">
        <w:rPr>
          <w:rStyle w:val="Emphasis"/>
          <w:rFonts w:eastAsiaTheme="majorEastAsia"/>
          <w:color w:val="000000"/>
          <w:lang w:val="en-US"/>
        </w:rPr>
        <w:t>Rhet.</w:t>
      </w:r>
      <w:r w:rsidRPr="007C6417">
        <w:rPr>
          <w:rStyle w:val="apple-converted-space"/>
          <w:rFonts w:eastAsiaTheme="majorEastAsia"/>
          <w:color w:val="000000"/>
          <w:lang w:val="en-US"/>
        </w:rPr>
        <w:t> </w:t>
      </w:r>
      <w:r w:rsidRPr="007C6417">
        <w:rPr>
          <w:color w:val="000000"/>
          <w:lang w:val="en-US"/>
        </w:rPr>
        <w:t>I.2, 1356b11–18)</w:t>
      </w:r>
    </w:p>
    <w:p w14:paraId="56B0BC60" w14:textId="77777777" w:rsidR="00304420" w:rsidRPr="007C6417" w:rsidRDefault="00304420" w:rsidP="00304420">
      <w:pPr>
        <w:pStyle w:val="NormalWeb"/>
        <w:rPr>
          <w:color w:val="000000"/>
          <w:lang w:val="en-US"/>
        </w:rPr>
      </w:pPr>
      <w:r w:rsidRPr="007C6417">
        <w:rPr>
          <w:color w:val="000000"/>
          <w:lang w:val="en-US"/>
        </w:rPr>
        <w:t>The difference between example and enthymeme is made clear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[I.12] (where syllogism and induction are discussed). When our proof of something rests on many similar cases, this is induction in the case of dialectic, whereas in rhetoric it is an example. When, on the other hand, given that certain things hold, something else follows because of them, as a consequence of their being as they are, either universally or for the most part, in dialectic this is called a syllogism, whereas here [in rhetoric] it is called an enthymeme.</w:t>
      </w:r>
    </w:p>
    <w:p w14:paraId="67976118" w14:textId="398E43D9" w:rsidR="00304420" w:rsidRPr="007C6417" w:rsidRDefault="00304420" w:rsidP="00304420">
      <w:pPr>
        <w:pStyle w:val="NormalWeb"/>
        <w:rPr>
          <w:color w:val="000000"/>
          <w:lang w:val="en-US"/>
        </w:rPr>
      </w:pPr>
      <w:r w:rsidRPr="007C6417">
        <w:rPr>
          <w:color w:val="000000"/>
          <w:lang w:val="en-US"/>
        </w:rPr>
        <w:lastRenderedPageBreak/>
        <w:t>It is noteworthy that, in the definition of the syllogism in the above passage from the</w:t>
      </w:r>
      <w:r w:rsidRPr="007C6417">
        <w:rPr>
          <w:rStyle w:val="apple-converted-space"/>
          <w:rFonts w:eastAsiaTheme="majorEastAsia"/>
          <w:color w:val="000000"/>
          <w:lang w:val="en-US"/>
        </w:rPr>
        <w:t> </w:t>
      </w:r>
      <w:r w:rsidRPr="007C6417">
        <w:rPr>
          <w:rStyle w:val="Emphasis"/>
          <w:rFonts w:eastAsiaTheme="majorEastAsia"/>
          <w:color w:val="000000"/>
          <w:lang w:val="en-US"/>
        </w:rPr>
        <w:t>Rhetoric</w:t>
      </w:r>
      <w:r w:rsidRPr="007C6417">
        <w:rPr>
          <w:color w:val="000000"/>
          <w:lang w:val="en-US"/>
        </w:rPr>
        <w:t>, the phrase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ἐξ</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ἀνάγκης</w:t>
      </w:r>
      <w:proofErr w:type="spellEnd"/>
      <w:r w:rsidRPr="007C6417">
        <w:rPr>
          <w:rStyle w:val="apple-converted-space"/>
          <w:rFonts w:eastAsiaTheme="majorEastAsia"/>
          <w:color w:val="000000"/>
          <w:lang w:val="en-US"/>
        </w:rPr>
        <w:t> </w:t>
      </w:r>
      <w:r w:rsidRPr="007C6417">
        <w:rPr>
          <w:color w:val="000000"/>
          <w:lang w:val="en-US"/>
        </w:rPr>
        <w:t>is absent—a fact that has given rise to discussion concerning the reason for this absence.</w:t>
      </w:r>
      <w:r w:rsidR="00523936" w:rsidRPr="007C6417">
        <w:rPr>
          <w:rStyle w:val="FootnoteReference"/>
          <w:color w:val="000000"/>
          <w:lang w:val="en-US"/>
        </w:rPr>
        <w:footnoteReference w:id="18"/>
      </w:r>
      <w:r w:rsidRPr="007C6417">
        <w:rPr>
          <w:color w:val="000000"/>
          <w:lang w:val="en-US"/>
        </w:rPr>
        <w:t xml:space="preserve"> This omission is, of course, understandable from one point of view, insofar as in the</w:t>
      </w:r>
      <w:r w:rsidRPr="007C6417">
        <w:rPr>
          <w:rStyle w:val="apple-converted-space"/>
          <w:rFonts w:eastAsiaTheme="majorEastAsia"/>
          <w:color w:val="000000"/>
          <w:lang w:val="en-US"/>
        </w:rPr>
        <w:t> </w:t>
      </w:r>
      <w:r w:rsidRPr="007C6417">
        <w:rPr>
          <w:rStyle w:val="Emphasis"/>
          <w:rFonts w:eastAsiaTheme="majorEastAsia"/>
          <w:color w:val="000000"/>
          <w:lang w:val="en-US"/>
        </w:rPr>
        <w:t>Rhetoric</w:t>
      </w:r>
      <w:r w:rsidRPr="007C6417">
        <w:rPr>
          <w:rStyle w:val="apple-converted-space"/>
          <w:rFonts w:eastAsiaTheme="majorEastAsia"/>
          <w:color w:val="000000"/>
          <w:lang w:val="en-US"/>
        </w:rPr>
        <w:t> </w:t>
      </w:r>
      <w:r w:rsidRPr="007C6417">
        <w:rPr>
          <w:color w:val="000000"/>
          <w:lang w:val="en-US"/>
        </w:rPr>
        <w:t>what Aristotle primarily discusses is not the syllogism.</w:t>
      </w:r>
      <w:r w:rsidR="00523936" w:rsidRPr="007C6417">
        <w:rPr>
          <w:rStyle w:val="FootnoteReference"/>
          <w:color w:val="000000"/>
          <w:lang w:val="en-US"/>
        </w:rPr>
        <w:footnoteReference w:id="19"/>
      </w:r>
      <w:r w:rsidRPr="007C6417">
        <w:rPr>
          <w:color w:val="000000"/>
          <w:lang w:val="en-US"/>
        </w:rPr>
        <w:t xml:space="preserve"> The aim of the</w:t>
      </w:r>
      <w:r w:rsidRPr="007C6417">
        <w:rPr>
          <w:rStyle w:val="apple-converted-space"/>
          <w:rFonts w:eastAsiaTheme="majorEastAsia"/>
          <w:color w:val="000000"/>
          <w:lang w:val="en-US"/>
        </w:rPr>
        <w:t> </w:t>
      </w:r>
      <w:r w:rsidRPr="007C6417">
        <w:rPr>
          <w:rStyle w:val="Emphasis"/>
          <w:rFonts w:eastAsiaTheme="majorEastAsia"/>
          <w:color w:val="000000"/>
          <w:lang w:val="en-US"/>
        </w:rPr>
        <w:t>Rhetoric</w:t>
      </w:r>
      <w:r w:rsidRPr="007C6417">
        <w:rPr>
          <w:rStyle w:val="apple-converted-space"/>
          <w:rFonts w:eastAsiaTheme="majorEastAsia"/>
          <w:color w:val="000000"/>
          <w:lang w:val="en-US"/>
        </w:rPr>
        <w:t> </w:t>
      </w:r>
      <w:r w:rsidRPr="007C6417">
        <w:rPr>
          <w:color w:val="000000"/>
          <w:lang w:val="en-US"/>
        </w:rPr>
        <w:t>is to show how the speaker can persuade his audience, and for this reason the tools of the rhetor are different from those of the dialectician, whose aim is victory in the dialectical contest. The tools of the rhetor do indeed include the syllogism in the form of the enthymeme, but also non-syllogistic tools, such as</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σημεῖ</w:t>
      </w:r>
      <w:proofErr w:type="spellEnd"/>
      <w:r w:rsidRPr="007C6417">
        <w:rPr>
          <w:rStyle w:val="Emphasis"/>
          <w:rFonts w:eastAsiaTheme="majorEastAsia"/>
          <w:color w:val="000000"/>
          <w:lang w:val="en-US"/>
        </w:rPr>
        <w:t>α</w:t>
      </w:r>
      <w:r w:rsidRPr="007C6417">
        <w:rPr>
          <w:color w:val="000000"/>
          <w:lang w:val="en-US"/>
        </w:rPr>
        <w:t>, that is, significant indications of a state of affairs (if there is smoke, there is fire), knowledge of the character of the particular audience (</w:t>
      </w:r>
      <w:proofErr w:type="spellStart"/>
      <w:r w:rsidRPr="007C6417">
        <w:rPr>
          <w:rStyle w:val="Emphasis"/>
          <w:rFonts w:eastAsiaTheme="majorEastAsia"/>
          <w:color w:val="000000"/>
          <w:lang w:val="en-US"/>
        </w:rPr>
        <w:t>êthos</w:t>
      </w:r>
      <w:proofErr w:type="spellEnd"/>
      <w:r w:rsidRPr="007C6417">
        <w:rPr>
          <w:color w:val="000000"/>
          <w:lang w:val="en-US"/>
        </w:rPr>
        <w:t>), the adaptation of speech to it, and the characterization of the speaker himself, that is, the adoption of a character appropriate to the occasion. Aristotle returns to the enthymeme and to</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sēmeia</w:t>
      </w:r>
      <w:proofErr w:type="spellEnd"/>
      <w:r w:rsidRPr="007C6417">
        <w:rPr>
          <w:rStyle w:val="apple-converted-space"/>
          <w:rFonts w:eastAsiaTheme="majorEastAsia"/>
          <w:color w:val="000000"/>
          <w:lang w:val="en-US"/>
        </w:rPr>
        <w:t> </w:t>
      </w:r>
      <w:r w:rsidRPr="007C6417">
        <w:rPr>
          <w:color w:val="000000"/>
          <w:lang w:val="en-US"/>
        </w:rPr>
        <w:t>at the end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(II.27) and now attempts to integrate enthymemes into the syllogistic figures that he presented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This confirms that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rStyle w:val="apple-converted-space"/>
          <w:rFonts w:eastAsiaTheme="majorEastAsia"/>
          <w:color w:val="000000"/>
          <w:lang w:val="en-US"/>
        </w:rPr>
        <w:t> </w:t>
      </w:r>
      <w:r w:rsidRPr="007C6417">
        <w:rPr>
          <w:color w:val="000000"/>
          <w:lang w:val="en-US"/>
        </w:rPr>
        <w:t>are a later work and represent a development beyond the</w:t>
      </w:r>
      <w:r w:rsidRPr="007C6417">
        <w:rPr>
          <w:rStyle w:val="apple-converted-space"/>
          <w:rFonts w:eastAsiaTheme="majorEastAsia"/>
          <w:color w:val="000000"/>
          <w:lang w:val="en-US"/>
        </w:rPr>
        <w:t> </w:t>
      </w:r>
      <w:r w:rsidRPr="007C6417">
        <w:rPr>
          <w:rStyle w:val="Emphasis"/>
          <w:rFonts w:eastAsiaTheme="majorEastAsia"/>
          <w:color w:val="000000"/>
          <w:lang w:val="en-US"/>
        </w:rPr>
        <w:t>Rhetoric</w:t>
      </w:r>
      <w:r w:rsidRPr="007C6417">
        <w:rPr>
          <w:color w:val="000000"/>
          <w:lang w:val="en-US"/>
        </w:rPr>
        <w:t>, which is closer to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from a logical point of view.</w:t>
      </w:r>
      <w:r w:rsidR="00523936" w:rsidRPr="007C6417">
        <w:rPr>
          <w:rStyle w:val="FootnoteReference"/>
          <w:color w:val="000000"/>
          <w:lang w:val="en-US"/>
        </w:rPr>
        <w:footnoteReference w:id="20"/>
      </w:r>
    </w:p>
    <w:p w14:paraId="3574D001" w14:textId="003B5FC6" w:rsidR="00304420" w:rsidRPr="007C6417" w:rsidRDefault="00304420" w:rsidP="00304420">
      <w:pPr>
        <w:pStyle w:val="NormalWeb"/>
        <w:rPr>
          <w:color w:val="000000"/>
          <w:lang w:val="en-US"/>
        </w:rPr>
      </w:pPr>
      <w:r w:rsidRPr="007C6417">
        <w:rPr>
          <w:color w:val="000000"/>
          <w:lang w:val="en-US"/>
        </w:rPr>
        <w:t>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Aristotle focuses his attention specifically on the syllogism and concentrates on its general mechanism, rather than on demonstration in general (25b28–31). For this reason, he defines the components of the syllogism from the very first page of the work: the proposition and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ὅροι</w:t>
      </w:r>
      <w:proofErr w:type="spellEnd"/>
      <w:r w:rsidRPr="007C6417">
        <w:rPr>
          <w:rStyle w:val="apple-converted-space"/>
          <w:rFonts w:eastAsiaTheme="majorEastAsia"/>
          <w:color w:val="000000"/>
          <w:lang w:val="en-US"/>
        </w:rPr>
        <w:t> </w:t>
      </w:r>
      <w:r w:rsidRPr="007C6417">
        <w:rPr>
          <w:color w:val="000000"/>
          <w:lang w:val="en-US"/>
        </w:rPr>
        <w:t>(not in the sense of “definitions,” as in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but in the sense of “terms of the proposition,”</w:t>
      </w:r>
      <w:r w:rsidRPr="007C6417">
        <w:rPr>
          <w:rStyle w:val="apple-converted-space"/>
          <w:rFonts w:eastAsiaTheme="majorEastAsia"/>
          <w:color w:val="000000"/>
          <w:lang w:val="en-US"/>
        </w:rPr>
        <w:t> </w:t>
      </w:r>
      <w:r w:rsidRPr="007C6417">
        <w:rPr>
          <w:rStyle w:val="Emphasis"/>
          <w:rFonts w:eastAsiaTheme="majorEastAsia"/>
          <w:color w:val="000000"/>
          <w:lang w:val="en-US"/>
        </w:rPr>
        <w:t>terms</w:t>
      </w:r>
      <w:r w:rsidRPr="007C6417">
        <w:rPr>
          <w:color w:val="000000"/>
          <w:lang w:val="en-US"/>
        </w:rPr>
        <w:t>; see 24b16–18).</w:t>
      </w:r>
      <w:r w:rsidR="00523936" w:rsidRPr="007C6417">
        <w:rPr>
          <w:rStyle w:val="FootnoteReference"/>
          <w:color w:val="000000"/>
          <w:lang w:val="en-US"/>
        </w:rPr>
        <w:footnoteReference w:id="21"/>
      </w:r>
      <w:r w:rsidRPr="007C6417">
        <w:rPr>
          <w:color w:val="000000"/>
          <w:lang w:val="en-US"/>
        </w:rPr>
        <w:t xml:space="preserve"> Aristotelian syllogistic, however, is a logic of terms rather than a logic of propositions, which the Stoics later introduced.</w:t>
      </w:r>
      <w:r w:rsidR="00823B38" w:rsidRPr="007C6417">
        <w:rPr>
          <w:rStyle w:val="FootnoteReference"/>
          <w:color w:val="000000"/>
          <w:lang w:val="en-US"/>
        </w:rPr>
        <w:footnoteReference w:id="22"/>
      </w:r>
      <w:r w:rsidRPr="007C6417">
        <w:rPr>
          <w:color w:val="000000"/>
          <w:lang w:val="en-US"/>
        </w:rPr>
        <w:t xml:space="preserve"> Alexander distinguishes the two terms of Aristotelian propositions into subject-term and predicate-term.</w:t>
      </w:r>
    </w:p>
    <w:p w14:paraId="5D5C7A9F" w14:textId="4F11CC43" w:rsidR="00304420" w:rsidRPr="007C6417" w:rsidRDefault="00304420" w:rsidP="00304420">
      <w:pPr>
        <w:pStyle w:val="NormalWeb"/>
        <w:rPr>
          <w:color w:val="000000"/>
          <w:lang w:val="en-US"/>
        </w:rPr>
      </w:pPr>
      <w:r w:rsidRPr="007C6417">
        <w:rPr>
          <w:color w:val="000000"/>
          <w:lang w:val="en-US"/>
        </w:rPr>
        <w:t>In the first seven chapters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Aristotle presents both the mechanism of possible syllogisms—that is, the three syllogistic figures, which differ in the arrangement of the terms—and the way in which syllogism functions and the ways in which it arises, what we may here call the metatheory.</w:t>
      </w:r>
      <w:r w:rsidR="00823B38" w:rsidRPr="007C6417">
        <w:rPr>
          <w:rStyle w:val="FootnoteReference"/>
          <w:color w:val="000000"/>
          <w:lang w:val="en-US"/>
        </w:rPr>
        <w:footnoteReference w:id="23"/>
      </w:r>
    </w:p>
    <w:p w14:paraId="3FD911CF" w14:textId="22295980" w:rsidR="00304420" w:rsidRPr="007C6417" w:rsidRDefault="00304420" w:rsidP="00304420">
      <w:pPr>
        <w:pStyle w:val="NormalWeb"/>
        <w:rPr>
          <w:color w:val="000000"/>
          <w:lang w:val="en-US"/>
        </w:rPr>
      </w:pPr>
      <w:r w:rsidRPr="007C6417">
        <w:rPr>
          <w:color w:val="000000"/>
          <w:lang w:val="en-US"/>
        </w:rPr>
        <w:t>It is therefore evident that Aristotle conceived the idea of the syllogism relatively early on. This already occurs in one of his earliest works,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 He developed it, however,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in the form of a complete theory—namely, the theory of syllogistic figures. Thus, although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and their supplement, the</w:t>
      </w:r>
      <w:r w:rsidRPr="007C6417">
        <w:rPr>
          <w:rStyle w:val="apple-converted-space"/>
          <w:rFonts w:eastAsiaTheme="majorEastAsia"/>
          <w:color w:val="000000"/>
          <w:lang w:val="en-US"/>
        </w:rPr>
        <w:t> </w:t>
      </w:r>
      <w:r w:rsidRPr="007C6417">
        <w:rPr>
          <w:rStyle w:val="Emphasis"/>
          <w:rFonts w:eastAsiaTheme="majorEastAsia"/>
          <w:color w:val="000000"/>
          <w:lang w:val="en-US"/>
        </w:rPr>
        <w:t>Sophistical Refutations</w:t>
      </w:r>
      <w:r w:rsidRPr="007C6417">
        <w:rPr>
          <w:color w:val="000000"/>
          <w:lang w:val="en-US"/>
        </w:rPr>
        <w:t>, are placed at the end of the group of logical works that came to be called the</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Pr="007C6417">
        <w:rPr>
          <w:color w:val="000000"/>
          <w:lang w:val="en-US"/>
        </w:rPr>
        <w:t xml:space="preserve">, in reality </w:t>
      </w:r>
      <w:r w:rsidRPr="007C6417">
        <w:rPr>
          <w:color w:val="000000"/>
          <w:lang w:val="en-US"/>
        </w:rPr>
        <w:lastRenderedPageBreak/>
        <w:t>they are earlier in conception and composition and present a relatively early theory of the syllogism.</w:t>
      </w:r>
      <w:r w:rsidR="00823B38" w:rsidRPr="007C6417">
        <w:rPr>
          <w:rStyle w:val="FootnoteReference"/>
          <w:color w:val="000000"/>
          <w:lang w:val="en-US"/>
        </w:rPr>
        <w:footnoteReference w:id="24"/>
      </w:r>
    </w:p>
    <w:p w14:paraId="058D0932" w14:textId="67DE87EA" w:rsidR="00304420" w:rsidRPr="007C6417" w:rsidRDefault="00304420" w:rsidP="00304420">
      <w:pPr>
        <w:pStyle w:val="NormalWeb"/>
        <w:rPr>
          <w:color w:val="000000"/>
          <w:lang w:val="en-US"/>
        </w:rPr>
      </w:pPr>
      <w:r w:rsidRPr="007C6417">
        <w:rPr>
          <w:color w:val="000000"/>
          <w:lang w:val="en-US"/>
        </w:rPr>
        <w:t>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and especially the first book, have a clear structure and a well-defined aim. The aim is to describe the various ways in which a syllogism arises and to explain how every syllogism can be reduced to one of the syllogistic figures presented by Aristotle. There are three syllogistic figures, distinguished by the position of the middle term. In every syllogism, we have two extreme terms, for example A and B, and one middle term, for example C, which appears in both propositions—that is, in the premisses of the syllogism—but is absent from the conclusion.</w:t>
      </w:r>
      <w:r w:rsidR="00823B38" w:rsidRPr="007C6417">
        <w:rPr>
          <w:rStyle w:val="FootnoteReference"/>
          <w:color w:val="000000"/>
          <w:lang w:val="en-US"/>
        </w:rPr>
        <w:footnoteReference w:id="25"/>
      </w:r>
      <w:r w:rsidRPr="007C6417">
        <w:rPr>
          <w:color w:val="000000"/>
          <w:lang w:val="en-US"/>
        </w:rPr>
        <w:t xml:space="preserve"> The middle term makes it possible to relate the two propositions and to derive the conclusion. It is no exaggeration to say that one of Aristotle’s fundamental discoveries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is the middle term.</w:t>
      </w:r>
      <w:r w:rsidR="00823B38" w:rsidRPr="007C6417">
        <w:rPr>
          <w:rStyle w:val="FootnoteReference"/>
          <w:color w:val="000000"/>
          <w:lang w:val="en-US"/>
        </w:rPr>
        <w:footnoteReference w:id="26"/>
      </w:r>
      <w:r w:rsidRPr="007C6417">
        <w:rPr>
          <w:color w:val="000000"/>
          <w:lang w:val="en-US"/>
        </w:rPr>
        <w:t xml:space="preserve"> It is the step that is missing from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rStyle w:val="apple-converted-space"/>
          <w:rFonts w:eastAsiaTheme="majorEastAsia"/>
          <w:color w:val="000000"/>
          <w:lang w:val="en-US"/>
        </w:rPr>
        <w:t> </w:t>
      </w:r>
      <w:r w:rsidRPr="007C6417">
        <w:rPr>
          <w:color w:val="000000"/>
          <w:lang w:val="en-US"/>
        </w:rPr>
        <w:t>but becomes foundational in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w:t>
      </w:r>
    </w:p>
    <w:p w14:paraId="5EF87008" w14:textId="48E62899" w:rsidR="00304420" w:rsidRPr="007C6417" w:rsidRDefault="00304420" w:rsidP="00304420">
      <w:pPr>
        <w:pStyle w:val="NormalWeb"/>
        <w:rPr>
          <w:color w:val="000000"/>
          <w:lang w:val="en-US"/>
        </w:rPr>
      </w:pPr>
      <w:r w:rsidRPr="007C6417">
        <w:rPr>
          <w:color w:val="000000"/>
          <w:lang w:val="en-US"/>
        </w:rPr>
        <w:t>The first syllogistic figure is that in which the middle term is the subject in the first premiss (called the major) and the predicate in the other (called the minor)—that is, schematically crosswise; the second figure is that in which the middle term is the predicate in both premisses (schematically on the left in both propositions); and the third figure is that in which the middle term is the subject in both premisses (schematically on the right in both propositions). The syllogistic figures arise from combinations of four kinds of propositions—universal affirmative, universal negative, particular affirmative, and particular negative—which Aristotle has presented and discussed in </w:t>
      </w:r>
      <w:r w:rsidRPr="007C6417">
        <w:rPr>
          <w:i/>
          <w:iCs/>
          <w:color w:val="000000"/>
          <w:lang w:val="en-US"/>
        </w:rPr>
        <w:t>On Interpretation</w:t>
      </w:r>
      <w:r w:rsidRPr="007C6417">
        <w:rPr>
          <w:color w:val="000000"/>
          <w:lang w:val="en-US"/>
        </w:rPr>
        <w:t>, the work that already in antiquity preceded the </w:t>
      </w:r>
      <w:r w:rsidRPr="007C6417">
        <w:rPr>
          <w:i/>
          <w:iCs/>
          <w:color w:val="000000"/>
          <w:lang w:val="en-US"/>
        </w:rPr>
        <w:t>Prior Analytics</w:t>
      </w:r>
      <w:r w:rsidRPr="007C6417">
        <w:rPr>
          <w:color w:val="000000"/>
          <w:lang w:val="en-US"/>
        </w:rPr>
        <w:t> in the ordering of Aristotle’s works.</w:t>
      </w:r>
      <w:r w:rsidR="00823B38" w:rsidRPr="007C6417">
        <w:rPr>
          <w:rStyle w:val="FootnoteReference"/>
          <w:color w:val="000000"/>
          <w:lang w:val="en-US"/>
        </w:rPr>
        <w:footnoteReference w:id="27"/>
      </w:r>
      <w:r w:rsidRPr="007C6417">
        <w:rPr>
          <w:color w:val="000000"/>
          <w:lang w:val="en-US"/>
        </w:rPr>
        <w:t xml:space="preserve"> In the Middle Ages, the following symbolism became established for these propositions:</w:t>
      </w:r>
    </w:p>
    <w:p w14:paraId="7BEEC941" w14:textId="4B3E1E8F"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Universal affirmative: </w:t>
      </w:r>
      <w:r w:rsidRPr="007C6417">
        <w:rPr>
          <w:rFonts w:ascii="Times New Roman" w:eastAsia="Times New Roman" w:hAnsi="Times New Roman" w:cs="Times New Roman"/>
          <w:b/>
          <w:bCs/>
          <w:color w:val="000000"/>
          <w:lang w:val="en-US" w:eastAsia="en-GB"/>
        </w:rPr>
        <w:t>a</w:t>
      </w:r>
      <w:r w:rsidRPr="007C6417">
        <w:rPr>
          <w:rFonts w:ascii="Times New Roman" w:eastAsia="Times New Roman" w:hAnsi="Times New Roman" w:cs="Times New Roman"/>
          <w:color w:val="000000"/>
          <w:lang w:val="en-US" w:eastAsia="en-GB"/>
        </w:rPr>
        <w:br/>
        <w:t>Universal negative: </w:t>
      </w:r>
      <w:r w:rsidRPr="007C6417">
        <w:rPr>
          <w:rFonts w:ascii="Times New Roman" w:eastAsia="Times New Roman" w:hAnsi="Times New Roman" w:cs="Times New Roman"/>
          <w:b/>
          <w:bCs/>
          <w:color w:val="000000"/>
          <w:lang w:val="en-US" w:eastAsia="en-GB"/>
        </w:rPr>
        <w:t>e</w:t>
      </w:r>
      <w:r w:rsidRPr="007C6417">
        <w:rPr>
          <w:rFonts w:ascii="Times New Roman" w:eastAsia="Times New Roman" w:hAnsi="Times New Roman" w:cs="Times New Roman"/>
          <w:color w:val="000000"/>
          <w:lang w:val="en-US" w:eastAsia="en-GB"/>
        </w:rPr>
        <w:br/>
        <w:t>Particular affirmative: </w:t>
      </w:r>
      <w:proofErr w:type="spellStart"/>
      <w:r w:rsidRPr="007C6417">
        <w:rPr>
          <w:rFonts w:ascii="Times New Roman" w:eastAsia="Times New Roman" w:hAnsi="Times New Roman" w:cs="Times New Roman"/>
          <w:b/>
          <w:bCs/>
          <w:color w:val="000000"/>
          <w:lang w:val="en-US" w:eastAsia="en-GB"/>
        </w:rPr>
        <w:t>i</w:t>
      </w:r>
      <w:proofErr w:type="spellEnd"/>
      <w:r w:rsidRPr="007C6417">
        <w:rPr>
          <w:rFonts w:ascii="Times New Roman" w:eastAsia="Times New Roman" w:hAnsi="Times New Roman" w:cs="Times New Roman"/>
          <w:color w:val="000000"/>
          <w:lang w:val="en-US" w:eastAsia="en-GB"/>
        </w:rPr>
        <w:br/>
        <w:t>Particular negative: </w:t>
      </w:r>
      <w:r w:rsidRPr="007C6417">
        <w:rPr>
          <w:rFonts w:ascii="Times New Roman" w:eastAsia="Times New Roman" w:hAnsi="Times New Roman" w:cs="Times New Roman"/>
          <w:b/>
          <w:bCs/>
          <w:color w:val="000000"/>
          <w:lang w:val="en-US" w:eastAsia="en-GB"/>
        </w:rPr>
        <w:t>o</w:t>
      </w:r>
      <w:r w:rsidR="006C377D" w:rsidRPr="007C6417">
        <w:rPr>
          <w:rStyle w:val="FootnoteReference"/>
          <w:rFonts w:ascii="Times New Roman" w:eastAsia="Times New Roman" w:hAnsi="Times New Roman" w:cs="Times New Roman"/>
          <w:color w:val="000000"/>
          <w:lang w:val="en-US" w:eastAsia="en-GB"/>
        </w:rPr>
        <w:footnoteReference w:id="28"/>
      </w:r>
    </w:p>
    <w:p w14:paraId="12ABC777"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first syllogistic figure is as follows (extreme terms A, Γ; middle term B):</w:t>
      </w:r>
    </w:p>
    <w:p w14:paraId="630FD5A7"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 xml:space="preserve">AaB, BaΓ → </w:t>
      </w:r>
      <w:proofErr w:type="spellStart"/>
      <w:r w:rsidRPr="007C6417">
        <w:rPr>
          <w:rFonts w:ascii="Times New Roman" w:eastAsia="Times New Roman" w:hAnsi="Times New Roman" w:cs="Times New Roman"/>
          <w:color w:val="000000"/>
          <w:lang w:val="en-US" w:eastAsia="en-GB"/>
        </w:rPr>
        <w:t>AaΓ</w:t>
      </w:r>
      <w:proofErr w:type="spellEnd"/>
      <w:r w:rsidRPr="007C6417">
        <w:rPr>
          <w:rFonts w:ascii="Times New Roman" w:eastAsia="Times New Roman" w:hAnsi="Times New Roman" w:cs="Times New Roman"/>
          <w:color w:val="000000"/>
          <w:lang w:val="en-US" w:eastAsia="en-GB"/>
        </w:rPr>
        <w:t xml:space="preserve"> (Barbara)</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AeB</w:t>
      </w:r>
      <w:proofErr w:type="spellEnd"/>
      <w:r w:rsidRPr="007C6417">
        <w:rPr>
          <w:rFonts w:ascii="Times New Roman" w:eastAsia="Times New Roman" w:hAnsi="Times New Roman" w:cs="Times New Roman"/>
          <w:color w:val="000000"/>
          <w:lang w:val="en-US" w:eastAsia="en-GB"/>
        </w:rPr>
        <w:t xml:space="preserve">, BaΓ → </w:t>
      </w:r>
      <w:proofErr w:type="spellStart"/>
      <w:r w:rsidRPr="007C6417">
        <w:rPr>
          <w:rFonts w:ascii="Times New Roman" w:eastAsia="Times New Roman" w:hAnsi="Times New Roman" w:cs="Times New Roman"/>
          <w:color w:val="000000"/>
          <w:lang w:val="en-US" w:eastAsia="en-GB"/>
        </w:rPr>
        <w:t>AeΓ</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Celarent</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t xml:space="preserve">AaB, </w:t>
      </w:r>
      <w:proofErr w:type="spellStart"/>
      <w:r w:rsidRPr="007C6417">
        <w:rPr>
          <w:rFonts w:ascii="Times New Roman" w:eastAsia="Times New Roman" w:hAnsi="Times New Roman" w:cs="Times New Roman"/>
          <w:color w:val="000000"/>
          <w:lang w:val="en-US" w:eastAsia="en-GB"/>
        </w:rPr>
        <w:t>BiΓ</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AiΓ</w:t>
      </w:r>
      <w:proofErr w:type="spellEnd"/>
      <w:r w:rsidRPr="007C6417">
        <w:rPr>
          <w:rFonts w:ascii="Times New Roman" w:eastAsia="Times New Roman" w:hAnsi="Times New Roman" w:cs="Times New Roman"/>
          <w:color w:val="000000"/>
          <w:lang w:val="en-US" w:eastAsia="en-GB"/>
        </w:rPr>
        <w:t xml:space="preserve"> (Darii)</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AeB</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BiΓ</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AoΓ</w:t>
      </w:r>
      <w:proofErr w:type="spellEnd"/>
      <w:r w:rsidRPr="007C6417">
        <w:rPr>
          <w:rFonts w:ascii="Times New Roman" w:eastAsia="Times New Roman" w:hAnsi="Times New Roman" w:cs="Times New Roman"/>
          <w:color w:val="000000"/>
          <w:lang w:val="en-US" w:eastAsia="en-GB"/>
        </w:rPr>
        <w:t xml:space="preserve"> (Ferio)</w:t>
      </w:r>
    </w:p>
    <w:p w14:paraId="71845510"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second syllogistic figure is as follows (extreme terms N, Ξ; middle term M):</w:t>
      </w:r>
    </w:p>
    <w:p w14:paraId="7CC02824"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proofErr w:type="spellStart"/>
      <w:r w:rsidRPr="007C6417">
        <w:rPr>
          <w:rFonts w:ascii="Times New Roman" w:eastAsia="Times New Roman" w:hAnsi="Times New Roman" w:cs="Times New Roman"/>
          <w:color w:val="000000"/>
          <w:lang w:val="en-US" w:eastAsia="en-GB"/>
        </w:rPr>
        <w:lastRenderedPageBreak/>
        <w:t>MaN</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MeΞ</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NeΞ</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Camestres</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MeN</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MaΞ</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NeΞ</w:t>
      </w:r>
      <w:proofErr w:type="spellEnd"/>
      <w:r w:rsidRPr="007C6417">
        <w:rPr>
          <w:rFonts w:ascii="Times New Roman" w:eastAsia="Times New Roman" w:hAnsi="Times New Roman" w:cs="Times New Roman"/>
          <w:color w:val="000000"/>
          <w:lang w:val="en-US" w:eastAsia="en-GB"/>
        </w:rPr>
        <w:t xml:space="preserve"> (Cesare)</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MeN</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MiΞ</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NoΞ</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Festino</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MaN</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MoΞ</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NoΞ</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Baroco</w:t>
      </w:r>
      <w:proofErr w:type="spellEnd"/>
      <w:r w:rsidRPr="007C6417">
        <w:rPr>
          <w:rFonts w:ascii="Times New Roman" w:eastAsia="Times New Roman" w:hAnsi="Times New Roman" w:cs="Times New Roman"/>
          <w:color w:val="000000"/>
          <w:lang w:val="en-US" w:eastAsia="en-GB"/>
        </w:rPr>
        <w:t>)</w:t>
      </w:r>
    </w:p>
    <w:p w14:paraId="72D0EB7B"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third and final syllogistic figure is as follows (extreme terms Π, Ρ; middle term Σ):</w:t>
      </w:r>
    </w:p>
    <w:p w14:paraId="53E6B802"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proofErr w:type="spellStart"/>
      <w:r w:rsidRPr="007C6417">
        <w:rPr>
          <w:rFonts w:ascii="Times New Roman" w:eastAsia="Times New Roman" w:hAnsi="Times New Roman" w:cs="Times New Roman"/>
          <w:color w:val="000000"/>
          <w:lang w:val="en-US" w:eastAsia="en-GB"/>
        </w:rPr>
        <w:t>ΠaΣ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ΡaΣ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ΠiΡ</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Darapti</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ΠeΣ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ΡaΣ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ΠoΡ</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Felapton</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ΠaΣ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ΡiΣ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ΠiΡ</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Datisi</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ΠiΣ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ΡaΣ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ΠiΡ</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Disamis</w:t>
      </w:r>
      <w:proofErr w:type="spellEnd"/>
      <w:r w:rsidRPr="007C6417">
        <w:rPr>
          <w:rFonts w:ascii="Times New Roman" w:eastAsia="Times New Roman" w:hAnsi="Times New Roman" w:cs="Times New Roman"/>
          <w:color w:val="000000"/>
          <w:lang w:val="en-US" w:eastAsia="en-GB"/>
        </w:rPr>
        <w:t>)</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ΠoΣ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ΡaΣ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ΠoΡ</w:t>
      </w:r>
      <w:proofErr w:type="spellEnd"/>
      <w:r w:rsidRPr="007C6417">
        <w:rPr>
          <w:rFonts w:ascii="Times New Roman" w:eastAsia="Times New Roman" w:hAnsi="Times New Roman" w:cs="Times New Roman"/>
          <w:color w:val="000000"/>
          <w:lang w:val="en-US" w:eastAsia="en-GB"/>
        </w:rPr>
        <w:t xml:space="preserve"> (Bocardo)</w:t>
      </w:r>
      <w:r w:rsidRPr="007C6417">
        <w:rPr>
          <w:rFonts w:ascii="Times New Roman" w:eastAsia="Times New Roman" w:hAnsi="Times New Roman" w:cs="Times New Roman"/>
          <w:color w:val="000000"/>
          <w:lang w:val="en-US" w:eastAsia="en-GB"/>
        </w:rPr>
        <w:br/>
      </w:r>
      <w:proofErr w:type="spellStart"/>
      <w:r w:rsidRPr="007C6417">
        <w:rPr>
          <w:rFonts w:ascii="Times New Roman" w:eastAsia="Times New Roman" w:hAnsi="Times New Roman" w:cs="Times New Roman"/>
          <w:color w:val="000000"/>
          <w:lang w:val="en-US" w:eastAsia="en-GB"/>
        </w:rPr>
        <w:t>ΠeΣ</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ΡiΣ</w:t>
      </w:r>
      <w:proofErr w:type="spellEnd"/>
      <w:r w:rsidRPr="007C6417">
        <w:rPr>
          <w:rFonts w:ascii="Times New Roman" w:eastAsia="Times New Roman" w:hAnsi="Times New Roman" w:cs="Times New Roman"/>
          <w:color w:val="000000"/>
          <w:lang w:val="en-US" w:eastAsia="en-GB"/>
        </w:rPr>
        <w:t xml:space="preserve"> → </w:t>
      </w:r>
      <w:proofErr w:type="spellStart"/>
      <w:r w:rsidRPr="007C6417">
        <w:rPr>
          <w:rFonts w:ascii="Times New Roman" w:eastAsia="Times New Roman" w:hAnsi="Times New Roman" w:cs="Times New Roman"/>
          <w:color w:val="000000"/>
          <w:lang w:val="en-US" w:eastAsia="en-GB"/>
        </w:rPr>
        <w:t>ΠoΡ</w:t>
      </w:r>
      <w:proofErr w:type="spellEnd"/>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Ferison</w:t>
      </w:r>
      <w:proofErr w:type="spellEnd"/>
      <w:r w:rsidRPr="007C6417">
        <w:rPr>
          <w:rFonts w:ascii="Times New Roman" w:eastAsia="Times New Roman" w:hAnsi="Times New Roman" w:cs="Times New Roman"/>
          <w:color w:val="000000"/>
          <w:lang w:val="en-US" w:eastAsia="en-GB"/>
        </w:rPr>
        <w:t>)</w:t>
      </w:r>
    </w:p>
    <w:p w14:paraId="552DF4F9" w14:textId="30001CD1"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structure of the first book of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is much clearer than that of the second book. In chapters 1 through 23, the ways in which syllogisms of the three figures are produced are presented, together with two alternative reductions: either (a) to syllogisms of the first figure, or (b) to the universal syllogisms of the same figure. In chapters 27 through 31, a mechanical method is presented by which the investigator can proceed from what is “to be proved” to its proof. Chapters 32 through 46, as well as chapters 24–26, contain a series of extremely subtle observations and theorems concerning syllogistic itself.</w:t>
      </w:r>
      <w:r w:rsidR="006C377D" w:rsidRPr="007C6417">
        <w:rPr>
          <w:rStyle w:val="FootnoteReference"/>
          <w:rFonts w:ascii="Times New Roman" w:eastAsia="Times New Roman" w:hAnsi="Times New Roman" w:cs="Times New Roman"/>
          <w:color w:val="000000"/>
          <w:lang w:val="en-US" w:eastAsia="en-GB"/>
        </w:rPr>
        <w:footnoteReference w:id="29"/>
      </w:r>
    </w:p>
    <w:p w14:paraId="5F1BE2E6"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More specifically, chapters 1 through 3 discuss basic features of the syllogism, while chapters 4 through 22 present the syllogisms themselves: chapters 4 through 7 concern categorical syllogisms, whereas chapters 8 through 22 concern modal syllogisms, the so-called modal syllogistic.</w:t>
      </w:r>
    </w:p>
    <w:p w14:paraId="4BDC87B7" w14:textId="57F7CEC3"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structure of the second book of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is less clear. One might distinguish chapters 1 through 14, which deal with issues arising from the handling of syllogisms; chapters 15 through 22, which gather observations concerning the use of syllogisms in dialectic, including discussion of </w:t>
      </w:r>
      <w:r w:rsidRPr="007C6417">
        <w:rPr>
          <w:rFonts w:ascii="Times New Roman" w:eastAsia="Times New Roman" w:hAnsi="Times New Roman" w:cs="Times New Roman"/>
          <w:i/>
          <w:iCs/>
          <w:color w:val="000000"/>
          <w:lang w:val="en-US" w:eastAsia="en-GB"/>
        </w:rPr>
        <w:t>elenchus</w:t>
      </w:r>
      <w:r w:rsidRPr="007C6417">
        <w:rPr>
          <w:rFonts w:ascii="Times New Roman" w:eastAsia="Times New Roman" w:hAnsi="Times New Roman" w:cs="Times New Roman"/>
          <w:color w:val="000000"/>
          <w:lang w:val="en-US" w:eastAsia="en-GB"/>
        </w:rPr>
        <w:t> as well as fallacies that are treated in greater detail in the </w:t>
      </w:r>
      <w:r w:rsidRPr="007C6417">
        <w:rPr>
          <w:rFonts w:ascii="Times New Roman" w:eastAsia="Times New Roman" w:hAnsi="Times New Roman" w:cs="Times New Roman"/>
          <w:i/>
          <w:iCs/>
          <w:color w:val="000000"/>
          <w:lang w:val="en-US" w:eastAsia="en-GB"/>
        </w:rPr>
        <w:t>Sophistical Refutations</w:t>
      </w:r>
      <w:r w:rsidRPr="007C6417">
        <w:rPr>
          <w:rFonts w:ascii="Times New Roman" w:eastAsia="Times New Roman" w:hAnsi="Times New Roman" w:cs="Times New Roman"/>
          <w:color w:val="000000"/>
          <w:lang w:val="en-US" w:eastAsia="en-GB"/>
        </w:rPr>
        <w:t>; and chapters 23 through 27, in which Aristotle discusses the use of syllogisms in rhetoric.</w:t>
      </w:r>
      <w:r w:rsidR="006C377D" w:rsidRPr="007C6417">
        <w:rPr>
          <w:rStyle w:val="FootnoteReference"/>
          <w:rFonts w:ascii="Times New Roman" w:eastAsia="Times New Roman" w:hAnsi="Times New Roman" w:cs="Times New Roman"/>
          <w:color w:val="000000"/>
          <w:lang w:val="en-US" w:eastAsia="en-GB"/>
        </w:rPr>
        <w:footnoteReference w:id="30"/>
      </w:r>
      <w:r w:rsidRPr="007C6417">
        <w:rPr>
          <w:rFonts w:ascii="Times New Roman" w:eastAsia="Times New Roman" w:hAnsi="Times New Roman" w:cs="Times New Roman"/>
          <w:color w:val="000000"/>
          <w:lang w:val="en-US" w:eastAsia="en-GB"/>
        </w:rPr>
        <w:t xml:space="preserve"> In these chapters he discusses </w:t>
      </w:r>
      <w:r w:rsidRPr="007C6417">
        <w:rPr>
          <w:rFonts w:ascii="Times New Roman" w:eastAsia="Times New Roman" w:hAnsi="Times New Roman" w:cs="Times New Roman"/>
          <w:i/>
          <w:iCs/>
          <w:color w:val="000000"/>
          <w:lang w:val="en-US" w:eastAsia="en-GB"/>
        </w:rPr>
        <w:t>ἀπα</w:t>
      </w:r>
      <w:proofErr w:type="spellStart"/>
      <w:r w:rsidRPr="007C6417">
        <w:rPr>
          <w:rFonts w:ascii="Times New Roman" w:eastAsia="Times New Roman" w:hAnsi="Times New Roman" w:cs="Times New Roman"/>
          <w:i/>
          <w:iCs/>
          <w:color w:val="000000"/>
          <w:lang w:val="en-US" w:eastAsia="en-GB"/>
        </w:rPr>
        <w:t>γωγή</w:t>
      </w:r>
      <w:proofErr w:type="spellEnd"/>
      <w:r w:rsidRPr="007C6417">
        <w:rPr>
          <w:rFonts w:ascii="Times New Roman" w:eastAsia="Times New Roman" w:hAnsi="Times New Roman" w:cs="Times New Roman"/>
          <w:color w:val="000000"/>
          <w:lang w:val="en-US" w:eastAsia="en-GB"/>
        </w:rPr>
        <w:t>, </w:t>
      </w:r>
      <w:proofErr w:type="spellStart"/>
      <w:r w:rsidRPr="007C6417">
        <w:rPr>
          <w:rFonts w:ascii="Times New Roman" w:eastAsia="Times New Roman" w:hAnsi="Times New Roman" w:cs="Times New Roman"/>
          <w:i/>
          <w:iCs/>
          <w:color w:val="000000"/>
          <w:lang w:val="en-US" w:eastAsia="en-GB"/>
        </w:rPr>
        <w:t>ἔνστ</w:t>
      </w:r>
      <w:proofErr w:type="spellEnd"/>
      <w:r w:rsidRPr="007C6417">
        <w:rPr>
          <w:rFonts w:ascii="Times New Roman" w:eastAsia="Times New Roman" w:hAnsi="Times New Roman" w:cs="Times New Roman"/>
          <w:i/>
          <w:iCs/>
          <w:color w:val="000000"/>
          <w:lang w:val="en-US" w:eastAsia="en-GB"/>
        </w:rPr>
        <w:t>α</w:t>
      </w:r>
      <w:proofErr w:type="spellStart"/>
      <w:r w:rsidRPr="007C6417">
        <w:rPr>
          <w:rFonts w:ascii="Times New Roman" w:eastAsia="Times New Roman" w:hAnsi="Times New Roman" w:cs="Times New Roman"/>
          <w:i/>
          <w:iCs/>
          <w:color w:val="000000"/>
          <w:lang w:val="en-US" w:eastAsia="en-GB"/>
        </w:rPr>
        <w:t>σις</w:t>
      </w:r>
      <w:proofErr w:type="spellEnd"/>
      <w:r w:rsidRPr="007C6417">
        <w:rPr>
          <w:rFonts w:ascii="Times New Roman" w:eastAsia="Times New Roman" w:hAnsi="Times New Roman" w:cs="Times New Roman"/>
          <w:color w:val="000000"/>
          <w:lang w:val="en-US" w:eastAsia="en-GB"/>
        </w:rPr>
        <w:t>, the </w:t>
      </w:r>
      <w:r w:rsidRPr="007C6417">
        <w:rPr>
          <w:rFonts w:ascii="Times New Roman" w:eastAsia="Times New Roman" w:hAnsi="Times New Roman" w:cs="Times New Roman"/>
          <w:i/>
          <w:iCs/>
          <w:color w:val="000000"/>
          <w:lang w:val="en-US" w:eastAsia="en-GB"/>
        </w:rPr>
        <w:t>enthymeme</w:t>
      </w:r>
      <w:r w:rsidRPr="007C6417">
        <w:rPr>
          <w:rFonts w:ascii="Times New Roman" w:eastAsia="Times New Roman" w:hAnsi="Times New Roman" w:cs="Times New Roman"/>
          <w:color w:val="000000"/>
          <w:lang w:val="en-US" w:eastAsia="en-GB"/>
        </w:rPr>
        <w:t>, and also </w:t>
      </w:r>
      <w:proofErr w:type="spellStart"/>
      <w:r w:rsidRPr="007C6417">
        <w:rPr>
          <w:rFonts w:ascii="Times New Roman" w:eastAsia="Times New Roman" w:hAnsi="Times New Roman" w:cs="Times New Roman"/>
          <w:i/>
          <w:iCs/>
          <w:color w:val="000000"/>
          <w:lang w:val="en-US" w:eastAsia="en-GB"/>
        </w:rPr>
        <w:t>εἰκός</w:t>
      </w:r>
      <w:proofErr w:type="spellEnd"/>
      <w:r w:rsidRPr="007C6417">
        <w:rPr>
          <w:rFonts w:ascii="Times New Roman" w:eastAsia="Times New Roman" w:hAnsi="Times New Roman" w:cs="Times New Roman"/>
          <w:color w:val="000000"/>
          <w:lang w:val="en-US" w:eastAsia="en-GB"/>
        </w:rPr>
        <w:t>. The second book, therefore, also contains observations and theorems concerning syllogistic itself.</w:t>
      </w:r>
    </w:p>
    <w:p w14:paraId="664F627A" w14:textId="77777777" w:rsidR="00304420" w:rsidRPr="007C6417" w:rsidRDefault="00304420" w:rsidP="00304420">
      <w:pPr>
        <w:spacing w:before="100" w:beforeAutospacing="1" w:after="100" w:afterAutospacing="1"/>
        <w:outlineLvl w:val="2"/>
        <w:rPr>
          <w:rFonts w:ascii="Times New Roman" w:eastAsia="Times New Roman" w:hAnsi="Times New Roman" w:cs="Times New Roman"/>
          <w:b/>
          <w:bCs/>
          <w:color w:val="000000"/>
          <w:sz w:val="27"/>
          <w:szCs w:val="27"/>
          <w:lang w:val="en-US" w:eastAsia="en-GB"/>
        </w:rPr>
      </w:pPr>
      <w:r w:rsidRPr="007C6417">
        <w:rPr>
          <w:rFonts w:ascii="Times New Roman" w:eastAsia="Times New Roman" w:hAnsi="Times New Roman" w:cs="Times New Roman"/>
          <w:b/>
          <w:bCs/>
          <w:color w:val="000000"/>
          <w:sz w:val="27"/>
          <w:szCs w:val="27"/>
          <w:lang w:val="en-US" w:eastAsia="en-GB"/>
        </w:rPr>
        <w:t>2. The title of the work</w:t>
      </w:r>
    </w:p>
    <w:p w14:paraId="5D3A5F28" w14:textId="392F46D9"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title of the work, “Analytics,” deserves special comment, not least because it is Aristotle’s own title and not that of later editors, as is usually the case with titles of ancient works.</w:t>
      </w:r>
      <w:r w:rsidR="006C377D" w:rsidRPr="007C6417">
        <w:rPr>
          <w:rStyle w:val="FootnoteReference"/>
          <w:rFonts w:ascii="Times New Roman" w:eastAsia="Times New Roman" w:hAnsi="Times New Roman" w:cs="Times New Roman"/>
          <w:color w:val="000000"/>
          <w:lang w:val="en-US" w:eastAsia="en-GB"/>
        </w:rPr>
        <w:footnoteReference w:id="31"/>
      </w:r>
      <w:r w:rsidRPr="007C6417">
        <w:rPr>
          <w:rFonts w:ascii="Times New Roman" w:eastAsia="Times New Roman" w:hAnsi="Times New Roman" w:cs="Times New Roman"/>
          <w:color w:val="000000"/>
          <w:lang w:val="en-US" w:eastAsia="en-GB"/>
        </w:rPr>
        <w:t xml:space="preserve"> Aristotle </w:t>
      </w:r>
      <w:r w:rsidRPr="007C6417">
        <w:rPr>
          <w:rFonts w:ascii="Times New Roman" w:hAnsi="Times New Roman" w:cs="Times New Roman"/>
          <w:color w:val="000000"/>
          <w:lang w:val="en-US"/>
        </w:rPr>
        <w:t>uses it to refer to these two works without distinguishing between</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prior</w:t>
      </w:r>
      <w:r w:rsidRPr="007C6417">
        <w:rPr>
          <w:rStyle w:val="apple-converted-space"/>
          <w:rFonts w:ascii="Times New Roman" w:hAnsi="Times New Roman" w:cs="Times New Roman"/>
          <w:color w:val="000000"/>
          <w:lang w:val="en-US"/>
        </w:rPr>
        <w:t> </w:t>
      </w:r>
      <w:r w:rsidRPr="007C6417">
        <w:rPr>
          <w:rFonts w:ascii="Times New Roman" w:hAnsi="Times New Roman" w:cs="Times New Roman"/>
          <w:color w:val="000000"/>
          <w:lang w:val="en-US"/>
        </w:rPr>
        <w:t>and</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posterior</w:t>
      </w:r>
      <w:r w:rsidRPr="007C6417">
        <w:rPr>
          <w:rFonts w:ascii="Times New Roman" w:hAnsi="Times New Roman" w:cs="Times New Roman"/>
          <w:color w:val="000000"/>
          <w:lang w:val="en-US"/>
        </w:rPr>
        <w:t>, a fact that underscores the unity of the two works and of their shared project—the grounding of demonstrative science—as was also emphasized above.</w:t>
      </w:r>
      <w:r w:rsidR="006C377D" w:rsidRPr="007C6417">
        <w:rPr>
          <w:rStyle w:val="FootnoteReference"/>
          <w:rFonts w:ascii="Times New Roman" w:hAnsi="Times New Roman" w:cs="Times New Roman"/>
          <w:color w:val="000000"/>
          <w:lang w:val="en-US"/>
        </w:rPr>
        <w:footnoteReference w:id="32"/>
      </w:r>
      <w:r w:rsidR="006C377D" w:rsidRPr="007C6417">
        <w:rPr>
          <w:rFonts w:ascii="Times New Roman" w:hAnsi="Times New Roman" w:cs="Times New Roman"/>
          <w:color w:val="000000"/>
          <w:lang w:val="en-US"/>
        </w:rPr>
        <w:t xml:space="preserve"> </w:t>
      </w:r>
      <w:r w:rsidRPr="007C6417">
        <w:rPr>
          <w:rFonts w:ascii="Times New Roman" w:hAnsi="Times New Roman" w:cs="Times New Roman"/>
          <w:color w:val="000000"/>
          <w:lang w:val="en-US"/>
        </w:rPr>
        <w:lastRenderedPageBreak/>
        <w:t>Aristotle twice refers to the</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Prior Analytics</w:t>
      </w:r>
      <w:r w:rsidRPr="007C6417">
        <w:rPr>
          <w:rStyle w:val="apple-converted-space"/>
          <w:rFonts w:ascii="Times New Roman" w:hAnsi="Times New Roman" w:cs="Times New Roman"/>
          <w:color w:val="000000"/>
          <w:lang w:val="en-US"/>
        </w:rPr>
        <w:t> </w:t>
      </w:r>
      <w:r w:rsidRPr="007C6417">
        <w:rPr>
          <w:rFonts w:ascii="Times New Roman" w:hAnsi="Times New Roman" w:cs="Times New Roman"/>
          <w:color w:val="000000"/>
          <w:lang w:val="en-US"/>
        </w:rPr>
        <w:t>as the work</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π</w:t>
      </w:r>
      <w:proofErr w:type="spellStart"/>
      <w:r w:rsidRPr="007C6417">
        <w:rPr>
          <w:rStyle w:val="Emphasis"/>
          <w:rFonts w:ascii="Times New Roman" w:hAnsi="Times New Roman" w:cs="Times New Roman"/>
          <w:color w:val="000000"/>
          <w:lang w:val="en-US"/>
        </w:rPr>
        <w:t>ερὶ</w:t>
      </w:r>
      <w:proofErr w:type="spellEnd"/>
      <w:r w:rsidRPr="007C6417">
        <w:rPr>
          <w:rStyle w:val="Emphasis"/>
          <w:rFonts w:ascii="Times New Roman" w:hAnsi="Times New Roman" w:cs="Times New Roman"/>
          <w:color w:val="000000"/>
          <w:lang w:val="en-US"/>
        </w:rPr>
        <w:t xml:space="preserve"> </w:t>
      </w:r>
      <w:proofErr w:type="spellStart"/>
      <w:r w:rsidRPr="007C6417">
        <w:rPr>
          <w:rStyle w:val="Emphasis"/>
          <w:rFonts w:ascii="Times New Roman" w:hAnsi="Times New Roman" w:cs="Times New Roman"/>
          <w:color w:val="000000"/>
          <w:lang w:val="en-US"/>
        </w:rPr>
        <w:t>συλλογισμοῦ</w:t>
      </w:r>
      <w:proofErr w:type="spellEnd"/>
      <w:r w:rsidRPr="007C6417">
        <w:rPr>
          <w:rStyle w:val="apple-converted-space"/>
          <w:rFonts w:ascii="Times New Roman" w:hAnsi="Times New Roman" w:cs="Times New Roman"/>
          <w:color w:val="000000"/>
          <w:lang w:val="en-US"/>
        </w:rPr>
        <w:t> </w:t>
      </w:r>
      <w:r w:rsidRPr="007C6417">
        <w:rPr>
          <w:rFonts w:ascii="Times New Roman" w:hAnsi="Times New Roman" w:cs="Times New Roman"/>
          <w:color w:val="000000"/>
          <w:lang w:val="en-US"/>
        </w:rPr>
        <w:t>(“on syllogism”) (</w:t>
      </w:r>
      <w:r w:rsidRPr="007C6417">
        <w:rPr>
          <w:rStyle w:val="Emphasis"/>
          <w:rFonts w:ascii="Times New Roman" w:hAnsi="Times New Roman" w:cs="Times New Roman"/>
          <w:color w:val="000000"/>
          <w:lang w:val="en-US"/>
        </w:rPr>
        <w:t>An. Post.</w:t>
      </w:r>
      <w:r w:rsidRPr="007C6417">
        <w:rPr>
          <w:rStyle w:val="apple-converted-space"/>
          <w:rFonts w:ascii="Times New Roman" w:hAnsi="Times New Roman" w:cs="Times New Roman"/>
          <w:color w:val="000000"/>
          <w:lang w:val="en-US"/>
        </w:rPr>
        <w:t> </w:t>
      </w:r>
      <w:r w:rsidRPr="007C6417">
        <w:rPr>
          <w:rFonts w:ascii="Times New Roman" w:hAnsi="Times New Roman" w:cs="Times New Roman"/>
          <w:color w:val="000000"/>
          <w:lang w:val="en-US"/>
        </w:rPr>
        <w:t xml:space="preserve">73a14, 77a35). This is not, however, an alternative title of the work, but a reference based on its content. </w:t>
      </w:r>
      <w:proofErr w:type="gramStart"/>
      <w:r w:rsidRPr="007C6417">
        <w:rPr>
          <w:rFonts w:ascii="Times New Roman" w:hAnsi="Times New Roman" w:cs="Times New Roman"/>
          <w:color w:val="000000"/>
          <w:lang w:val="en-US"/>
        </w:rPr>
        <w:t>If,</w:t>
      </w:r>
      <w:proofErr w:type="gramEnd"/>
      <w:r w:rsidRPr="007C6417">
        <w:rPr>
          <w:rFonts w:ascii="Times New Roman" w:hAnsi="Times New Roman" w:cs="Times New Roman"/>
          <w:color w:val="000000"/>
          <w:lang w:val="en-US"/>
        </w:rPr>
        <w:t xml:space="preserve"> then, the title of the work is</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Analytics</w:t>
      </w:r>
      <w:r w:rsidRPr="007C6417">
        <w:rPr>
          <w:rFonts w:ascii="Times New Roman" w:hAnsi="Times New Roman" w:cs="Times New Roman"/>
          <w:color w:val="000000"/>
          <w:lang w:val="en-US"/>
        </w:rPr>
        <w:t>, the basic question that arises is what this term means in the title of the work.</w:t>
      </w:r>
    </w:p>
    <w:p w14:paraId="23617380" w14:textId="77777777" w:rsidR="00304420" w:rsidRPr="007C6417" w:rsidRDefault="00304420" w:rsidP="00304420">
      <w:pPr>
        <w:pStyle w:val="NormalWeb"/>
        <w:rPr>
          <w:color w:val="000000"/>
          <w:lang w:val="en-US"/>
        </w:rPr>
      </w:pPr>
      <w:r w:rsidRPr="007C6417">
        <w:rPr>
          <w:color w:val="000000"/>
          <w:lang w:val="en-US"/>
        </w:rPr>
        <w:t>The verb</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ἀν</w:t>
      </w:r>
      <w:proofErr w:type="spellEnd"/>
      <w:r w:rsidRPr="007C6417">
        <w:rPr>
          <w:rStyle w:val="Emphasis"/>
          <w:rFonts w:eastAsiaTheme="majorEastAsia"/>
          <w:color w:val="000000"/>
          <w:lang w:val="en-US"/>
        </w:rPr>
        <w:t>α</w:t>
      </w:r>
      <w:proofErr w:type="spellStart"/>
      <w:r w:rsidRPr="007C6417">
        <w:rPr>
          <w:rStyle w:val="Emphasis"/>
          <w:rFonts w:eastAsiaTheme="majorEastAsia"/>
          <w:color w:val="000000"/>
          <w:lang w:val="en-US"/>
        </w:rPr>
        <w:t>λύω</w:t>
      </w:r>
      <w:proofErr w:type="spellEnd"/>
      <w:r w:rsidRPr="007C6417">
        <w:rPr>
          <w:rStyle w:val="apple-converted-space"/>
          <w:rFonts w:eastAsiaTheme="majorEastAsia"/>
          <w:color w:val="000000"/>
          <w:lang w:val="en-US"/>
        </w:rPr>
        <w:t> </w:t>
      </w:r>
      <w:r w:rsidRPr="007C6417">
        <w:rPr>
          <w:color w:val="000000"/>
          <w:lang w:val="en-US"/>
        </w:rPr>
        <w:t>is used by Aristotle himself when he speaks of the analysis of syllogisms on the basis of the syllogistic figures he has presented—that is, the analysis of syllogisms into their premisses and conclusion. In this sense, analysis aims at checking the validity of the inference of the conclusion from the premisses. In</w:t>
      </w:r>
      <w:r w:rsidRPr="007C6417">
        <w:rPr>
          <w:rStyle w:val="apple-converted-space"/>
          <w:rFonts w:eastAsiaTheme="majorEastAsia"/>
          <w:color w:val="000000"/>
          <w:lang w:val="en-US"/>
        </w:rPr>
        <w:t> </w:t>
      </w:r>
      <w:r w:rsidRPr="007C6417">
        <w:rPr>
          <w:rStyle w:val="Emphasis"/>
          <w:rFonts w:eastAsiaTheme="majorEastAsia"/>
          <w:color w:val="000000"/>
          <w:lang w:val="en-US"/>
        </w:rPr>
        <w:t>Posterior Analytics</w:t>
      </w:r>
      <w:r w:rsidRPr="007C6417">
        <w:rPr>
          <w:rStyle w:val="apple-converted-space"/>
          <w:rFonts w:eastAsiaTheme="majorEastAsia"/>
          <w:color w:val="000000"/>
          <w:lang w:val="en-US"/>
        </w:rPr>
        <w:t> </w:t>
      </w:r>
      <w:r w:rsidRPr="007C6417">
        <w:rPr>
          <w:color w:val="000000"/>
          <w:lang w:val="en-US"/>
        </w:rPr>
        <w:t>II.5, for example, Aristotle criticizes the Platonic method of division as non-syllogistic and contrasts it with analysis as applied to the figures (</w:t>
      </w:r>
      <w:proofErr w:type="spellStart"/>
      <w:r w:rsidRPr="007C6417">
        <w:rPr>
          <w:rStyle w:val="Emphasis"/>
          <w:rFonts w:eastAsiaTheme="majorEastAsia"/>
          <w:color w:val="000000"/>
          <w:lang w:val="en-US"/>
        </w:rPr>
        <w:t>ἐν</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τῇ</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ἀν</w:t>
      </w:r>
      <w:proofErr w:type="spellEnd"/>
      <w:r w:rsidRPr="007C6417">
        <w:rPr>
          <w:rStyle w:val="Emphasis"/>
          <w:rFonts w:eastAsiaTheme="majorEastAsia"/>
          <w:color w:val="000000"/>
          <w:lang w:val="en-US"/>
        </w:rPr>
        <w:t>α</w:t>
      </w:r>
      <w:proofErr w:type="spellStart"/>
      <w:r w:rsidRPr="007C6417">
        <w:rPr>
          <w:rStyle w:val="Emphasis"/>
          <w:rFonts w:eastAsiaTheme="majorEastAsia"/>
          <w:color w:val="000000"/>
          <w:lang w:val="en-US"/>
        </w:rPr>
        <w:t>λύσει</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τῇ</w:t>
      </w:r>
      <w:proofErr w:type="spellEnd"/>
      <w:r w:rsidRPr="007C6417">
        <w:rPr>
          <w:rStyle w:val="Emphasis"/>
          <w:rFonts w:eastAsiaTheme="majorEastAsia"/>
          <w:color w:val="000000"/>
          <w:lang w:val="en-US"/>
        </w:rPr>
        <w:t xml:space="preserve"> π</w:t>
      </w:r>
      <w:proofErr w:type="spellStart"/>
      <w:r w:rsidRPr="007C6417">
        <w:rPr>
          <w:rStyle w:val="Emphasis"/>
          <w:rFonts w:eastAsiaTheme="majorEastAsia"/>
          <w:color w:val="000000"/>
          <w:lang w:val="en-US"/>
        </w:rPr>
        <w:t>ερὶ</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τὰ</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σχήμ</w:t>
      </w:r>
      <w:proofErr w:type="spellEnd"/>
      <w:r w:rsidRPr="007C6417">
        <w:rPr>
          <w:rStyle w:val="Emphasis"/>
          <w:rFonts w:eastAsiaTheme="majorEastAsia"/>
          <w:color w:val="000000"/>
          <w:lang w:val="en-US"/>
        </w:rPr>
        <w:t>ατα</w:t>
      </w:r>
      <w:r w:rsidRPr="007C6417">
        <w:rPr>
          <w:color w:val="000000"/>
          <w:lang w:val="en-US"/>
        </w:rPr>
        <w:t>, 91b14–15). What is at issue is the analysis of syllogisms in such a way as to bring out the syllogistic figure to which they belong. Sometimes this is possible; at other times it is not. In the following passage, it is taken to be possible:</w:t>
      </w:r>
    </w:p>
    <w:p w14:paraId="6C98B38A" w14:textId="77777777" w:rsidR="00304420" w:rsidRPr="007C6417" w:rsidRDefault="00304420" w:rsidP="00304420">
      <w:pPr>
        <w:pStyle w:val="NormalWeb"/>
        <w:rPr>
          <w:color w:val="000000"/>
          <w:lang w:val="en-US"/>
        </w:rPr>
      </w:pPr>
      <w:proofErr w:type="spellStart"/>
      <w:r w:rsidRPr="007C6417">
        <w:rPr>
          <w:color w:val="000000"/>
          <w:lang w:val="en-US"/>
        </w:rPr>
        <w:t>Εἰ</w:t>
      </w:r>
      <w:proofErr w:type="spellEnd"/>
      <w:r w:rsidRPr="007C6417">
        <w:rPr>
          <w:color w:val="000000"/>
          <w:lang w:val="en-US"/>
        </w:rPr>
        <w:t xml:space="preserve"> </w:t>
      </w:r>
      <w:proofErr w:type="spellStart"/>
      <w:r w:rsidRPr="007C6417">
        <w:rPr>
          <w:color w:val="000000"/>
          <w:lang w:val="en-US"/>
        </w:rPr>
        <w:t>γὰρ</w:t>
      </w:r>
      <w:proofErr w:type="spellEnd"/>
      <w:r w:rsidRPr="007C6417">
        <w:rPr>
          <w:color w:val="000000"/>
          <w:lang w:val="en-US"/>
        </w:rPr>
        <w:t xml:space="preserve"> </w:t>
      </w:r>
      <w:proofErr w:type="spellStart"/>
      <w:r w:rsidRPr="007C6417">
        <w:rPr>
          <w:color w:val="000000"/>
          <w:lang w:val="en-US"/>
        </w:rPr>
        <w:t>τήν</w:t>
      </w:r>
      <w:proofErr w:type="spellEnd"/>
      <w:r w:rsidRPr="007C6417">
        <w:rPr>
          <w:color w:val="000000"/>
          <w:lang w:val="en-US"/>
        </w:rPr>
        <w:t xml:space="preserve"> </w:t>
      </w:r>
      <w:proofErr w:type="spellStart"/>
      <w:r w:rsidRPr="007C6417">
        <w:rPr>
          <w:color w:val="000000"/>
          <w:lang w:val="en-US"/>
        </w:rPr>
        <w:t>τε</w:t>
      </w:r>
      <w:proofErr w:type="spellEnd"/>
      <w:r w:rsidRPr="007C6417">
        <w:rPr>
          <w:color w:val="000000"/>
          <w:lang w:val="en-US"/>
        </w:rPr>
        <w:t xml:space="preserve"> </w:t>
      </w:r>
      <w:proofErr w:type="spellStart"/>
      <w:r w:rsidRPr="007C6417">
        <w:rPr>
          <w:color w:val="000000"/>
          <w:lang w:val="en-US"/>
        </w:rPr>
        <w:t>γένεσιν</w:t>
      </w:r>
      <w:proofErr w:type="spellEnd"/>
      <w:r w:rsidRPr="007C6417">
        <w:rPr>
          <w:color w:val="000000"/>
          <w:lang w:val="en-US"/>
        </w:rPr>
        <w:t xml:space="preserve"> </w:t>
      </w:r>
      <w:proofErr w:type="spellStart"/>
      <w:r w:rsidRPr="007C6417">
        <w:rPr>
          <w:color w:val="000000"/>
          <w:lang w:val="en-US"/>
        </w:rPr>
        <w:t>τῶν</w:t>
      </w:r>
      <w:proofErr w:type="spellEnd"/>
      <w:r w:rsidRPr="007C6417">
        <w:rPr>
          <w:color w:val="000000"/>
          <w:lang w:val="en-US"/>
        </w:rPr>
        <w:t xml:space="preserve"> </w:t>
      </w:r>
      <w:proofErr w:type="spellStart"/>
      <w:r w:rsidRPr="007C6417">
        <w:rPr>
          <w:color w:val="000000"/>
          <w:lang w:val="en-US"/>
        </w:rPr>
        <w:t>συλλογισμῶν</w:t>
      </w:r>
      <w:proofErr w:type="spellEnd"/>
      <w:r w:rsidRPr="007C6417">
        <w:rPr>
          <w:color w:val="000000"/>
          <w:lang w:val="en-US"/>
        </w:rPr>
        <w:t xml:space="preserve"> </w:t>
      </w:r>
      <w:proofErr w:type="spellStart"/>
      <w:r w:rsidRPr="007C6417">
        <w:rPr>
          <w:color w:val="000000"/>
          <w:lang w:val="en-US"/>
        </w:rPr>
        <w:t>θεωροῖμεν</w:t>
      </w:r>
      <w:proofErr w:type="spellEnd"/>
      <w:r w:rsidRPr="007C6417">
        <w:rPr>
          <w:color w:val="000000"/>
          <w:lang w:val="en-US"/>
        </w:rPr>
        <w:t xml:space="preserve"> καὶ </w:t>
      </w:r>
      <w:proofErr w:type="spellStart"/>
      <w:r w:rsidRPr="007C6417">
        <w:rPr>
          <w:color w:val="000000"/>
          <w:lang w:val="en-US"/>
        </w:rPr>
        <w:t>τοῦ</w:t>
      </w:r>
      <w:proofErr w:type="spellEnd"/>
      <w:r w:rsidRPr="007C6417">
        <w:rPr>
          <w:color w:val="000000"/>
          <w:lang w:val="en-US"/>
        </w:rPr>
        <w:t xml:space="preserve"> </w:t>
      </w:r>
      <w:proofErr w:type="spellStart"/>
      <w:r w:rsidRPr="007C6417">
        <w:rPr>
          <w:color w:val="000000"/>
          <w:lang w:val="en-US"/>
        </w:rPr>
        <w:t>εὑρίσκειν</w:t>
      </w:r>
      <w:proofErr w:type="spellEnd"/>
      <w:r w:rsidRPr="007C6417">
        <w:rPr>
          <w:color w:val="000000"/>
          <w:lang w:val="en-US"/>
        </w:rPr>
        <w:t xml:space="preserve"> </w:t>
      </w:r>
      <w:proofErr w:type="spellStart"/>
      <w:r w:rsidRPr="007C6417">
        <w:rPr>
          <w:color w:val="000000"/>
          <w:lang w:val="en-US"/>
        </w:rPr>
        <w:t>ἔχοιμεν</w:t>
      </w:r>
      <w:proofErr w:type="spellEnd"/>
      <w:r w:rsidRPr="007C6417">
        <w:rPr>
          <w:color w:val="000000"/>
          <w:lang w:val="en-US"/>
        </w:rPr>
        <w:t xml:space="preserve"> </w:t>
      </w:r>
      <w:proofErr w:type="spellStart"/>
      <w:r w:rsidRPr="007C6417">
        <w:rPr>
          <w:color w:val="000000"/>
          <w:lang w:val="en-US"/>
        </w:rPr>
        <w:t>δύν</w:t>
      </w:r>
      <w:proofErr w:type="spellEnd"/>
      <w:r w:rsidRPr="007C6417">
        <w:rPr>
          <w:color w:val="000000"/>
          <w:lang w:val="en-US"/>
        </w:rPr>
        <w:t>α</w:t>
      </w:r>
      <w:proofErr w:type="spellStart"/>
      <w:r w:rsidRPr="007C6417">
        <w:rPr>
          <w:color w:val="000000"/>
          <w:lang w:val="en-US"/>
        </w:rPr>
        <w:t>μιν</w:t>
      </w:r>
      <w:proofErr w:type="spellEnd"/>
      <w:r w:rsidRPr="007C6417">
        <w:rPr>
          <w:color w:val="000000"/>
          <w:lang w:val="en-US"/>
        </w:rPr>
        <w:t xml:space="preserve">, </w:t>
      </w:r>
      <w:proofErr w:type="spellStart"/>
      <w:r w:rsidRPr="007C6417">
        <w:rPr>
          <w:color w:val="000000"/>
          <w:lang w:val="en-US"/>
        </w:rPr>
        <w:t>ἔτι</w:t>
      </w:r>
      <w:proofErr w:type="spellEnd"/>
      <w:r w:rsidRPr="007C6417">
        <w:rPr>
          <w:color w:val="000000"/>
          <w:lang w:val="en-US"/>
        </w:rPr>
        <w:t xml:space="preserve"> </w:t>
      </w:r>
      <w:proofErr w:type="spellStart"/>
      <w:r w:rsidRPr="007C6417">
        <w:rPr>
          <w:color w:val="000000"/>
          <w:lang w:val="en-US"/>
        </w:rPr>
        <w:t>δὲ</w:t>
      </w:r>
      <w:proofErr w:type="spellEnd"/>
      <w:r w:rsidRPr="007C6417">
        <w:rPr>
          <w:color w:val="000000"/>
          <w:lang w:val="en-US"/>
        </w:rPr>
        <w:t xml:space="preserve"> </w:t>
      </w:r>
      <w:proofErr w:type="spellStart"/>
      <w:r w:rsidRPr="007C6417">
        <w:rPr>
          <w:color w:val="000000"/>
          <w:lang w:val="en-US"/>
        </w:rPr>
        <w:t>τοὺς</w:t>
      </w:r>
      <w:proofErr w:type="spellEnd"/>
      <w:r w:rsidRPr="007C6417">
        <w:rPr>
          <w:color w:val="000000"/>
          <w:lang w:val="en-US"/>
        </w:rPr>
        <w:t xml:space="preserve"> </w:t>
      </w:r>
      <w:proofErr w:type="spellStart"/>
      <w:r w:rsidRPr="007C6417">
        <w:rPr>
          <w:color w:val="000000"/>
          <w:lang w:val="en-US"/>
        </w:rPr>
        <w:t>γεγενημένους</w:t>
      </w:r>
      <w:proofErr w:type="spellEnd"/>
      <w:r w:rsidRPr="007C6417">
        <w:rPr>
          <w:color w:val="000000"/>
          <w:lang w:val="en-US"/>
        </w:rPr>
        <w:t xml:space="preserve"> </w:t>
      </w:r>
      <w:proofErr w:type="spellStart"/>
      <w:r w:rsidRPr="007C6417">
        <w:rPr>
          <w:color w:val="000000"/>
          <w:lang w:val="en-US"/>
        </w:rPr>
        <w:t>ἀν</w:t>
      </w:r>
      <w:proofErr w:type="spellEnd"/>
      <w:r w:rsidRPr="007C6417">
        <w:rPr>
          <w:color w:val="000000"/>
          <w:lang w:val="en-US"/>
        </w:rPr>
        <w:t>α</w:t>
      </w:r>
      <w:proofErr w:type="spellStart"/>
      <w:r w:rsidRPr="007C6417">
        <w:rPr>
          <w:color w:val="000000"/>
          <w:lang w:val="en-US"/>
        </w:rPr>
        <w:t>λύοιμεν</w:t>
      </w:r>
      <w:proofErr w:type="spellEnd"/>
      <w:r w:rsidRPr="007C6417">
        <w:rPr>
          <w:color w:val="000000"/>
          <w:lang w:val="en-US"/>
        </w:rPr>
        <w:t xml:space="preserve"> </w:t>
      </w:r>
      <w:proofErr w:type="spellStart"/>
      <w:r w:rsidRPr="007C6417">
        <w:rPr>
          <w:color w:val="000000"/>
          <w:lang w:val="en-US"/>
        </w:rPr>
        <w:t>εἰς</w:t>
      </w:r>
      <w:proofErr w:type="spellEnd"/>
      <w:r w:rsidRPr="007C6417">
        <w:rPr>
          <w:color w:val="000000"/>
          <w:lang w:val="en-US"/>
        </w:rPr>
        <w:t xml:space="preserve"> </w:t>
      </w:r>
      <w:proofErr w:type="spellStart"/>
      <w:r w:rsidRPr="007C6417">
        <w:rPr>
          <w:color w:val="000000"/>
          <w:lang w:val="en-US"/>
        </w:rPr>
        <w:t>τὰ</w:t>
      </w:r>
      <w:proofErr w:type="spellEnd"/>
      <w:r w:rsidRPr="007C6417">
        <w:rPr>
          <w:color w:val="000000"/>
          <w:lang w:val="en-US"/>
        </w:rPr>
        <w:t xml:space="preserve"> π</w:t>
      </w:r>
      <w:proofErr w:type="spellStart"/>
      <w:r w:rsidRPr="007C6417">
        <w:rPr>
          <w:color w:val="000000"/>
          <w:lang w:val="en-US"/>
        </w:rPr>
        <w:t>ροειρημέν</w:t>
      </w:r>
      <w:proofErr w:type="spellEnd"/>
      <w:r w:rsidRPr="007C6417">
        <w:rPr>
          <w:color w:val="000000"/>
          <w:lang w:val="en-US"/>
        </w:rPr>
        <w:t xml:space="preserve">α </w:t>
      </w:r>
      <w:proofErr w:type="spellStart"/>
      <w:r w:rsidRPr="007C6417">
        <w:rPr>
          <w:color w:val="000000"/>
          <w:lang w:val="en-US"/>
        </w:rPr>
        <w:t>σχήμ</w:t>
      </w:r>
      <w:proofErr w:type="spellEnd"/>
      <w:r w:rsidRPr="007C6417">
        <w:rPr>
          <w:color w:val="000000"/>
          <w:lang w:val="en-US"/>
        </w:rPr>
        <w:t xml:space="preserve">ατα, </w:t>
      </w:r>
      <w:proofErr w:type="spellStart"/>
      <w:r w:rsidRPr="007C6417">
        <w:rPr>
          <w:color w:val="000000"/>
          <w:lang w:val="en-US"/>
        </w:rPr>
        <w:t>τέλος</w:t>
      </w:r>
      <w:proofErr w:type="spellEnd"/>
      <w:r w:rsidRPr="007C6417">
        <w:rPr>
          <w:color w:val="000000"/>
          <w:lang w:val="en-US"/>
        </w:rPr>
        <w:t xml:space="preserve"> </w:t>
      </w:r>
      <w:proofErr w:type="spellStart"/>
      <w:r w:rsidRPr="007C6417">
        <w:rPr>
          <w:color w:val="000000"/>
          <w:lang w:val="en-US"/>
        </w:rPr>
        <w:t>ἂν</w:t>
      </w:r>
      <w:proofErr w:type="spellEnd"/>
      <w:r w:rsidRPr="007C6417">
        <w:rPr>
          <w:color w:val="000000"/>
          <w:lang w:val="en-US"/>
        </w:rPr>
        <w:t xml:space="preserve"> </w:t>
      </w:r>
      <w:proofErr w:type="spellStart"/>
      <w:r w:rsidRPr="007C6417">
        <w:rPr>
          <w:color w:val="000000"/>
          <w:lang w:val="en-US"/>
        </w:rPr>
        <w:t>ἔχοι</w:t>
      </w:r>
      <w:proofErr w:type="spellEnd"/>
      <w:r w:rsidRPr="007C6417">
        <w:rPr>
          <w:color w:val="000000"/>
          <w:lang w:val="en-US"/>
        </w:rPr>
        <w:t xml:space="preserve"> ἡ </w:t>
      </w:r>
      <w:proofErr w:type="spellStart"/>
      <w:r w:rsidRPr="007C6417">
        <w:rPr>
          <w:color w:val="000000"/>
          <w:lang w:val="en-US"/>
        </w:rPr>
        <w:t>ἐξ</w:t>
      </w:r>
      <w:proofErr w:type="spellEnd"/>
      <w:r w:rsidRPr="007C6417">
        <w:rPr>
          <w:color w:val="000000"/>
          <w:lang w:val="en-US"/>
        </w:rPr>
        <w:t xml:space="preserve"> </w:t>
      </w:r>
      <w:proofErr w:type="spellStart"/>
      <w:r w:rsidRPr="007C6417">
        <w:rPr>
          <w:color w:val="000000"/>
          <w:lang w:val="en-US"/>
        </w:rPr>
        <w:t>ἀρχῆς</w:t>
      </w:r>
      <w:proofErr w:type="spellEnd"/>
      <w:r w:rsidRPr="007C6417">
        <w:rPr>
          <w:color w:val="000000"/>
          <w:lang w:val="en-US"/>
        </w:rPr>
        <w:t xml:space="preserve"> π</w:t>
      </w:r>
      <w:proofErr w:type="spellStart"/>
      <w:r w:rsidRPr="007C6417">
        <w:rPr>
          <w:color w:val="000000"/>
          <w:lang w:val="en-US"/>
        </w:rPr>
        <w:t>ρόθεσις</w:t>
      </w:r>
      <w:proofErr w:type="spellEnd"/>
      <w:r w:rsidRPr="007C6417">
        <w:rPr>
          <w:color w:val="000000"/>
          <w:lang w:val="en-US"/>
        </w:rPr>
        <w:t>. (47a2–5)</w:t>
      </w:r>
    </w:p>
    <w:p w14:paraId="392C9E42" w14:textId="4604F614" w:rsidR="00304420" w:rsidRPr="007C6417" w:rsidRDefault="00304420" w:rsidP="00304420">
      <w:pPr>
        <w:pStyle w:val="NormalWeb"/>
        <w:rPr>
          <w:color w:val="000000"/>
          <w:lang w:val="en-US"/>
        </w:rPr>
      </w:pPr>
      <w:r w:rsidRPr="007C6417">
        <w:rPr>
          <w:color w:val="000000"/>
          <w:lang w:val="en-US"/>
        </w:rPr>
        <w:t xml:space="preserve">For if we were to examine the generation of syllogisms and possess the capacity to discover them, and if we were moreover to analyze existing syllogisms into the figures </w:t>
      </w:r>
      <w:proofErr w:type="gramStart"/>
      <w:r w:rsidRPr="007C6417">
        <w:rPr>
          <w:color w:val="000000"/>
          <w:lang w:val="en-US"/>
        </w:rPr>
        <w:t>previously described,</w:t>
      </w:r>
      <w:proofErr w:type="gramEnd"/>
      <w:r w:rsidRPr="007C6417">
        <w:rPr>
          <w:color w:val="000000"/>
          <w:lang w:val="en-US"/>
        </w:rPr>
        <w:t xml:space="preserve"> the aim we set ourselves from the outset would have been achieved.</w:t>
      </w:r>
      <w:r w:rsidR="006C377D" w:rsidRPr="007C6417">
        <w:rPr>
          <w:rStyle w:val="FootnoteReference"/>
          <w:color w:val="000000"/>
          <w:lang w:val="en-US"/>
        </w:rPr>
        <w:footnoteReference w:id="33"/>
      </w:r>
    </w:p>
    <w:p w14:paraId="7FC01DD1" w14:textId="77777777" w:rsidR="00304420" w:rsidRPr="007C6417" w:rsidRDefault="00304420" w:rsidP="00304420">
      <w:pPr>
        <w:pStyle w:val="NormalWeb"/>
        <w:rPr>
          <w:color w:val="000000"/>
          <w:lang w:val="en-US"/>
        </w:rPr>
      </w:pPr>
      <w:r w:rsidRPr="007C6417">
        <w:rPr>
          <w:color w:val="000000"/>
          <w:lang w:val="en-US"/>
        </w:rPr>
        <w:t xml:space="preserve">It is worth noting here that analysis in this sense coincides with a procedure for establishing that a given argument is valid. For if we have an argument under examination and succeed in “analyzing it into the above figures,” we thereby render it valid, since those </w:t>
      </w:r>
      <w:proofErr w:type="gramStart"/>
      <w:r w:rsidRPr="007C6417">
        <w:rPr>
          <w:color w:val="000000"/>
          <w:lang w:val="en-US"/>
        </w:rPr>
        <w:t>figures</w:t>
      </w:r>
      <w:proofErr w:type="gramEnd"/>
      <w:r w:rsidRPr="007C6417">
        <w:rPr>
          <w:color w:val="000000"/>
          <w:lang w:val="en-US"/>
        </w:rPr>
        <w:t xml:space="preserve"> themselves are valid. On the other hand, at 50a30 and 50b3 Aristotle admits that analysis in this sense (sense 1) is not always possible. Nevertheless, analysis of this kind is one of Aristotle’s central concerns, as emerges from chapters I.23 and I.32.</w:t>
      </w:r>
    </w:p>
    <w:p w14:paraId="0844E4F3" w14:textId="34648F01" w:rsidR="00304420" w:rsidRPr="007C6417" w:rsidRDefault="00304420" w:rsidP="00304420">
      <w:pPr>
        <w:pStyle w:val="NormalWeb"/>
        <w:rPr>
          <w:color w:val="000000"/>
          <w:lang w:val="en-US"/>
        </w:rPr>
      </w:pPr>
      <w:r w:rsidRPr="007C6417">
        <w:rPr>
          <w:color w:val="000000"/>
          <w:lang w:val="en-US"/>
        </w:rPr>
        <w:t>Aristotle also speaks of analysis when he refers to the reduction of imperfect syllogisms to perfect ones</w:t>
      </w:r>
      <w:r w:rsidR="006C377D" w:rsidRPr="007C6417">
        <w:rPr>
          <w:rStyle w:val="FootnoteReference"/>
          <w:color w:val="000000"/>
          <w:lang w:val="en-US"/>
        </w:rPr>
        <w:footnoteReference w:id="34"/>
      </w:r>
      <w:r w:rsidRPr="007C6417">
        <w:rPr>
          <w:color w:val="000000"/>
          <w:lang w:val="en-US"/>
        </w:rPr>
        <w:t xml:space="preserve"> (</w:t>
      </w:r>
      <w:proofErr w:type="spellStart"/>
      <w:r w:rsidRPr="007C6417">
        <w:rPr>
          <w:color w:val="000000"/>
          <w:lang w:val="en-US"/>
        </w:rPr>
        <w:t>ch.</w:t>
      </w:r>
      <w:proofErr w:type="spellEnd"/>
      <w:r w:rsidRPr="007C6417">
        <w:rPr>
          <w:color w:val="000000"/>
          <w:lang w:val="en-US"/>
        </w:rPr>
        <w:t xml:space="preserve"> 45, 51a2–3, 18–19, 22–28) (sense 2). It is clear that analysis in sense 2 is a subcase of sense 1, insofar as imperfect syllogisms are themselves arguments. The difference is simply that here the reduction is to perfect syllogisms, rather than to Aristotelian syllogisms in general. In his commentary, Alexander discusses the different senses of analysis and argues that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rStyle w:val="apple-converted-space"/>
          <w:rFonts w:eastAsiaTheme="majorEastAsia"/>
          <w:color w:val="000000"/>
          <w:lang w:val="en-US"/>
        </w:rPr>
        <w:t> </w:t>
      </w:r>
      <w:r w:rsidRPr="007C6417">
        <w:rPr>
          <w:color w:val="000000"/>
          <w:lang w:val="en-US"/>
        </w:rPr>
        <w:t>owe their name primarily to analysis in these two senses.</w:t>
      </w:r>
      <w:r w:rsidR="006C377D" w:rsidRPr="007C6417">
        <w:rPr>
          <w:rStyle w:val="FootnoteReference"/>
          <w:color w:val="000000"/>
          <w:lang w:val="en-US"/>
        </w:rPr>
        <w:footnoteReference w:id="35"/>
      </w:r>
      <w:r w:rsidRPr="007C6417">
        <w:rPr>
          <w:color w:val="000000"/>
          <w:lang w:val="en-US"/>
        </w:rPr>
        <w:t xml:space="preserve"> In both of these senses of analysis, what is at issue is the checking of the validity of a syllogism or argument.</w:t>
      </w:r>
    </w:p>
    <w:p w14:paraId="268BC4A5" w14:textId="06082E5B" w:rsidR="00304420" w:rsidRPr="007C6417" w:rsidRDefault="00304420" w:rsidP="00304420">
      <w:pPr>
        <w:pStyle w:val="NormalWeb"/>
        <w:rPr>
          <w:color w:val="000000"/>
          <w:lang w:val="en-US"/>
        </w:rPr>
      </w:pPr>
      <w:r w:rsidRPr="007C6417">
        <w:rPr>
          <w:color w:val="000000"/>
          <w:lang w:val="en-US"/>
        </w:rPr>
        <w:t xml:space="preserve">Ammonius </w:t>
      </w:r>
      <w:proofErr w:type="spellStart"/>
      <w:r w:rsidRPr="007C6417">
        <w:rPr>
          <w:color w:val="000000"/>
          <w:lang w:val="en-US"/>
        </w:rPr>
        <w:t>Hermiae</w:t>
      </w:r>
      <w:proofErr w:type="spellEnd"/>
      <w:r w:rsidRPr="007C6417">
        <w:rPr>
          <w:color w:val="000000"/>
          <w:lang w:val="en-US"/>
        </w:rPr>
        <w:t>, by contrast, understands analysis as the discovery of the demonstration (5.28), that is, the way in which one can proceed back from the conclusion one seeks to prove to the premisses that may support it (sense 3). Ammonius—who clearly knew Alexander’s commentary</w:t>
      </w:r>
      <w:r w:rsidR="006C377D" w:rsidRPr="007C6417">
        <w:rPr>
          <w:rStyle w:val="FootnoteReference"/>
          <w:color w:val="000000"/>
          <w:lang w:val="en-US"/>
        </w:rPr>
        <w:footnoteReference w:id="36"/>
      </w:r>
      <w:r w:rsidRPr="007C6417">
        <w:rPr>
          <w:color w:val="000000"/>
          <w:lang w:val="en-US"/>
        </w:rPr>
        <w:t xml:space="preserve">—also lists several further possible senses of analysis, such as philosophical analysis, that is, the transition from </w:t>
      </w:r>
      <w:proofErr w:type="spellStart"/>
      <w:r w:rsidRPr="007C6417">
        <w:rPr>
          <w:color w:val="000000"/>
          <w:lang w:val="en-US"/>
        </w:rPr>
        <w:t>sensibles</w:t>
      </w:r>
      <w:proofErr w:type="spellEnd"/>
      <w:r w:rsidRPr="007C6417">
        <w:rPr>
          <w:color w:val="000000"/>
          <w:lang w:val="en-US"/>
        </w:rPr>
        <w:t xml:space="preserve"> to </w:t>
      </w:r>
      <w:proofErr w:type="spellStart"/>
      <w:r w:rsidRPr="007C6417">
        <w:rPr>
          <w:color w:val="000000"/>
          <w:lang w:val="en-US"/>
        </w:rPr>
        <w:t>intelligibles</w:t>
      </w:r>
      <w:proofErr w:type="spellEnd"/>
      <w:r w:rsidRPr="007C6417">
        <w:rPr>
          <w:color w:val="000000"/>
          <w:lang w:val="en-US"/>
        </w:rPr>
        <w:t xml:space="preserve"> (sense 4). Moreover, Ammonius </w:t>
      </w:r>
      <w:r w:rsidRPr="007C6417">
        <w:rPr>
          <w:color w:val="000000"/>
          <w:lang w:val="en-US"/>
        </w:rPr>
        <w:lastRenderedPageBreak/>
        <w:t>regards analysis as one of the four dialectical methods, together with division, definition, and demonstration, which he claims Plato had invented and employed in his dialogues: division and definition in the</w:t>
      </w:r>
      <w:r w:rsidRPr="007C6417">
        <w:rPr>
          <w:rStyle w:val="apple-converted-space"/>
          <w:rFonts w:eastAsiaTheme="majorEastAsia"/>
          <w:color w:val="000000"/>
          <w:lang w:val="en-US"/>
        </w:rPr>
        <w:t> </w:t>
      </w:r>
      <w:r w:rsidRPr="007C6417">
        <w:rPr>
          <w:rStyle w:val="Emphasis"/>
          <w:rFonts w:eastAsiaTheme="majorEastAsia"/>
          <w:color w:val="000000"/>
          <w:lang w:val="en-US"/>
        </w:rPr>
        <w:t>Phaedrus</w:t>
      </w:r>
      <w:r w:rsidRPr="007C6417">
        <w:rPr>
          <w:color w:val="000000"/>
          <w:lang w:val="en-US"/>
        </w:rPr>
        <w:t>, analysis in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Philebus</w:t>
      </w:r>
      <w:proofErr w:type="spellEnd"/>
      <w:r w:rsidRPr="007C6417">
        <w:rPr>
          <w:color w:val="000000"/>
          <w:lang w:val="en-US"/>
        </w:rPr>
        <w:t>, and demonstration in other dialogues.</w:t>
      </w:r>
      <w:r w:rsidR="006C377D" w:rsidRPr="007C6417">
        <w:rPr>
          <w:rStyle w:val="FootnoteReference"/>
          <w:color w:val="000000"/>
          <w:lang w:val="en-US"/>
        </w:rPr>
        <w:footnoteReference w:id="37"/>
      </w:r>
      <w:r w:rsidRPr="007C6417">
        <w:rPr>
          <w:color w:val="000000"/>
          <w:lang w:val="en-US"/>
        </w:rPr>
        <w:t xml:space="preserve"> Ammonius’ conception of the four dialectical methods and their use by Plato already appears in Alcinous’ </w:t>
      </w:r>
      <w:proofErr w:type="spellStart"/>
      <w:r w:rsidRPr="007C6417">
        <w:rPr>
          <w:i/>
          <w:iCs/>
          <w:color w:val="000000"/>
          <w:lang w:val="en-US"/>
        </w:rPr>
        <w:t>Didaskalikos</w:t>
      </w:r>
      <w:proofErr w:type="spellEnd"/>
      <w:r w:rsidRPr="007C6417">
        <w:rPr>
          <w:color w:val="000000"/>
          <w:lang w:val="en-US"/>
        </w:rPr>
        <w:t>, a text from the late 2nd century CE.</w:t>
      </w:r>
      <w:r w:rsidR="006C377D" w:rsidRPr="007C6417">
        <w:rPr>
          <w:rStyle w:val="FootnoteReference"/>
          <w:color w:val="000000"/>
          <w:lang w:val="en-US"/>
        </w:rPr>
        <w:footnoteReference w:id="38"/>
      </w:r>
      <w:r w:rsidRPr="007C6417">
        <w:rPr>
          <w:color w:val="000000"/>
          <w:lang w:val="en-US"/>
        </w:rPr>
        <w:t xml:space="preserve"> In this sense, analysis is a logical method found within the toolkit of Platonic dialectic. Ammonius even adds that analysis is a logical procedure more important (</w:t>
      </w:r>
      <w:proofErr w:type="spellStart"/>
      <w:r w:rsidRPr="007C6417">
        <w:rPr>
          <w:i/>
          <w:iCs/>
          <w:color w:val="000000"/>
          <w:lang w:val="en-US"/>
        </w:rPr>
        <w:t>τιμιωτέρ</w:t>
      </w:r>
      <w:proofErr w:type="spellEnd"/>
      <w:r w:rsidRPr="007C6417">
        <w:rPr>
          <w:i/>
          <w:iCs/>
          <w:color w:val="000000"/>
          <w:lang w:val="en-US"/>
        </w:rPr>
        <w:t>α</w:t>
      </w:r>
      <w:r w:rsidRPr="007C6417">
        <w:rPr>
          <w:color w:val="000000"/>
          <w:lang w:val="en-US"/>
        </w:rPr>
        <w:t>) than synthesis. For whoever knows how to analyze, he argues, also knows how to synthesize, whereas the converse, in his view, does not hold.</w:t>
      </w:r>
      <w:r w:rsidR="00020E6D" w:rsidRPr="007C6417">
        <w:rPr>
          <w:rStyle w:val="FootnoteReference"/>
          <w:color w:val="000000"/>
          <w:lang w:val="en-US"/>
        </w:rPr>
        <w:footnoteReference w:id="39"/>
      </w:r>
    </w:p>
    <w:p w14:paraId="5B03AA08" w14:textId="05F142F5"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 xml:space="preserve">Most of Ammonius’ views concerning the title “Analytics” are also adopted by two Alexandrian pupils of his and commentators on the work, </w:t>
      </w:r>
      <w:proofErr w:type="spellStart"/>
      <w:r w:rsidRPr="007C6417">
        <w:rPr>
          <w:rFonts w:ascii="Times New Roman" w:eastAsia="Times New Roman" w:hAnsi="Times New Roman" w:cs="Times New Roman"/>
          <w:color w:val="000000"/>
          <w:lang w:val="en-US" w:eastAsia="en-GB"/>
        </w:rPr>
        <w:t>Philoponus</w:t>
      </w:r>
      <w:proofErr w:type="spellEnd"/>
      <w:r w:rsidR="00020E6D" w:rsidRPr="007C6417">
        <w:rPr>
          <w:rStyle w:val="FootnoteReference"/>
          <w:rFonts w:ascii="Times New Roman" w:eastAsia="Times New Roman" w:hAnsi="Times New Roman" w:cs="Times New Roman"/>
          <w:color w:val="000000"/>
          <w:lang w:val="en-US" w:eastAsia="en-GB"/>
        </w:rPr>
        <w:footnoteReference w:id="40"/>
      </w:r>
      <w:r w:rsidRPr="007C6417">
        <w:rPr>
          <w:rFonts w:ascii="Times New Roman" w:eastAsia="Times New Roman" w:hAnsi="Times New Roman" w:cs="Times New Roman"/>
          <w:color w:val="000000"/>
          <w:lang w:val="en-US" w:eastAsia="en-GB"/>
        </w:rPr>
        <w:t xml:space="preserve"> and David.</w:t>
      </w:r>
      <w:r w:rsidR="00020E6D" w:rsidRPr="007C6417">
        <w:rPr>
          <w:rStyle w:val="FootnoteReference"/>
          <w:rFonts w:ascii="Times New Roman" w:eastAsia="Times New Roman" w:hAnsi="Times New Roman" w:cs="Times New Roman"/>
          <w:color w:val="000000"/>
          <w:lang w:val="en-US" w:eastAsia="en-GB"/>
        </w:rPr>
        <w:footnoteReference w:id="41"/>
      </w:r>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Philoponus</w:t>
      </w:r>
      <w:proofErr w:type="spellEnd"/>
      <w:r w:rsidRPr="007C6417">
        <w:rPr>
          <w:rFonts w:ascii="Times New Roman" w:eastAsia="Times New Roman" w:hAnsi="Times New Roman" w:cs="Times New Roman"/>
          <w:color w:val="000000"/>
          <w:lang w:val="en-US" w:eastAsia="en-GB"/>
        </w:rPr>
        <w:t>, for example, raises the question why the Aristotelian work does not bear the title </w:t>
      </w:r>
      <w:r w:rsidRPr="007C6417">
        <w:rPr>
          <w:rFonts w:ascii="Times New Roman" w:eastAsia="Times New Roman" w:hAnsi="Times New Roman" w:cs="Times New Roman"/>
          <w:i/>
          <w:iCs/>
          <w:color w:val="000000"/>
          <w:lang w:val="en-US" w:eastAsia="en-GB"/>
        </w:rPr>
        <w:t xml:space="preserve">Peri </w:t>
      </w:r>
      <w:proofErr w:type="spellStart"/>
      <w:r w:rsidRPr="007C6417">
        <w:rPr>
          <w:rFonts w:ascii="Times New Roman" w:eastAsia="Times New Roman" w:hAnsi="Times New Roman" w:cs="Times New Roman"/>
          <w:i/>
          <w:iCs/>
          <w:color w:val="000000"/>
          <w:lang w:val="en-US" w:eastAsia="en-GB"/>
        </w:rPr>
        <w:t>syllogismou</w:t>
      </w:r>
      <w:proofErr w:type="spellEnd"/>
      <w:r w:rsidRPr="007C6417">
        <w:rPr>
          <w:rFonts w:ascii="Times New Roman" w:eastAsia="Times New Roman" w:hAnsi="Times New Roman" w:cs="Times New Roman"/>
          <w:color w:val="000000"/>
          <w:lang w:val="en-US" w:eastAsia="en-GB"/>
        </w:rPr>
        <w:t> (“On Syllogism”), and argues that while the syllogism is indeed a synthesis of propositions, it is ultimately its analysis that assigns it to the appropriate syllogistic figure.</w:t>
      </w:r>
      <w:r w:rsidR="00147E85" w:rsidRPr="007C6417">
        <w:rPr>
          <w:rStyle w:val="FootnoteReference"/>
          <w:rFonts w:ascii="Times New Roman" w:eastAsia="Times New Roman" w:hAnsi="Times New Roman" w:cs="Times New Roman"/>
          <w:color w:val="000000"/>
          <w:lang w:val="en-US" w:eastAsia="en-GB"/>
        </w:rPr>
        <w:footnoteReference w:id="42"/>
      </w:r>
      <w:r w:rsidRPr="007C6417">
        <w:rPr>
          <w:rFonts w:ascii="Times New Roman" w:eastAsia="Times New Roman" w:hAnsi="Times New Roman" w:cs="Times New Roman"/>
          <w:color w:val="000000"/>
          <w:lang w:val="en-US" w:eastAsia="en-GB"/>
        </w:rPr>
        <w:t xml:space="preserve"> The Byzantines often refer to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under the title </w:t>
      </w:r>
      <w:r w:rsidRPr="007C6417">
        <w:rPr>
          <w:rFonts w:ascii="Times New Roman" w:eastAsia="Times New Roman" w:hAnsi="Times New Roman" w:cs="Times New Roman"/>
          <w:i/>
          <w:iCs/>
          <w:color w:val="000000"/>
          <w:lang w:val="en-US" w:eastAsia="en-GB"/>
        </w:rPr>
        <w:t>On the Three Figures</w:t>
      </w:r>
      <w:r w:rsidRPr="007C6417">
        <w:rPr>
          <w:rFonts w:ascii="Times New Roman" w:eastAsia="Times New Roman" w:hAnsi="Times New Roman" w:cs="Times New Roman"/>
          <w:color w:val="000000"/>
          <w:lang w:val="en-US" w:eastAsia="en-GB"/>
        </w:rPr>
        <w:t>, but this is most likely not a competing traditional title but rather a practical designation of the work for pedagogical purposes.</w:t>
      </w:r>
      <w:r w:rsidR="00020E6D" w:rsidRPr="007C6417">
        <w:rPr>
          <w:rStyle w:val="FootnoteReference"/>
          <w:rFonts w:ascii="Times New Roman" w:eastAsia="Times New Roman" w:hAnsi="Times New Roman" w:cs="Times New Roman"/>
          <w:color w:val="000000"/>
          <w:lang w:val="en-US" w:eastAsia="en-GB"/>
        </w:rPr>
        <w:footnoteReference w:id="43"/>
      </w:r>
    </w:p>
    <w:p w14:paraId="369EE8AC" w14:textId="1FBFD21D"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designation “Analytics” fits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better than the </w:t>
      </w:r>
      <w:r w:rsidRPr="007C6417">
        <w:rPr>
          <w:rFonts w:ascii="Times New Roman" w:eastAsia="Times New Roman" w:hAnsi="Times New Roman" w:cs="Times New Roman"/>
          <w:i/>
          <w:iCs/>
          <w:color w:val="000000"/>
          <w:lang w:val="en-US" w:eastAsia="en-GB"/>
        </w:rPr>
        <w:t>Posterior Analytics</w:t>
      </w:r>
      <w:r w:rsidRPr="007C6417">
        <w:rPr>
          <w:rFonts w:ascii="Times New Roman" w:eastAsia="Times New Roman" w:hAnsi="Times New Roman" w:cs="Times New Roman"/>
          <w:color w:val="000000"/>
          <w:lang w:val="en-US" w:eastAsia="en-GB"/>
        </w:rPr>
        <w:t>; yet Aristotle applies the title jointly to both works.</w:t>
      </w:r>
      <w:r w:rsidR="00147E85" w:rsidRPr="007C6417">
        <w:rPr>
          <w:rStyle w:val="FootnoteReference"/>
          <w:rFonts w:ascii="Times New Roman" w:eastAsia="Times New Roman" w:hAnsi="Times New Roman" w:cs="Times New Roman"/>
          <w:color w:val="000000"/>
          <w:lang w:val="en-US" w:eastAsia="en-GB"/>
        </w:rPr>
        <w:footnoteReference w:id="44"/>
      </w:r>
      <w:r w:rsidRPr="007C6417">
        <w:rPr>
          <w:rFonts w:ascii="Times New Roman" w:eastAsia="Times New Roman" w:hAnsi="Times New Roman" w:cs="Times New Roman"/>
          <w:color w:val="000000"/>
          <w:lang w:val="en-US" w:eastAsia="en-GB"/>
        </w:rPr>
        <w:t xml:space="preserve"> In the case of the </w:t>
      </w:r>
      <w:r w:rsidRPr="007C6417">
        <w:rPr>
          <w:rFonts w:ascii="Times New Roman" w:eastAsia="Times New Roman" w:hAnsi="Times New Roman" w:cs="Times New Roman"/>
          <w:i/>
          <w:iCs/>
          <w:color w:val="000000"/>
          <w:lang w:val="en-US" w:eastAsia="en-GB"/>
        </w:rPr>
        <w:t>Posterior Analytics</w:t>
      </w:r>
      <w:r w:rsidRPr="007C6417">
        <w:rPr>
          <w:rFonts w:ascii="Times New Roman" w:eastAsia="Times New Roman" w:hAnsi="Times New Roman" w:cs="Times New Roman"/>
          <w:color w:val="000000"/>
          <w:lang w:val="en-US" w:eastAsia="en-GB"/>
        </w:rPr>
        <w:t>, analysis is once again important, both insofar as the validity of arguments claiming to be demonstrations is again examined (senses 1 and 2 above), and insofar as it realizes the reduction of some truth we believe to hold to its scientific demonstration (sense 3). The syllogistic background of the </w:t>
      </w:r>
      <w:r w:rsidRPr="007C6417">
        <w:rPr>
          <w:rFonts w:ascii="Times New Roman" w:eastAsia="Times New Roman" w:hAnsi="Times New Roman" w:cs="Times New Roman"/>
          <w:i/>
          <w:iCs/>
          <w:color w:val="000000"/>
          <w:lang w:val="en-US" w:eastAsia="en-GB"/>
        </w:rPr>
        <w:t>Posterior Analytics</w:t>
      </w:r>
      <w:r w:rsidRPr="007C6417">
        <w:rPr>
          <w:rFonts w:ascii="Times New Roman" w:eastAsia="Times New Roman" w:hAnsi="Times New Roman" w:cs="Times New Roman"/>
          <w:color w:val="000000"/>
          <w:lang w:val="en-US" w:eastAsia="en-GB"/>
        </w:rPr>
        <w:t> thus ultimately makes the title “Analytics” appropriate for that work as well.</w:t>
      </w:r>
    </w:p>
    <w:p w14:paraId="0950DA51" w14:textId="77777777" w:rsidR="00304420" w:rsidRPr="007C6417" w:rsidRDefault="00304420" w:rsidP="00304420">
      <w:pPr>
        <w:spacing w:before="100" w:beforeAutospacing="1" w:after="100" w:afterAutospacing="1"/>
        <w:outlineLvl w:val="2"/>
        <w:rPr>
          <w:rFonts w:ascii="Times New Roman" w:eastAsia="Times New Roman" w:hAnsi="Times New Roman" w:cs="Times New Roman"/>
          <w:b/>
          <w:bCs/>
          <w:color w:val="000000"/>
          <w:sz w:val="27"/>
          <w:szCs w:val="27"/>
          <w:lang w:val="en-US" w:eastAsia="en-GB"/>
        </w:rPr>
      </w:pPr>
      <w:r w:rsidRPr="007C6417">
        <w:rPr>
          <w:rFonts w:ascii="Times New Roman" w:eastAsia="Times New Roman" w:hAnsi="Times New Roman" w:cs="Times New Roman"/>
          <w:b/>
          <w:bCs/>
          <w:color w:val="000000"/>
          <w:sz w:val="27"/>
          <w:szCs w:val="27"/>
          <w:lang w:val="en-US" w:eastAsia="en-GB"/>
        </w:rPr>
        <w:t>3. The reception of the work</w:t>
      </w:r>
    </w:p>
    <w:p w14:paraId="7DD40201" w14:textId="6E8B8FE1"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Aristotelian syllogistic, as presented in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exerted an enormous influence on the subsequent history of thought, which we sketch here only in very broad outline.</w:t>
      </w:r>
      <w:r w:rsidR="00147E85" w:rsidRPr="007C6417">
        <w:rPr>
          <w:rStyle w:val="FootnoteReference"/>
          <w:rFonts w:ascii="Times New Roman" w:eastAsia="Times New Roman" w:hAnsi="Times New Roman" w:cs="Times New Roman"/>
          <w:color w:val="000000"/>
          <w:lang w:val="en-US" w:eastAsia="en-GB"/>
        </w:rPr>
        <w:footnoteReference w:id="45"/>
      </w:r>
      <w:r w:rsidRPr="007C6417">
        <w:rPr>
          <w:rFonts w:ascii="Times New Roman" w:eastAsia="Times New Roman" w:hAnsi="Times New Roman" w:cs="Times New Roman"/>
          <w:color w:val="000000"/>
          <w:lang w:val="en-US" w:eastAsia="en-GB"/>
        </w:rPr>
        <w:t xml:space="preserve"> Until the end of the 19th century—when mathematical logic finally emerges with Frege—Aristotelian syllogistic remains dominant. Especially in antiquity and in the Middle Ages, Aristotelian logic in general, and Aristotelian syllogistic in particular, are accepted as a field that Aristotle brought to light and firmly established. For this reason, Aristotelians and Platonists alike study it, discuss it, and write commentaries on it.</w:t>
      </w:r>
    </w:p>
    <w:p w14:paraId="495DE37D" w14:textId="5D42042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It is interesting to note that while there is discussion of the </w:t>
      </w:r>
      <w:r w:rsidRPr="007C6417">
        <w:rPr>
          <w:rFonts w:ascii="Times New Roman" w:eastAsia="Times New Roman" w:hAnsi="Times New Roman" w:cs="Times New Roman"/>
          <w:i/>
          <w:iCs/>
          <w:color w:val="000000"/>
          <w:lang w:val="en-US" w:eastAsia="en-GB"/>
        </w:rPr>
        <w:t>Categories</w:t>
      </w:r>
      <w:r w:rsidRPr="007C6417">
        <w:rPr>
          <w:rFonts w:ascii="Times New Roman" w:eastAsia="Times New Roman" w:hAnsi="Times New Roman" w:cs="Times New Roman"/>
          <w:color w:val="000000"/>
          <w:lang w:val="en-US" w:eastAsia="en-GB"/>
        </w:rPr>
        <w:t xml:space="preserve"> already from the 1st century CE, the study of Aristotelian syllogistic—due to its complexity and technical nature—begins systematically later, apart from an initial phase with Theophrastus, namely </w:t>
      </w:r>
      <w:r w:rsidRPr="007C6417">
        <w:rPr>
          <w:rFonts w:ascii="Times New Roman" w:eastAsia="Times New Roman" w:hAnsi="Times New Roman" w:cs="Times New Roman"/>
          <w:color w:val="000000"/>
          <w:lang w:val="en-US" w:eastAsia="en-GB"/>
        </w:rPr>
        <w:lastRenderedPageBreak/>
        <w:t>with Alexander at the end of the 2nd century CE. The history of the presence and interpretation of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could be divided into three parts: (a) late antiquity, (b) the Greek and Latin Middle Ages, and (c) the Renaissance and the modern period.</w:t>
      </w:r>
      <w:r w:rsidR="00147E85" w:rsidRPr="007C6417">
        <w:rPr>
          <w:rStyle w:val="FootnoteReference"/>
          <w:rFonts w:ascii="Times New Roman" w:eastAsia="Times New Roman" w:hAnsi="Times New Roman" w:cs="Times New Roman"/>
          <w:color w:val="000000"/>
          <w:lang w:val="en-US" w:eastAsia="en-GB"/>
        </w:rPr>
        <w:footnoteReference w:id="46"/>
      </w:r>
    </w:p>
    <w:p w14:paraId="130D9B82" w14:textId="0668E01B"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first reference to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occurs in the </w:t>
      </w:r>
      <w:r w:rsidRPr="007C6417">
        <w:rPr>
          <w:rFonts w:ascii="Times New Roman" w:eastAsia="Times New Roman" w:hAnsi="Times New Roman" w:cs="Times New Roman"/>
          <w:i/>
          <w:iCs/>
          <w:color w:val="000000"/>
          <w:lang w:val="en-US" w:eastAsia="en-GB"/>
        </w:rPr>
        <w:t>Magna Moralia</w:t>
      </w:r>
      <w:r w:rsidRPr="007C6417">
        <w:rPr>
          <w:rFonts w:ascii="Times New Roman" w:eastAsia="Times New Roman" w:hAnsi="Times New Roman" w:cs="Times New Roman"/>
          <w:color w:val="000000"/>
          <w:lang w:val="en-US" w:eastAsia="en-GB"/>
        </w:rPr>
        <w:t xml:space="preserve"> (II.6, 1201b19–33), of uncertain date but, at the latest, from the time of Theophrastus. The reference is not </w:t>
      </w:r>
      <w:proofErr w:type="gramStart"/>
      <w:r w:rsidRPr="007C6417">
        <w:rPr>
          <w:rFonts w:ascii="Times New Roman" w:eastAsia="Times New Roman" w:hAnsi="Times New Roman" w:cs="Times New Roman"/>
          <w:color w:val="000000"/>
          <w:lang w:val="en-US" w:eastAsia="en-GB"/>
        </w:rPr>
        <w:t>incidental, but</w:t>
      </w:r>
      <w:proofErr w:type="gramEnd"/>
      <w:r w:rsidRPr="007C6417">
        <w:rPr>
          <w:rFonts w:ascii="Times New Roman" w:eastAsia="Times New Roman" w:hAnsi="Times New Roman" w:cs="Times New Roman"/>
          <w:color w:val="000000"/>
          <w:lang w:val="en-US" w:eastAsia="en-GB"/>
        </w:rPr>
        <w:t xml:space="preserve"> aims to explain how the incontinent person fails to reason syllogistically, insofar as he ignores the particular premiss of the syllogism that would have led him to the conclusion. The ancient Peripatetics, successors of Aristotle, engage only to a limited extent with syllogistic. We know of the relevant work of Theophrastus and </w:t>
      </w:r>
      <w:proofErr w:type="spellStart"/>
      <w:r w:rsidRPr="007C6417">
        <w:rPr>
          <w:rFonts w:ascii="Times New Roman" w:eastAsia="Times New Roman" w:hAnsi="Times New Roman" w:cs="Times New Roman"/>
          <w:color w:val="000000"/>
          <w:lang w:val="en-US" w:eastAsia="en-GB"/>
        </w:rPr>
        <w:t>Eudemus</w:t>
      </w:r>
      <w:proofErr w:type="spellEnd"/>
      <w:r w:rsidRPr="007C6417">
        <w:rPr>
          <w:rFonts w:ascii="Times New Roman" w:eastAsia="Times New Roman" w:hAnsi="Times New Roman" w:cs="Times New Roman"/>
          <w:color w:val="000000"/>
          <w:lang w:val="en-US" w:eastAsia="en-GB"/>
        </w:rPr>
        <w:t>. Both concern themselves with syllogistic, although we possess only limited fragments and testimonies from their respective works. We do know, for example, that Theophrastus shows particular interest in hypothetical syllogisms, which Aristotle does not develop further,</w:t>
      </w:r>
      <w:r w:rsidR="00147E85" w:rsidRPr="007C6417">
        <w:rPr>
          <w:rStyle w:val="FootnoteReference"/>
          <w:rFonts w:ascii="Times New Roman" w:eastAsia="Times New Roman" w:hAnsi="Times New Roman" w:cs="Times New Roman"/>
          <w:color w:val="000000"/>
          <w:lang w:val="en-US" w:eastAsia="en-GB"/>
        </w:rPr>
        <w:footnoteReference w:id="47"/>
      </w:r>
      <w:r w:rsidRPr="007C6417">
        <w:rPr>
          <w:rFonts w:ascii="Times New Roman" w:eastAsia="Times New Roman" w:hAnsi="Times New Roman" w:cs="Times New Roman"/>
          <w:color w:val="000000"/>
          <w:lang w:val="en-US" w:eastAsia="en-GB"/>
        </w:rPr>
        <w:t xml:space="preserve"> while both also show an interest in </w:t>
      </w:r>
      <w:r w:rsidRPr="007C6417">
        <w:rPr>
          <w:rFonts w:ascii="Times New Roman" w:hAnsi="Times New Roman" w:cs="Times New Roman"/>
          <w:color w:val="000000"/>
          <w:lang w:val="en-US"/>
        </w:rPr>
        <w:t xml:space="preserve">modal logic and make some </w:t>
      </w:r>
      <w:proofErr w:type="gramStart"/>
      <w:r w:rsidRPr="007C6417">
        <w:rPr>
          <w:rFonts w:ascii="Times New Roman" w:hAnsi="Times New Roman" w:cs="Times New Roman"/>
          <w:color w:val="000000"/>
          <w:lang w:val="en-US"/>
        </w:rPr>
        <w:t>interesting related</w:t>
      </w:r>
      <w:proofErr w:type="gramEnd"/>
      <w:r w:rsidRPr="007C6417">
        <w:rPr>
          <w:rFonts w:ascii="Times New Roman" w:hAnsi="Times New Roman" w:cs="Times New Roman"/>
          <w:color w:val="000000"/>
          <w:lang w:val="en-US"/>
        </w:rPr>
        <w:t xml:space="preserve"> proposals, such as, for example, proposing an analogy between categorical and modal logic. They introduce the rule—thereby essentially criticizing Aristotle himself—that the conclusion of a modal syllogism cannot be stronger than that of the weakest premiss. They also maintain that universal negative modal premisses convert as well.</w:t>
      </w:r>
      <w:r w:rsidR="00147E85" w:rsidRPr="007C6417">
        <w:rPr>
          <w:rStyle w:val="FootnoteReference"/>
          <w:rFonts w:ascii="Times New Roman" w:hAnsi="Times New Roman" w:cs="Times New Roman"/>
          <w:color w:val="000000"/>
          <w:lang w:val="en-US"/>
        </w:rPr>
        <w:footnoteReference w:id="48"/>
      </w:r>
    </w:p>
    <w:p w14:paraId="0C1388DF" w14:textId="77777777" w:rsidR="00304420" w:rsidRPr="007C6417" w:rsidRDefault="00304420" w:rsidP="00304420">
      <w:pPr>
        <w:pStyle w:val="NormalWeb"/>
        <w:rPr>
          <w:color w:val="000000"/>
          <w:lang w:val="en-US"/>
        </w:rPr>
      </w:pPr>
      <w:r w:rsidRPr="007C6417">
        <w:rPr>
          <w:color w:val="000000"/>
          <w:lang w:val="en-US"/>
        </w:rPr>
        <w:t>Interest in syllogistic is not particularly strong among the Peripatetics of the Hellenistic period. It will be revived in late antiquity.</w:t>
      </w:r>
    </w:p>
    <w:p w14:paraId="647680CA" w14:textId="2D982990" w:rsidR="00304420" w:rsidRPr="007C6417" w:rsidRDefault="00304420" w:rsidP="00304420">
      <w:pPr>
        <w:pStyle w:val="NormalWeb"/>
        <w:rPr>
          <w:color w:val="000000"/>
          <w:lang w:val="en-US"/>
        </w:rPr>
      </w:pPr>
      <w:r w:rsidRPr="007C6417">
        <w:rPr>
          <w:color w:val="000000"/>
          <w:lang w:val="en-US"/>
        </w:rPr>
        <w:t xml:space="preserve">The Peripatetics Ariston and </w:t>
      </w:r>
      <w:proofErr w:type="spellStart"/>
      <w:r w:rsidRPr="007C6417">
        <w:rPr>
          <w:color w:val="000000"/>
          <w:lang w:val="en-US"/>
        </w:rPr>
        <w:t>Boethus</w:t>
      </w:r>
      <w:proofErr w:type="spellEnd"/>
      <w:r w:rsidRPr="007C6417">
        <w:rPr>
          <w:color w:val="000000"/>
          <w:lang w:val="en-US"/>
        </w:rPr>
        <w:t xml:space="preserve"> (1st century BCE), who represent the revival of the </w:t>
      </w:r>
      <w:proofErr w:type="spellStart"/>
      <w:r w:rsidRPr="007C6417">
        <w:rPr>
          <w:color w:val="000000"/>
          <w:lang w:val="en-US"/>
        </w:rPr>
        <w:t>Peripatos</w:t>
      </w:r>
      <w:proofErr w:type="spellEnd"/>
      <w:r w:rsidRPr="007C6417">
        <w:rPr>
          <w:color w:val="000000"/>
          <w:lang w:val="en-US"/>
        </w:rPr>
        <w:t xml:space="preserve"> in the 1st century BCE, appear both to have written on Aristotelian syllogistic and to have put forward some interesting proposals. It is reported that Ariston proposed certain additional syllogisms—three in the first figure and two in the second.</w:t>
      </w:r>
      <w:r w:rsidR="00147E85" w:rsidRPr="007C6417">
        <w:rPr>
          <w:rStyle w:val="FootnoteReference"/>
          <w:color w:val="000000"/>
          <w:lang w:val="en-US"/>
        </w:rPr>
        <w:footnoteReference w:id="49"/>
      </w:r>
      <w:r w:rsidRPr="007C6417">
        <w:rPr>
          <w:color w:val="000000"/>
          <w:lang w:val="en-US"/>
        </w:rPr>
        <w:t xml:space="preserve"> </w:t>
      </w:r>
      <w:proofErr w:type="spellStart"/>
      <w:r w:rsidRPr="007C6417">
        <w:rPr>
          <w:color w:val="000000"/>
          <w:lang w:val="en-US"/>
        </w:rPr>
        <w:t>Boethus</w:t>
      </w:r>
      <w:proofErr w:type="spellEnd"/>
      <w:r w:rsidRPr="007C6417">
        <w:rPr>
          <w:color w:val="000000"/>
          <w:lang w:val="en-US"/>
        </w:rPr>
        <w:t>, on the other hand, is reported to have regarded the syllogisms of the second and third figures as perfect as well, a view that seems to have been held already by Theophrastus and later by Porphyry.</w:t>
      </w:r>
      <w:r w:rsidR="00147E85" w:rsidRPr="007C6417">
        <w:rPr>
          <w:rStyle w:val="FootnoteReference"/>
          <w:color w:val="000000"/>
          <w:lang w:val="en-US"/>
        </w:rPr>
        <w:footnoteReference w:id="50"/>
      </w:r>
      <w:r w:rsidRPr="007C6417">
        <w:rPr>
          <w:color w:val="000000"/>
          <w:lang w:val="en-US"/>
        </w:rPr>
        <w:t xml:space="preserve"> It is also reported that Alexander’s teacher, </w:t>
      </w:r>
      <w:proofErr w:type="spellStart"/>
      <w:r w:rsidRPr="007C6417">
        <w:rPr>
          <w:color w:val="000000"/>
          <w:lang w:val="en-US"/>
        </w:rPr>
        <w:t>Herminus</w:t>
      </w:r>
      <w:proofErr w:type="spellEnd"/>
      <w:r w:rsidRPr="007C6417">
        <w:rPr>
          <w:color w:val="000000"/>
          <w:lang w:val="en-US"/>
        </w:rPr>
        <w:t>, wrote a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as well as on the</w:t>
      </w:r>
      <w:r w:rsidRPr="007C6417">
        <w:rPr>
          <w:rStyle w:val="apple-converted-space"/>
          <w:rFonts w:eastAsiaTheme="majorEastAsia"/>
          <w:color w:val="000000"/>
          <w:lang w:val="en-US"/>
        </w:rPr>
        <w:t> </w:t>
      </w:r>
      <w:r w:rsidRPr="007C6417">
        <w:rPr>
          <w:rStyle w:val="Emphasis"/>
          <w:rFonts w:eastAsiaTheme="majorEastAsia"/>
          <w:color w:val="000000"/>
          <w:lang w:val="en-US"/>
        </w:rPr>
        <w:t>Categories</w:t>
      </w:r>
      <w:r w:rsidRPr="007C6417">
        <w:rPr>
          <w:color w:val="000000"/>
          <w:lang w:val="en-US"/>
        </w:rPr>
        <w:t>,</w:t>
      </w:r>
      <w:r w:rsidRPr="007C6417">
        <w:rPr>
          <w:rStyle w:val="apple-converted-space"/>
          <w:rFonts w:eastAsiaTheme="majorEastAsia"/>
          <w:color w:val="000000"/>
          <w:lang w:val="en-US"/>
        </w:rPr>
        <w:t> </w:t>
      </w:r>
      <w:r w:rsidRPr="007C6417">
        <w:rPr>
          <w:rStyle w:val="Emphasis"/>
          <w:rFonts w:eastAsiaTheme="majorEastAsia"/>
          <w:color w:val="000000"/>
          <w:lang w:val="en-US"/>
        </w:rPr>
        <w:t>On Interpretation</w:t>
      </w:r>
      <w:r w:rsidRPr="007C6417">
        <w:rPr>
          <w:color w:val="000000"/>
          <w:lang w:val="en-US"/>
        </w:rPr>
        <w:t>, and the</w:t>
      </w:r>
      <w:r w:rsidRPr="007C6417">
        <w:rPr>
          <w:rStyle w:val="apple-converted-space"/>
          <w:rFonts w:eastAsiaTheme="majorEastAsia"/>
          <w:color w:val="000000"/>
          <w:lang w:val="en-US"/>
        </w:rPr>
        <w:t> </w:t>
      </w:r>
      <w:r w:rsidRPr="007C6417">
        <w:rPr>
          <w:rStyle w:val="Emphasis"/>
          <w:rFonts w:eastAsiaTheme="majorEastAsia"/>
          <w:color w:val="000000"/>
          <w:lang w:val="en-US"/>
        </w:rPr>
        <w:t>Topics</w:t>
      </w:r>
      <w:r w:rsidRPr="007C6417">
        <w:rPr>
          <w:color w:val="000000"/>
          <w:lang w:val="en-US"/>
        </w:rPr>
        <w:t>.</w:t>
      </w:r>
      <w:r w:rsidR="00147E85" w:rsidRPr="007C6417">
        <w:rPr>
          <w:rStyle w:val="FootnoteReference"/>
          <w:color w:val="000000"/>
          <w:lang w:val="en-US"/>
        </w:rPr>
        <w:footnoteReference w:id="51"/>
      </w:r>
    </w:p>
    <w:p w14:paraId="3137C4E9" w14:textId="14BD63E1" w:rsidR="00304420" w:rsidRPr="007C6417" w:rsidRDefault="00304420" w:rsidP="00304420">
      <w:pPr>
        <w:pStyle w:val="NormalWeb"/>
        <w:rPr>
          <w:color w:val="000000"/>
          <w:lang w:val="en-US"/>
        </w:rPr>
      </w:pPr>
      <w:r w:rsidRPr="007C6417">
        <w:rPr>
          <w:color w:val="000000"/>
          <w:lang w:val="en-US"/>
        </w:rPr>
        <w:t xml:space="preserve">Aristotle’s works, however, had long since ceased to be studied only by Peripatetics. Already from the time of Antiochus of </w:t>
      </w:r>
      <w:proofErr w:type="spellStart"/>
      <w:r w:rsidRPr="007C6417">
        <w:rPr>
          <w:color w:val="000000"/>
          <w:lang w:val="en-US"/>
        </w:rPr>
        <w:t>Ascalon</w:t>
      </w:r>
      <w:proofErr w:type="spellEnd"/>
      <w:r w:rsidRPr="007C6417">
        <w:rPr>
          <w:color w:val="000000"/>
          <w:lang w:val="en-US"/>
        </w:rPr>
        <w:t xml:space="preserve"> there is also great interest among Platonists.</w:t>
      </w:r>
      <w:r w:rsidR="00147E85" w:rsidRPr="007C6417">
        <w:rPr>
          <w:rStyle w:val="FootnoteReference"/>
          <w:color w:val="000000"/>
          <w:lang w:val="en-US"/>
        </w:rPr>
        <w:footnoteReference w:id="52"/>
      </w:r>
      <w:r w:rsidRPr="007C6417">
        <w:rPr>
          <w:color w:val="000000"/>
          <w:lang w:val="en-US"/>
        </w:rPr>
        <w:t xml:space="preserve"> In late antiquity Aristotelian syllogistic is accepted by Platonic philosophers as an extension of Plato’s philosophy. Alcinous, the author of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Didaskalikos</w:t>
      </w:r>
      <w:proofErr w:type="spellEnd"/>
      <w:r w:rsidRPr="007C6417">
        <w:rPr>
          <w:color w:val="000000"/>
          <w:lang w:val="en-US"/>
        </w:rPr>
        <w:t xml:space="preserve">, a compendium of Platonic teaching (late 2nd century CE), quotes verbatim Aristotle’s definition of the syllogism, leaving the reader with the impression that it is Platonic, and employs concepts from </w:t>
      </w:r>
      <w:r w:rsidRPr="007C6417">
        <w:rPr>
          <w:color w:val="000000"/>
          <w:lang w:val="en-US"/>
        </w:rPr>
        <w:lastRenderedPageBreak/>
        <w:t>Aristotelian as well as Stoic logic, taking logical notions and principles to be prefigured in Platonic works.</w:t>
      </w:r>
      <w:r w:rsidR="00147E85" w:rsidRPr="007C6417">
        <w:rPr>
          <w:rStyle w:val="FootnoteReference"/>
          <w:color w:val="000000"/>
          <w:lang w:val="en-US"/>
        </w:rPr>
        <w:footnoteReference w:id="53"/>
      </w:r>
    </w:p>
    <w:p w14:paraId="4389FE54" w14:textId="2B9FEAD1" w:rsidR="00304420" w:rsidRPr="007C6417" w:rsidRDefault="00304420" w:rsidP="00304420">
      <w:pPr>
        <w:pStyle w:val="NormalWeb"/>
        <w:rPr>
          <w:color w:val="000000"/>
          <w:lang w:val="en-US"/>
        </w:rPr>
      </w:pPr>
      <w:r w:rsidRPr="007C6417">
        <w:rPr>
          <w:color w:val="000000"/>
          <w:lang w:val="en-US"/>
        </w:rPr>
        <w:t>The fact that Alcinous incorporates Aristotelian syllogistic into a handbook of his own school shows that the view had by then become established that Aristotelian syllogistic is an extension of Platonic thought and, as such, can be adopted by Platonists. Indeed, we encounter the same view at least a century earlier in Plutarch, as well as in the anonymous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Theaetetus</w:t>
      </w:r>
      <w:r w:rsidRPr="007C6417">
        <w:rPr>
          <w:rStyle w:val="apple-converted-space"/>
          <w:rFonts w:eastAsiaTheme="majorEastAsia"/>
          <w:color w:val="000000"/>
          <w:lang w:val="en-US"/>
        </w:rPr>
        <w:t> </w:t>
      </w:r>
      <w:r w:rsidRPr="007C6417">
        <w:rPr>
          <w:color w:val="000000"/>
          <w:lang w:val="en-US"/>
        </w:rPr>
        <w:t>(1st century CE?), concerning the Platonic origin of Aristotelian categories.</w:t>
      </w:r>
      <w:r w:rsidR="006247E0" w:rsidRPr="007C6417">
        <w:rPr>
          <w:rStyle w:val="FootnoteReference"/>
          <w:color w:val="000000"/>
          <w:lang w:val="en-US"/>
        </w:rPr>
        <w:footnoteReference w:id="54"/>
      </w:r>
    </w:p>
    <w:p w14:paraId="1FEEB4A2" w14:textId="77777777" w:rsidR="00304420" w:rsidRPr="007C6417" w:rsidRDefault="00304420" w:rsidP="00304420">
      <w:pPr>
        <w:pStyle w:val="NormalWeb"/>
        <w:rPr>
          <w:color w:val="000000"/>
          <w:lang w:val="en-US"/>
        </w:rPr>
      </w:pPr>
      <w:r w:rsidRPr="007C6417">
        <w:rPr>
          <w:color w:val="000000"/>
          <w:lang w:val="en-US"/>
        </w:rPr>
        <w:t>The next important step toward integrating Aristotelian logic as a whole into Platonic philosophy is taken by Porphyry. In his commentary on the</w:t>
      </w:r>
      <w:r w:rsidRPr="007C6417">
        <w:rPr>
          <w:rStyle w:val="apple-converted-space"/>
          <w:rFonts w:eastAsiaTheme="majorEastAsia"/>
          <w:color w:val="000000"/>
          <w:lang w:val="en-US"/>
        </w:rPr>
        <w:t> </w:t>
      </w:r>
      <w:proofErr w:type="gramStart"/>
      <w:r w:rsidRPr="007C6417">
        <w:rPr>
          <w:rStyle w:val="Emphasis"/>
          <w:rFonts w:eastAsiaTheme="majorEastAsia"/>
          <w:color w:val="000000"/>
          <w:lang w:val="en-US"/>
        </w:rPr>
        <w:t>Categories</w:t>
      </w:r>
      <w:proofErr w:type="gramEnd"/>
      <w:r w:rsidRPr="007C6417">
        <w:rPr>
          <w:rStyle w:val="apple-converted-space"/>
          <w:rFonts w:eastAsiaTheme="majorEastAsia"/>
          <w:color w:val="000000"/>
          <w:lang w:val="en-US"/>
        </w:rPr>
        <w:t> </w:t>
      </w:r>
      <w:r w:rsidRPr="007C6417">
        <w:rPr>
          <w:color w:val="000000"/>
          <w:lang w:val="en-US"/>
        </w:rPr>
        <w:t>he offers an interpretation according to which Aristotle is not concerned there with ontology—that is, more specifically, with the priority of intelligible universals over material particulars, as Platonists such as Plotinus believed—but rather with words that signify and are classified into different categories. If this is so, Aristotle does not challenge the basic Platonic ontological axiom of the priority of universals, and his fundamentally semantic theory in the</w:t>
      </w:r>
      <w:r w:rsidRPr="007C6417">
        <w:rPr>
          <w:rStyle w:val="apple-converted-space"/>
          <w:rFonts w:eastAsiaTheme="majorEastAsia"/>
          <w:color w:val="000000"/>
          <w:lang w:val="en-US"/>
        </w:rPr>
        <w:t> </w:t>
      </w:r>
      <w:r w:rsidRPr="007C6417">
        <w:rPr>
          <w:rStyle w:val="Emphasis"/>
          <w:rFonts w:eastAsiaTheme="majorEastAsia"/>
          <w:color w:val="000000"/>
          <w:lang w:val="en-US"/>
        </w:rPr>
        <w:t>Categories</w:t>
      </w:r>
      <w:r w:rsidRPr="007C6417">
        <w:rPr>
          <w:rStyle w:val="apple-converted-space"/>
          <w:rFonts w:eastAsiaTheme="majorEastAsia"/>
          <w:color w:val="000000"/>
          <w:lang w:val="en-US"/>
        </w:rPr>
        <w:t> </w:t>
      </w:r>
      <w:r w:rsidRPr="007C6417">
        <w:rPr>
          <w:color w:val="000000"/>
          <w:lang w:val="en-US"/>
        </w:rPr>
        <w:t>can be adopted by Platonists.</w:t>
      </w:r>
    </w:p>
    <w:p w14:paraId="47D1D865" w14:textId="57040663" w:rsidR="00304420" w:rsidRPr="007C6417" w:rsidRDefault="00304420" w:rsidP="00304420">
      <w:pPr>
        <w:pStyle w:val="NormalWeb"/>
        <w:rPr>
          <w:color w:val="000000"/>
          <w:lang w:val="en-US"/>
        </w:rPr>
      </w:pPr>
      <w:r w:rsidRPr="007C6417">
        <w:rPr>
          <w:color w:val="000000"/>
          <w:lang w:val="en-US"/>
        </w:rPr>
        <w:t>This interpretation is embraced by most later Platonists, who write commentaries both on the</w:t>
      </w:r>
      <w:r w:rsidRPr="007C6417">
        <w:rPr>
          <w:rStyle w:val="apple-converted-space"/>
          <w:rFonts w:eastAsiaTheme="majorEastAsia"/>
          <w:color w:val="000000"/>
          <w:lang w:val="en-US"/>
        </w:rPr>
        <w:t> </w:t>
      </w:r>
      <w:r w:rsidRPr="007C6417">
        <w:rPr>
          <w:rStyle w:val="Emphasis"/>
          <w:rFonts w:eastAsiaTheme="majorEastAsia"/>
          <w:color w:val="000000"/>
          <w:lang w:val="en-US"/>
        </w:rPr>
        <w:t>Categories</w:t>
      </w:r>
      <w:r w:rsidRPr="007C6417">
        <w:rPr>
          <w:color w:val="000000"/>
          <w:lang w:val="en-US"/>
        </w:rPr>
        <w:t>, following Porphyry’s interpretation, and on Porphyry’s</w:t>
      </w:r>
      <w:r w:rsidRPr="007C6417">
        <w:rPr>
          <w:rStyle w:val="apple-converted-space"/>
          <w:rFonts w:eastAsiaTheme="majorEastAsia"/>
          <w:color w:val="000000"/>
          <w:lang w:val="en-US"/>
        </w:rPr>
        <w:t> </w:t>
      </w:r>
      <w:r w:rsidRPr="007C6417">
        <w:rPr>
          <w:rStyle w:val="Emphasis"/>
          <w:rFonts w:eastAsiaTheme="majorEastAsia"/>
          <w:color w:val="000000"/>
          <w:lang w:val="en-US"/>
        </w:rPr>
        <w:t>Isagoge</w:t>
      </w:r>
      <w:r w:rsidRPr="007C6417">
        <w:rPr>
          <w:color w:val="000000"/>
          <w:lang w:val="en-US"/>
        </w:rPr>
        <w:t>, where he explains basic concepts of the Aristotelian</w:t>
      </w:r>
      <w:r w:rsidRPr="007C6417">
        <w:rPr>
          <w:rStyle w:val="apple-converted-space"/>
          <w:rFonts w:eastAsiaTheme="majorEastAsia"/>
          <w:color w:val="000000"/>
          <w:lang w:val="en-US"/>
        </w:rPr>
        <w:t> </w:t>
      </w:r>
      <w:r w:rsidRPr="007C6417">
        <w:rPr>
          <w:rStyle w:val="Emphasis"/>
          <w:rFonts w:eastAsiaTheme="majorEastAsia"/>
          <w:color w:val="000000"/>
          <w:lang w:val="en-US"/>
        </w:rPr>
        <w:t>Categories</w:t>
      </w:r>
      <w:r w:rsidRPr="007C6417">
        <w:rPr>
          <w:color w:val="000000"/>
          <w:lang w:val="en-US"/>
        </w:rPr>
        <w:t>, such as genus, species, difference, and so on. Both Porphyry and Iamblichus (presumably his pupil), are also students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We know from Ammonius (</w:t>
      </w:r>
      <w:r w:rsidRPr="007C6417">
        <w:rPr>
          <w:rStyle w:val="Emphasis"/>
          <w:rFonts w:eastAsiaTheme="majorEastAsia"/>
          <w:color w:val="000000"/>
          <w:lang w:val="en-US"/>
        </w:rPr>
        <w:t>Commentary on the Prior Analytics</w:t>
      </w:r>
      <w:r w:rsidRPr="007C6417">
        <w:rPr>
          <w:rStyle w:val="apple-converted-space"/>
          <w:rFonts w:eastAsiaTheme="majorEastAsia"/>
          <w:color w:val="000000"/>
          <w:lang w:val="en-US"/>
        </w:rPr>
        <w:t> </w:t>
      </w:r>
      <w:r w:rsidRPr="007C6417">
        <w:rPr>
          <w:color w:val="000000"/>
          <w:lang w:val="en-US"/>
        </w:rPr>
        <w:t xml:space="preserve">31, 11–25) that they too, like </w:t>
      </w:r>
      <w:proofErr w:type="spellStart"/>
      <w:r w:rsidRPr="007C6417">
        <w:rPr>
          <w:color w:val="000000"/>
          <w:lang w:val="en-US"/>
        </w:rPr>
        <w:t>Boethus</w:t>
      </w:r>
      <w:proofErr w:type="spellEnd"/>
      <w:r w:rsidRPr="007C6417">
        <w:rPr>
          <w:color w:val="000000"/>
          <w:lang w:val="en-US"/>
        </w:rPr>
        <w:t xml:space="preserve"> in the 1st century BCE, hold that the syllogisms of the second and third figures are perfect. The first Platonic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 xml:space="preserve">is that of Ammonius and subsequently of </w:t>
      </w:r>
      <w:proofErr w:type="spellStart"/>
      <w:r w:rsidRPr="007C6417">
        <w:rPr>
          <w:color w:val="000000"/>
          <w:lang w:val="en-US"/>
        </w:rPr>
        <w:t>Philoponus</w:t>
      </w:r>
      <w:proofErr w:type="spellEnd"/>
      <w:r w:rsidRPr="007C6417">
        <w:rPr>
          <w:color w:val="000000"/>
          <w:lang w:val="en-US"/>
        </w:rPr>
        <w:t>, but the first commentary overall that has survived to the present day is that of Alexander.</w:t>
      </w:r>
    </w:p>
    <w:p w14:paraId="58676DB6" w14:textId="222A945B" w:rsidR="00304420" w:rsidRPr="007C6417" w:rsidRDefault="00304420" w:rsidP="00304420">
      <w:pPr>
        <w:pStyle w:val="NormalWeb"/>
        <w:rPr>
          <w:color w:val="000000"/>
          <w:lang w:val="en-US"/>
        </w:rPr>
      </w:pPr>
      <w:r w:rsidRPr="007C6417">
        <w:rPr>
          <w:color w:val="000000"/>
          <w:lang w:val="en-US"/>
        </w:rPr>
        <w:t>In his commentary (written at the end of the 2nd century CE), Alexander does not aim merely to explain Aristotelian syllogistic, but also to support and defend it against Stoic logic. For this reason, he attempts to smooth out inconsistencies in Aristotelian syllogistic and in the Aristotelian text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in order to defend Aristotle.</w:t>
      </w:r>
      <w:r w:rsidR="006247E0" w:rsidRPr="007C6417">
        <w:rPr>
          <w:rStyle w:val="FootnoteReference"/>
          <w:color w:val="000000"/>
          <w:lang w:val="en-US"/>
        </w:rPr>
        <w:footnoteReference w:id="55"/>
      </w:r>
      <w:r w:rsidRPr="007C6417">
        <w:rPr>
          <w:color w:val="000000"/>
          <w:lang w:val="en-US"/>
        </w:rPr>
        <w:t xml:space="preserve"> Alexander also tells us that he wrote a work on mixed syllogisms, entitled</w:t>
      </w:r>
      <w:r w:rsidRPr="007C6417">
        <w:rPr>
          <w:rStyle w:val="apple-converted-space"/>
          <w:rFonts w:eastAsiaTheme="majorEastAsia"/>
          <w:color w:val="000000"/>
          <w:lang w:val="en-US"/>
        </w:rPr>
        <w:t> </w:t>
      </w:r>
      <w:r w:rsidRPr="007C6417">
        <w:rPr>
          <w:rStyle w:val="Emphasis"/>
          <w:rFonts w:eastAsiaTheme="majorEastAsia"/>
          <w:color w:val="000000"/>
          <w:lang w:val="en-US"/>
        </w:rPr>
        <w:t>On Mixtures</w:t>
      </w:r>
      <w:r w:rsidRPr="007C6417">
        <w:rPr>
          <w:rStyle w:val="apple-converted-space"/>
          <w:rFonts w:eastAsiaTheme="majorEastAsia"/>
          <w:color w:val="000000"/>
          <w:lang w:val="en-US"/>
        </w:rPr>
        <w:t> </w:t>
      </w:r>
      <w:r w:rsidRPr="007C6417">
        <w:rPr>
          <w:color w:val="000000"/>
          <w:lang w:val="en-US"/>
        </w:rPr>
        <w:t>(</w:t>
      </w:r>
      <w:proofErr w:type="spellStart"/>
      <w:r w:rsidRPr="007C6417">
        <w:rPr>
          <w:rStyle w:val="Emphasis"/>
          <w:rFonts w:eastAsiaTheme="majorEastAsia"/>
          <w:color w:val="000000"/>
          <w:lang w:val="en-US"/>
        </w:rPr>
        <w:t>Perì</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míxeōn</w:t>
      </w:r>
      <w:proofErr w:type="spellEnd"/>
      <w:r w:rsidRPr="007C6417">
        <w:rPr>
          <w:color w:val="000000"/>
          <w:lang w:val="en-US"/>
        </w:rPr>
        <w:t>), which has been lost.</w:t>
      </w:r>
      <w:r w:rsidR="006247E0" w:rsidRPr="007C6417">
        <w:rPr>
          <w:rStyle w:val="FootnoteReference"/>
          <w:color w:val="000000"/>
          <w:lang w:val="en-US"/>
        </w:rPr>
        <w:footnoteReference w:id="56"/>
      </w:r>
    </w:p>
    <w:p w14:paraId="12E8C2DA" w14:textId="77777777" w:rsidR="00304420" w:rsidRPr="007C6417" w:rsidRDefault="00304420" w:rsidP="00304420">
      <w:pPr>
        <w:pStyle w:val="NormalWeb"/>
        <w:rPr>
          <w:color w:val="000000"/>
          <w:lang w:val="en-US"/>
        </w:rPr>
      </w:pPr>
      <w:r w:rsidRPr="007C6417">
        <w:rPr>
          <w:color w:val="000000"/>
          <w:lang w:val="en-US"/>
        </w:rPr>
        <w:t xml:space="preserve">The commentary of Ammonius </w:t>
      </w:r>
      <w:proofErr w:type="spellStart"/>
      <w:r w:rsidRPr="007C6417">
        <w:rPr>
          <w:color w:val="000000"/>
          <w:lang w:val="en-US"/>
        </w:rPr>
        <w:t>Hermiae</w:t>
      </w:r>
      <w:proofErr w:type="spellEnd"/>
      <w:r w:rsidRPr="007C6417">
        <w:rPr>
          <w:color w:val="000000"/>
          <w:lang w:val="en-US"/>
        </w:rPr>
        <w:t xml:space="preserve"> (435/445–517/526), who taught in Alexandria, was probably written by a student who recorded Ammonius’ lectures (</w:t>
      </w:r>
      <w:r w:rsidRPr="007C6417">
        <w:rPr>
          <w:rStyle w:val="Emphasis"/>
          <w:rFonts w:eastAsiaTheme="majorEastAsia"/>
          <w:color w:val="000000"/>
          <w:lang w:val="en-US"/>
        </w:rPr>
        <w:t xml:space="preserve">ἀπὸ </w:t>
      </w:r>
      <w:proofErr w:type="spellStart"/>
      <w:r w:rsidRPr="007C6417">
        <w:rPr>
          <w:rStyle w:val="Emphasis"/>
          <w:rFonts w:eastAsiaTheme="majorEastAsia"/>
          <w:color w:val="000000"/>
          <w:lang w:val="en-US"/>
        </w:rPr>
        <w:t>φωνῆς</w:t>
      </w:r>
      <w:proofErr w:type="spellEnd"/>
      <w:r w:rsidRPr="007C6417">
        <w:rPr>
          <w:color w:val="000000"/>
          <w:lang w:val="en-US"/>
        </w:rPr>
        <w:t>). Unfortunately, only a small part of this commentary has survived. Ammonius appears to be the first Platonist to write a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xml:space="preserve">, and he justifies this undertaking to some extent by referring the reader to Plato for early forms of syllogisms (5, 15–6, 11). As we saw above </w:t>
      </w:r>
      <w:r w:rsidRPr="007C6417">
        <w:rPr>
          <w:color w:val="000000"/>
          <w:lang w:val="en-US"/>
        </w:rPr>
        <w:lastRenderedPageBreak/>
        <w:t>(p. 27), however, he holds that in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rStyle w:val="apple-converted-space"/>
          <w:rFonts w:eastAsiaTheme="majorEastAsia"/>
          <w:color w:val="000000"/>
          <w:lang w:val="en-US"/>
        </w:rPr>
        <w:t> </w:t>
      </w:r>
      <w:r w:rsidRPr="007C6417">
        <w:rPr>
          <w:color w:val="000000"/>
          <w:lang w:val="en-US"/>
        </w:rPr>
        <w:t>Aristotle applies one of the dialectical methods—analysis—which we encounter among other methods already in Plato.</w:t>
      </w:r>
    </w:p>
    <w:p w14:paraId="0687CF9C" w14:textId="77E75ADA" w:rsidR="00304420" w:rsidRPr="007C6417" w:rsidRDefault="00304420" w:rsidP="00304420">
      <w:pPr>
        <w:pStyle w:val="NormalWeb"/>
        <w:rPr>
          <w:color w:val="000000"/>
          <w:lang w:val="en-US"/>
        </w:rPr>
      </w:pPr>
      <w:r w:rsidRPr="007C6417">
        <w:rPr>
          <w:color w:val="000000"/>
          <w:lang w:val="en-US"/>
        </w:rPr>
        <w:t>In many places Ammonius’ commentary contains interesting and original views. Ammonius inaugurates an Alexandrian tradition of commentaries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xml:space="preserve">. A commentary on the same work is also written by Ammonius’ student </w:t>
      </w:r>
      <w:proofErr w:type="spellStart"/>
      <w:r w:rsidRPr="007C6417">
        <w:rPr>
          <w:color w:val="000000"/>
          <w:lang w:val="en-US"/>
        </w:rPr>
        <w:t>Philoponus</w:t>
      </w:r>
      <w:proofErr w:type="spellEnd"/>
      <w:r w:rsidRPr="007C6417">
        <w:rPr>
          <w:color w:val="000000"/>
          <w:lang w:val="en-US"/>
        </w:rPr>
        <w:t xml:space="preserve"> (490–570), who is known, with respect to this commentary, for a systematization of the conclusions drawn from the different combinations of premisses. From the commentary attributed to </w:t>
      </w:r>
      <w:proofErr w:type="spellStart"/>
      <w:r w:rsidRPr="007C6417">
        <w:rPr>
          <w:color w:val="000000"/>
          <w:lang w:val="en-US"/>
        </w:rPr>
        <w:t>Philoponus</w:t>
      </w:r>
      <w:proofErr w:type="spellEnd"/>
      <w:r w:rsidRPr="007C6417">
        <w:rPr>
          <w:color w:val="000000"/>
          <w:lang w:val="en-US"/>
        </w:rPr>
        <w:t>, it appears that only the part concerning the first book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is genuinely his. The short commentary on the second book is not likely to be from his own hand.</w:t>
      </w:r>
      <w:r w:rsidR="006247E0" w:rsidRPr="007C6417">
        <w:rPr>
          <w:rStyle w:val="FootnoteReference"/>
          <w:color w:val="000000"/>
          <w:lang w:val="en-US"/>
        </w:rPr>
        <w:footnoteReference w:id="57"/>
      </w:r>
    </w:p>
    <w:p w14:paraId="23343FCF" w14:textId="6E64F6DD" w:rsidR="00304420" w:rsidRPr="007C6417" w:rsidRDefault="00304420" w:rsidP="00304420">
      <w:pPr>
        <w:pStyle w:val="NormalWeb"/>
        <w:rPr>
          <w:color w:val="000000"/>
          <w:lang w:val="en-US"/>
        </w:rPr>
      </w:pPr>
      <w:r w:rsidRPr="007C6417">
        <w:rPr>
          <w:color w:val="000000"/>
          <w:lang w:val="en-US"/>
        </w:rPr>
        <w:t>A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is also written by the Alexandrian David (6th century), which survives only in an Armenian translation,</w:t>
      </w:r>
      <w:r w:rsidR="006247E0" w:rsidRPr="007C6417">
        <w:rPr>
          <w:rStyle w:val="FootnoteReference"/>
          <w:color w:val="000000"/>
          <w:lang w:val="en-US"/>
        </w:rPr>
        <w:footnoteReference w:id="58"/>
      </w:r>
      <w:r w:rsidRPr="007C6417">
        <w:rPr>
          <w:color w:val="000000"/>
          <w:lang w:val="en-US"/>
        </w:rPr>
        <w:t xml:space="preserve"> as well as by his contemporary Elias, from whose work, however, only a single fragment has survived.</w:t>
      </w:r>
      <w:r w:rsidR="006247E0" w:rsidRPr="007C6417">
        <w:rPr>
          <w:rStyle w:val="FootnoteReference"/>
          <w:color w:val="000000"/>
          <w:lang w:val="en-US"/>
        </w:rPr>
        <w:footnoteReference w:id="59"/>
      </w:r>
      <w:r w:rsidRPr="007C6417">
        <w:rPr>
          <w:color w:val="000000"/>
          <w:lang w:val="en-US"/>
        </w:rPr>
        <w:t xml:space="preserve"> In addition, a paraphrase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by Themistius (320–390) has also survived; he probably also wrote a more systematic work concerning the reduction of the syllogisms of the second and third figures to the first.</w:t>
      </w:r>
      <w:r w:rsidR="006247E0" w:rsidRPr="007C6417">
        <w:rPr>
          <w:rStyle w:val="FootnoteReference"/>
          <w:color w:val="000000"/>
          <w:lang w:val="en-US"/>
        </w:rPr>
        <w:footnoteReference w:id="60"/>
      </w:r>
    </w:p>
    <w:p w14:paraId="26809B27" w14:textId="7A74AF45" w:rsidR="00304420" w:rsidRPr="007C6417" w:rsidRDefault="00304420" w:rsidP="00304420">
      <w:pPr>
        <w:pStyle w:val="NormalWeb"/>
        <w:rPr>
          <w:color w:val="000000"/>
          <w:lang w:val="en-US"/>
        </w:rPr>
      </w:pPr>
      <w:r w:rsidRPr="007C6417">
        <w:rPr>
          <w:color w:val="000000"/>
          <w:lang w:val="en-US"/>
        </w:rPr>
        <w:t>On the Latin side of the tradition, the contribution of Boethius is significant. He translated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and also wrote the works</w:t>
      </w:r>
      <w:r w:rsidRPr="007C6417">
        <w:rPr>
          <w:rStyle w:val="apple-converted-space"/>
          <w:rFonts w:eastAsiaTheme="majorEastAsia"/>
          <w:color w:val="000000"/>
          <w:lang w:val="en-US"/>
        </w:rPr>
        <w:t> </w:t>
      </w:r>
      <w:r w:rsidRPr="007C6417">
        <w:rPr>
          <w:rStyle w:val="Emphasis"/>
          <w:rFonts w:eastAsiaTheme="majorEastAsia"/>
          <w:color w:val="000000"/>
          <w:lang w:val="en-US"/>
        </w:rPr>
        <w:t xml:space="preserve">De </w:t>
      </w:r>
      <w:proofErr w:type="spellStart"/>
      <w:r w:rsidRPr="007C6417">
        <w:rPr>
          <w:rStyle w:val="Emphasis"/>
          <w:rFonts w:eastAsiaTheme="majorEastAsia"/>
          <w:color w:val="000000"/>
          <w:lang w:val="en-US"/>
        </w:rPr>
        <w:t>syllogismo</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categorico</w:t>
      </w:r>
      <w:proofErr w:type="spellEnd"/>
      <w:r w:rsidRPr="007C6417">
        <w:rPr>
          <w:color w:val="000000"/>
          <w:lang w:val="en-US"/>
        </w:rPr>
        <w:t>, together with his own (unfinished)</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Introductio</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ad</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syllogismos</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categoricos</w:t>
      </w:r>
      <w:proofErr w:type="spellEnd"/>
      <w:r w:rsidRPr="007C6417">
        <w:rPr>
          <w:color w:val="000000"/>
          <w:lang w:val="en-US"/>
        </w:rPr>
        <w:t>.</w:t>
      </w:r>
      <w:r w:rsidR="006247E0" w:rsidRPr="007C6417">
        <w:rPr>
          <w:rStyle w:val="FootnoteReference"/>
          <w:color w:val="000000"/>
          <w:lang w:val="en-US"/>
        </w:rPr>
        <w:footnoteReference w:id="61"/>
      </w:r>
      <w:r w:rsidRPr="007C6417">
        <w:rPr>
          <w:color w:val="000000"/>
          <w:lang w:val="en-US"/>
        </w:rPr>
        <w:t xml:space="preserve"> These works had an enormous influence in the Middle Ages, to the point that they supplanted the study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which was revived in the 12th century with Peter Abelard.</w:t>
      </w:r>
      <w:r w:rsidR="006247E0" w:rsidRPr="007C6417">
        <w:rPr>
          <w:rStyle w:val="FootnoteReference"/>
          <w:color w:val="000000"/>
          <w:lang w:val="en-US"/>
        </w:rPr>
        <w:footnoteReference w:id="62"/>
      </w:r>
      <w:r w:rsidRPr="007C6417">
        <w:rPr>
          <w:color w:val="000000"/>
          <w:lang w:val="en-US"/>
        </w:rPr>
        <w:t xml:space="preserve"> Around the same time we also have a new translation of the work by James of Venice.</w:t>
      </w:r>
      <w:r w:rsidR="006247E0" w:rsidRPr="007C6417">
        <w:rPr>
          <w:rStyle w:val="FootnoteReference"/>
          <w:color w:val="000000"/>
          <w:lang w:val="en-US"/>
        </w:rPr>
        <w:footnoteReference w:id="63"/>
      </w:r>
      <w:r w:rsidRPr="007C6417">
        <w:rPr>
          <w:color w:val="000000"/>
          <w:lang w:val="en-US"/>
        </w:rPr>
        <w:t xml:space="preserve"> The new translations prompted the composition of new commentaries. From the 13th century dates the commentary of Albert the Great (1200–1280),</w:t>
      </w:r>
      <w:r w:rsidR="006247E0" w:rsidRPr="007C6417">
        <w:rPr>
          <w:rStyle w:val="FootnoteReference"/>
          <w:color w:val="000000"/>
          <w:lang w:val="en-US"/>
        </w:rPr>
        <w:footnoteReference w:id="64"/>
      </w:r>
      <w:r w:rsidRPr="007C6417">
        <w:rPr>
          <w:color w:val="000000"/>
          <w:lang w:val="en-US"/>
        </w:rPr>
        <w:t xml:space="preserve"> while slightly earlier is the fragment of a Latin commentary discovered by Sten Ebbesen and named</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Anonymus</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Aurelianensis</w:t>
      </w:r>
      <w:proofErr w:type="spellEnd"/>
      <w:r w:rsidRPr="007C6417">
        <w:rPr>
          <w:rStyle w:val="Emphasis"/>
          <w:rFonts w:eastAsiaTheme="majorEastAsia"/>
          <w:color w:val="000000"/>
          <w:lang w:val="en-US"/>
        </w:rPr>
        <w:t xml:space="preserve"> III</w:t>
      </w:r>
      <w:r w:rsidRPr="007C6417">
        <w:rPr>
          <w:color w:val="000000"/>
          <w:lang w:val="en-US"/>
        </w:rPr>
        <w:t>.</w:t>
      </w:r>
      <w:r w:rsidR="006247E0" w:rsidRPr="007C6417">
        <w:rPr>
          <w:rStyle w:val="FootnoteReference"/>
          <w:color w:val="000000"/>
          <w:lang w:val="en-US"/>
        </w:rPr>
        <w:footnoteReference w:id="65"/>
      </w:r>
    </w:p>
    <w:p w14:paraId="44A8F3F3" w14:textId="6D6C9F21" w:rsidR="00304420" w:rsidRPr="007C6417" w:rsidRDefault="00304420" w:rsidP="00304420">
      <w:pPr>
        <w:pStyle w:val="NormalWeb"/>
        <w:rPr>
          <w:color w:val="000000"/>
          <w:lang w:val="en-US"/>
        </w:rPr>
      </w:pPr>
      <w:r w:rsidRPr="007C6417">
        <w:rPr>
          <w:color w:val="000000"/>
          <w:lang w:val="en-US"/>
        </w:rPr>
        <w:t>In the Greek-speaking medieval world, the study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does not seem ever to have ceased, nor to have been replaced by some compendium or handbook. The</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Pr="007C6417">
        <w:rPr>
          <w:rStyle w:val="apple-converted-space"/>
          <w:rFonts w:eastAsiaTheme="majorEastAsia"/>
          <w:color w:val="000000"/>
          <w:lang w:val="en-US"/>
        </w:rPr>
        <w:t> </w:t>
      </w:r>
      <w:r w:rsidRPr="007C6417">
        <w:rPr>
          <w:color w:val="000000"/>
          <w:lang w:val="en-US"/>
        </w:rPr>
        <w:t xml:space="preserve">is the group of works most frequently copied in Byzantium, owing to its pedagogical usefulness. The commentary tradition that began with the commentaries of Alexander, Ammonius, and </w:t>
      </w:r>
      <w:proofErr w:type="spellStart"/>
      <w:r w:rsidRPr="007C6417">
        <w:rPr>
          <w:color w:val="000000"/>
          <w:lang w:val="en-US"/>
        </w:rPr>
        <w:t>Philoponus</w:t>
      </w:r>
      <w:proofErr w:type="spellEnd"/>
      <w:r w:rsidRPr="007C6417">
        <w:rPr>
          <w:color w:val="000000"/>
          <w:lang w:val="en-US"/>
        </w:rPr>
        <w:t xml:space="preserve"> continued in Byzantium with the commentaries of Leo of </w:t>
      </w:r>
      <w:proofErr w:type="spellStart"/>
      <w:r w:rsidRPr="007C6417">
        <w:rPr>
          <w:color w:val="000000"/>
          <w:lang w:val="en-US"/>
        </w:rPr>
        <w:t>Magentia</w:t>
      </w:r>
      <w:proofErr w:type="spellEnd"/>
      <w:r w:rsidRPr="007C6417">
        <w:rPr>
          <w:color w:val="000000"/>
          <w:lang w:val="en-US"/>
        </w:rPr>
        <w:t xml:space="preserve"> (12th c.) and John </w:t>
      </w:r>
      <w:proofErr w:type="spellStart"/>
      <w:r w:rsidRPr="007C6417">
        <w:rPr>
          <w:color w:val="000000"/>
          <w:lang w:val="en-US"/>
        </w:rPr>
        <w:t>Pediassimus</w:t>
      </w:r>
      <w:proofErr w:type="spellEnd"/>
      <w:r w:rsidRPr="007C6417">
        <w:rPr>
          <w:color w:val="000000"/>
          <w:lang w:val="en-US"/>
        </w:rPr>
        <w:t xml:space="preserve"> (13th–14th c.), while a paraphrase of the first book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by Sophonias (probably a monk, 13th c.) has also survived.</w:t>
      </w:r>
      <w:r w:rsidR="006247E0" w:rsidRPr="007C6417">
        <w:rPr>
          <w:rStyle w:val="FootnoteReference"/>
          <w:color w:val="000000"/>
          <w:lang w:val="en-US"/>
        </w:rPr>
        <w:footnoteReference w:id="66"/>
      </w:r>
    </w:p>
    <w:p w14:paraId="20A3959C" w14:textId="61BE5035" w:rsidR="00304420" w:rsidRPr="007C6417" w:rsidRDefault="00304420" w:rsidP="00304420">
      <w:pPr>
        <w:pStyle w:val="NormalWeb"/>
        <w:rPr>
          <w:color w:val="000000"/>
          <w:lang w:val="en-US"/>
        </w:rPr>
      </w:pPr>
      <w:r w:rsidRPr="007C6417">
        <w:rPr>
          <w:color w:val="000000"/>
          <w:lang w:val="en-US"/>
        </w:rPr>
        <w:lastRenderedPageBreak/>
        <w:t>The</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Pr="007C6417">
        <w:rPr>
          <w:rStyle w:val="apple-converted-space"/>
          <w:rFonts w:eastAsiaTheme="majorEastAsia"/>
          <w:color w:val="000000"/>
          <w:lang w:val="en-US"/>
        </w:rPr>
        <w:t> </w:t>
      </w:r>
      <w:r w:rsidRPr="007C6417">
        <w:rPr>
          <w:color w:val="000000"/>
          <w:lang w:val="en-US"/>
        </w:rPr>
        <w:t xml:space="preserve">is also commented upon by George </w:t>
      </w:r>
      <w:proofErr w:type="spellStart"/>
      <w:r w:rsidRPr="007C6417">
        <w:rPr>
          <w:color w:val="000000"/>
          <w:lang w:val="en-US"/>
        </w:rPr>
        <w:t>Pachymeres</w:t>
      </w:r>
      <w:proofErr w:type="spellEnd"/>
      <w:r w:rsidRPr="007C6417">
        <w:rPr>
          <w:color w:val="000000"/>
          <w:lang w:val="en-US"/>
        </w:rPr>
        <w:t xml:space="preserve"> (1242–ca. 1310) in the first volume of his twelve-volume work</w:t>
      </w:r>
      <w:r w:rsidRPr="007C6417">
        <w:rPr>
          <w:rStyle w:val="apple-converted-space"/>
          <w:rFonts w:eastAsiaTheme="majorEastAsia"/>
          <w:color w:val="000000"/>
          <w:lang w:val="en-US"/>
        </w:rPr>
        <w:t> </w:t>
      </w:r>
      <w:r w:rsidRPr="007C6417">
        <w:rPr>
          <w:rStyle w:val="Emphasis"/>
          <w:rFonts w:eastAsiaTheme="majorEastAsia"/>
          <w:color w:val="000000"/>
          <w:lang w:val="en-US"/>
        </w:rPr>
        <w:t>Philosophy</w:t>
      </w:r>
      <w:r w:rsidRPr="007C6417">
        <w:rPr>
          <w:color w:val="000000"/>
          <w:lang w:val="en-US"/>
        </w:rPr>
        <w:t>. Of particular interest is a summary of Aristotelian syllogistic from the 11th century, the so-called</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Anonymus</w:t>
      </w:r>
      <w:proofErr w:type="spellEnd"/>
      <w:r w:rsidRPr="007C6417">
        <w:rPr>
          <w:rStyle w:val="Emphasis"/>
          <w:rFonts w:eastAsiaTheme="majorEastAsia"/>
          <w:color w:val="000000"/>
          <w:lang w:val="en-US"/>
        </w:rPr>
        <w:t xml:space="preserve"> Heiberg</w:t>
      </w:r>
      <w:r w:rsidRPr="007C6417">
        <w:rPr>
          <w:color w:val="000000"/>
          <w:lang w:val="en-US"/>
        </w:rPr>
        <w:t xml:space="preserve">, attributed to the otherwise unknown monk Gregory the </w:t>
      </w:r>
      <w:proofErr w:type="spellStart"/>
      <w:r w:rsidR="00DE4057" w:rsidRPr="007C6417">
        <w:rPr>
          <w:color w:val="000000"/>
          <w:lang w:val="en-US"/>
        </w:rPr>
        <w:t>Αneponymous</w:t>
      </w:r>
      <w:proofErr w:type="spellEnd"/>
      <w:r w:rsidRPr="007C6417">
        <w:rPr>
          <w:color w:val="000000"/>
          <w:lang w:val="en-US"/>
        </w:rPr>
        <w:t>.</w:t>
      </w:r>
      <w:r w:rsidR="00DE4057" w:rsidRPr="007C6417">
        <w:rPr>
          <w:rStyle w:val="FootnoteReference"/>
          <w:color w:val="000000"/>
          <w:lang w:val="en-US"/>
        </w:rPr>
        <w:footnoteReference w:id="67"/>
      </w:r>
      <w:r w:rsidRPr="007C6417">
        <w:rPr>
          <w:color w:val="000000"/>
          <w:lang w:val="en-US"/>
        </w:rPr>
        <w:t xml:space="preserve"> A</w:t>
      </w:r>
      <w:r w:rsidRPr="007C6417">
        <w:rPr>
          <w:rStyle w:val="apple-converted-space"/>
          <w:rFonts w:eastAsiaTheme="majorEastAsia"/>
          <w:color w:val="000000"/>
          <w:lang w:val="en-US"/>
        </w:rPr>
        <w:t> </w:t>
      </w:r>
      <w:r w:rsidRPr="007C6417">
        <w:rPr>
          <w:rStyle w:val="Emphasis"/>
          <w:rFonts w:eastAsiaTheme="majorEastAsia"/>
          <w:color w:val="000000"/>
          <w:lang w:val="en-US"/>
        </w:rPr>
        <w:t>Compendium of Logic</w:t>
      </w:r>
      <w:r w:rsidRPr="007C6417">
        <w:rPr>
          <w:rStyle w:val="apple-converted-space"/>
          <w:rFonts w:eastAsiaTheme="majorEastAsia"/>
          <w:color w:val="000000"/>
          <w:lang w:val="en-US"/>
        </w:rPr>
        <w:t> </w:t>
      </w:r>
      <w:r w:rsidRPr="007C6417">
        <w:rPr>
          <w:color w:val="000000"/>
          <w:lang w:val="en-US"/>
        </w:rPr>
        <w:t xml:space="preserve">was also written by Nicephorus </w:t>
      </w:r>
      <w:proofErr w:type="spellStart"/>
      <w:r w:rsidRPr="007C6417">
        <w:rPr>
          <w:color w:val="000000"/>
          <w:lang w:val="en-US"/>
        </w:rPr>
        <w:t>Blemmydes</w:t>
      </w:r>
      <w:proofErr w:type="spellEnd"/>
      <w:r w:rsidRPr="007C6417">
        <w:rPr>
          <w:color w:val="000000"/>
          <w:lang w:val="en-US"/>
        </w:rPr>
        <w:t xml:space="preserve"> (1197–1272), which appears to have enjoyed some circulation in Byzantium.</w:t>
      </w:r>
      <w:r w:rsidR="00DE4057" w:rsidRPr="007C6417">
        <w:rPr>
          <w:rStyle w:val="FootnoteReference"/>
          <w:color w:val="000000"/>
          <w:lang w:val="en-US"/>
        </w:rPr>
        <w:footnoteReference w:id="68"/>
      </w:r>
      <w:r w:rsidRPr="007C6417">
        <w:rPr>
          <w:color w:val="000000"/>
          <w:lang w:val="en-US"/>
        </w:rPr>
        <w:t xml:space="preserve"> The Byzantine exegetical tradition depends to a very large extent on the commentaries of late antiquity, which it often reproduces.</w:t>
      </w:r>
    </w:p>
    <w:p w14:paraId="3EAF3D77" w14:textId="01EDEFA2" w:rsidR="00304420" w:rsidRPr="007C6417" w:rsidRDefault="00304420" w:rsidP="00304420">
      <w:pPr>
        <w:pStyle w:val="NormalWeb"/>
        <w:rPr>
          <w:color w:val="000000"/>
          <w:lang w:val="en-US"/>
        </w:rPr>
      </w:pPr>
      <w:r w:rsidRPr="007C6417">
        <w:rPr>
          <w:color w:val="000000"/>
          <w:lang w:val="en-US"/>
        </w:rPr>
        <w:t>In the Renaissance, opposition to scholastic philosophy leads to a negative attitude toward Aristotelian logic as well. Indicative is the work of Vives (1492–1540),</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Adversus</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Pseudodialecticos</w:t>
      </w:r>
      <w:proofErr w:type="spellEnd"/>
      <w:r w:rsidRPr="007C6417">
        <w:rPr>
          <w:color w:val="000000"/>
          <w:lang w:val="en-US"/>
        </w:rPr>
        <w:t>,</w:t>
      </w:r>
      <w:r w:rsidR="00DE4057" w:rsidRPr="007C6417">
        <w:rPr>
          <w:rStyle w:val="FootnoteReference"/>
          <w:color w:val="000000"/>
          <w:lang w:val="en-US"/>
        </w:rPr>
        <w:footnoteReference w:id="69"/>
      </w:r>
      <w:r w:rsidRPr="007C6417">
        <w:rPr>
          <w:color w:val="000000"/>
          <w:lang w:val="en-US"/>
        </w:rPr>
        <w:t xml:space="preserve"> in which he attacks both scholastic logic and the Aristotelian</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Pr="007C6417">
        <w:rPr>
          <w:color w:val="000000"/>
          <w:lang w:val="en-US"/>
        </w:rPr>
        <w:t>. Petrus Ramus (1515–1572) is also critical; his writings enjoyed wide circulation, not least because he wrote not only in Latin but also in his vernacular language, French.</w:t>
      </w:r>
      <w:r w:rsidR="00DE4057" w:rsidRPr="007C6417">
        <w:rPr>
          <w:rStyle w:val="FootnoteReference"/>
          <w:color w:val="000000"/>
          <w:lang w:val="en-US"/>
        </w:rPr>
        <w:footnoteReference w:id="70"/>
      </w:r>
    </w:p>
    <w:p w14:paraId="63D5D61F" w14:textId="339529DE" w:rsidR="00304420" w:rsidRPr="007C6417" w:rsidRDefault="00304420" w:rsidP="00304420">
      <w:pPr>
        <w:pStyle w:val="NormalWeb"/>
        <w:rPr>
          <w:color w:val="000000"/>
          <w:lang w:val="en-US"/>
        </w:rPr>
      </w:pPr>
      <w:r w:rsidRPr="007C6417">
        <w:rPr>
          <w:color w:val="000000"/>
          <w:lang w:val="en-US"/>
        </w:rPr>
        <w:t xml:space="preserve">Interest in Aristotle, however, is rekindled especially at the famous University of Padua, which hosted a circle of Aristotelians. Aristotelian syllogistic is studied systematically by I. </w:t>
      </w:r>
      <w:proofErr w:type="spellStart"/>
      <w:r w:rsidRPr="007C6417">
        <w:rPr>
          <w:color w:val="000000"/>
          <w:lang w:val="en-US"/>
        </w:rPr>
        <w:t>Zabarella</w:t>
      </w:r>
      <w:proofErr w:type="spellEnd"/>
      <w:r w:rsidRPr="007C6417">
        <w:rPr>
          <w:color w:val="000000"/>
          <w:lang w:val="en-US"/>
        </w:rPr>
        <w:t xml:space="preserve"> (1532–1589), a professor at that university. </w:t>
      </w:r>
      <w:proofErr w:type="spellStart"/>
      <w:r w:rsidRPr="007C6417">
        <w:rPr>
          <w:color w:val="000000"/>
          <w:lang w:val="en-US"/>
        </w:rPr>
        <w:t>Zabarella</w:t>
      </w:r>
      <w:proofErr w:type="spellEnd"/>
      <w:r w:rsidRPr="007C6417">
        <w:rPr>
          <w:color w:val="000000"/>
          <w:lang w:val="en-US"/>
        </w:rPr>
        <w:t xml:space="preserve"> writes a commentary on the</w:t>
      </w:r>
      <w:r w:rsidRPr="007C6417">
        <w:rPr>
          <w:rStyle w:val="apple-converted-space"/>
          <w:rFonts w:eastAsiaTheme="majorEastAsia"/>
          <w:color w:val="000000"/>
          <w:lang w:val="en-US"/>
        </w:rPr>
        <w:t> </w:t>
      </w:r>
      <w:r w:rsidRPr="007C6417">
        <w:rPr>
          <w:rStyle w:val="Emphasis"/>
          <w:rFonts w:eastAsiaTheme="majorEastAsia"/>
          <w:color w:val="000000"/>
          <w:lang w:val="en-US"/>
        </w:rPr>
        <w:t>Posterior Analytics</w:t>
      </w:r>
      <w:r w:rsidRPr="007C6417">
        <w:rPr>
          <w:color w:val="000000"/>
          <w:lang w:val="en-US"/>
        </w:rPr>
        <w:t>, not on the</w:t>
      </w:r>
      <w:r w:rsidRPr="007C6417">
        <w:rPr>
          <w:rStyle w:val="apple-converted-space"/>
          <w:rFonts w:eastAsiaTheme="majorEastAsia"/>
          <w:color w:val="000000"/>
          <w:lang w:val="en-US"/>
        </w:rPr>
        <w:t> </w:t>
      </w:r>
      <w:r w:rsidRPr="007C6417">
        <w:rPr>
          <w:rStyle w:val="Emphasis"/>
          <w:rFonts w:eastAsiaTheme="majorEastAsia"/>
          <w:color w:val="000000"/>
          <w:lang w:val="en-US"/>
        </w:rPr>
        <w:t>Prior</w:t>
      </w:r>
      <w:r w:rsidRPr="007C6417">
        <w:rPr>
          <w:color w:val="000000"/>
          <w:lang w:val="en-US"/>
        </w:rPr>
        <w:t>, yet he articulates more general views on Aristotelian logic and syllogistic. He distinguishes, for example, between universal and special logic: the former concerns the first three works of the Aristotelian</w:t>
      </w:r>
      <w:r w:rsidRPr="007C6417">
        <w:rPr>
          <w:rStyle w:val="apple-converted-space"/>
          <w:rFonts w:eastAsiaTheme="majorEastAsia"/>
          <w:color w:val="000000"/>
          <w:lang w:val="en-US"/>
        </w:rPr>
        <w:t> </w:t>
      </w:r>
      <w:r w:rsidRPr="007C6417">
        <w:rPr>
          <w:rStyle w:val="Emphasis"/>
          <w:rFonts w:eastAsiaTheme="majorEastAsia"/>
          <w:color w:val="000000"/>
          <w:lang w:val="en-US"/>
        </w:rPr>
        <w:t>Organon</w:t>
      </w:r>
      <w:r w:rsidRPr="007C6417">
        <w:rPr>
          <w:color w:val="000000"/>
          <w:lang w:val="en-US"/>
        </w:rPr>
        <w:t xml:space="preserve">, while the latter concerns the remaining three. In addition, </w:t>
      </w:r>
      <w:proofErr w:type="spellStart"/>
      <w:r w:rsidRPr="007C6417">
        <w:rPr>
          <w:color w:val="000000"/>
          <w:lang w:val="en-US"/>
        </w:rPr>
        <w:t>Zabarella</w:t>
      </w:r>
      <w:proofErr w:type="spellEnd"/>
      <w:r w:rsidRPr="007C6417">
        <w:rPr>
          <w:color w:val="000000"/>
          <w:lang w:val="en-US"/>
        </w:rPr>
        <w:t xml:space="preserve"> writes the works</w:t>
      </w:r>
      <w:r w:rsidRPr="007C6417">
        <w:rPr>
          <w:rStyle w:val="apple-converted-space"/>
          <w:rFonts w:eastAsiaTheme="majorEastAsia"/>
          <w:color w:val="000000"/>
          <w:lang w:val="en-US"/>
        </w:rPr>
        <w:t> </w:t>
      </w:r>
      <w:r w:rsidRPr="007C6417">
        <w:rPr>
          <w:rStyle w:val="Emphasis"/>
          <w:rFonts w:eastAsiaTheme="majorEastAsia"/>
          <w:color w:val="000000"/>
          <w:lang w:val="en-US"/>
        </w:rPr>
        <w:t xml:space="preserve">Liber de Quarta </w:t>
      </w:r>
      <w:proofErr w:type="spellStart"/>
      <w:r w:rsidRPr="007C6417">
        <w:rPr>
          <w:rStyle w:val="Emphasis"/>
          <w:rFonts w:eastAsiaTheme="majorEastAsia"/>
          <w:color w:val="000000"/>
          <w:lang w:val="en-US"/>
        </w:rPr>
        <w:t>Syllogismorum</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Figura</w:t>
      </w:r>
      <w:proofErr w:type="spellEnd"/>
      <w:r w:rsidRPr="007C6417">
        <w:rPr>
          <w:rStyle w:val="apple-converted-space"/>
          <w:rFonts w:eastAsiaTheme="majorEastAsia"/>
          <w:color w:val="000000"/>
          <w:lang w:val="en-US"/>
        </w:rPr>
        <w:t> </w:t>
      </w:r>
      <w:r w:rsidRPr="007C6417">
        <w:rPr>
          <w:color w:val="000000"/>
          <w:lang w:val="en-US"/>
        </w:rPr>
        <w:t>and</w:t>
      </w:r>
      <w:r w:rsidRPr="007C6417">
        <w:rPr>
          <w:rStyle w:val="apple-converted-space"/>
          <w:rFonts w:eastAsiaTheme="majorEastAsia"/>
          <w:color w:val="000000"/>
          <w:lang w:val="en-US"/>
        </w:rPr>
        <w:t> </w:t>
      </w:r>
      <w:r w:rsidRPr="007C6417">
        <w:rPr>
          <w:rStyle w:val="Emphasis"/>
          <w:rFonts w:eastAsiaTheme="majorEastAsia"/>
          <w:color w:val="000000"/>
          <w:lang w:val="en-US"/>
        </w:rPr>
        <w:t xml:space="preserve">De </w:t>
      </w:r>
      <w:proofErr w:type="spellStart"/>
      <w:r w:rsidRPr="007C6417">
        <w:rPr>
          <w:rStyle w:val="Emphasis"/>
          <w:rFonts w:eastAsiaTheme="majorEastAsia"/>
          <w:color w:val="000000"/>
          <w:lang w:val="en-US"/>
        </w:rPr>
        <w:t>Methodis</w:t>
      </w:r>
      <w:proofErr w:type="spellEnd"/>
      <w:r w:rsidRPr="007C6417">
        <w:rPr>
          <w:color w:val="000000"/>
          <w:lang w:val="en-US"/>
        </w:rPr>
        <w:t>.</w:t>
      </w:r>
      <w:r w:rsidR="00DE4057" w:rsidRPr="007C6417">
        <w:rPr>
          <w:rStyle w:val="FootnoteReference"/>
          <w:color w:val="000000"/>
          <w:lang w:val="en-US"/>
        </w:rPr>
        <w:footnoteReference w:id="71"/>
      </w:r>
      <w:r w:rsidRPr="007C6417">
        <w:rPr>
          <w:color w:val="000000"/>
          <w:lang w:val="en-US"/>
        </w:rPr>
        <w:t xml:space="preserve"> In the former of these, he defends Aristotle against the view that there is also a fourth syllogistic figure—a view that would later prevail.</w:t>
      </w:r>
    </w:p>
    <w:p w14:paraId="1D843F93" w14:textId="47BD7904" w:rsidR="00304420" w:rsidRPr="007C6417" w:rsidRDefault="00304420" w:rsidP="00304420">
      <w:pPr>
        <w:pStyle w:val="NormalWeb"/>
        <w:rPr>
          <w:color w:val="000000"/>
          <w:lang w:val="en-US"/>
        </w:rPr>
      </w:pPr>
      <w:r w:rsidRPr="007C6417">
        <w:rPr>
          <w:color w:val="000000"/>
          <w:lang w:val="en-US"/>
        </w:rPr>
        <w:t>In the modern period, Aristotelian syllogistic remains dominant but also becomes an object of criticism. Bacon (1561–1626), in his</w:t>
      </w:r>
      <w:r w:rsidRPr="007C6417">
        <w:rPr>
          <w:rStyle w:val="apple-converted-space"/>
          <w:rFonts w:eastAsiaTheme="majorEastAsia"/>
          <w:color w:val="000000"/>
          <w:lang w:val="en-US"/>
        </w:rPr>
        <w:t> </w:t>
      </w:r>
      <w:r w:rsidRPr="007C6417">
        <w:rPr>
          <w:rStyle w:val="Emphasis"/>
          <w:rFonts w:eastAsiaTheme="majorEastAsia"/>
          <w:color w:val="000000"/>
          <w:lang w:val="en-US"/>
        </w:rPr>
        <w:t>Novum Organum</w:t>
      </w:r>
      <w:r w:rsidRPr="007C6417">
        <w:rPr>
          <w:color w:val="000000"/>
          <w:lang w:val="en-US"/>
        </w:rPr>
        <w:t>, rejects Aristotelian logic and seeks to replace it with a new logic that would yield new knowledge. Descartes and Hobbes are likewise critical,</w:t>
      </w:r>
      <w:r w:rsidR="00DE4057" w:rsidRPr="007C6417">
        <w:rPr>
          <w:rStyle w:val="FootnoteReference"/>
          <w:color w:val="000000"/>
          <w:lang w:val="en-US"/>
        </w:rPr>
        <w:footnoteReference w:id="72"/>
      </w:r>
      <w:r w:rsidRPr="007C6417">
        <w:rPr>
          <w:color w:val="000000"/>
          <w:lang w:val="en-US"/>
        </w:rPr>
        <w:t xml:space="preserve"> while John Locke, in his</w:t>
      </w:r>
      <w:r w:rsidRPr="007C6417">
        <w:rPr>
          <w:rStyle w:val="apple-converted-space"/>
          <w:rFonts w:eastAsiaTheme="majorEastAsia"/>
          <w:color w:val="000000"/>
          <w:lang w:val="en-US"/>
        </w:rPr>
        <w:t> </w:t>
      </w:r>
      <w:r w:rsidRPr="007C6417">
        <w:rPr>
          <w:rStyle w:val="Emphasis"/>
          <w:rFonts w:eastAsiaTheme="majorEastAsia"/>
          <w:color w:val="000000"/>
          <w:lang w:val="en-US"/>
        </w:rPr>
        <w:t>Essay Concerning Human Understanding</w:t>
      </w:r>
      <w:r w:rsidRPr="007C6417">
        <w:rPr>
          <w:rStyle w:val="apple-converted-space"/>
          <w:rFonts w:eastAsiaTheme="majorEastAsia"/>
          <w:color w:val="000000"/>
          <w:lang w:val="en-US"/>
        </w:rPr>
        <w:t> </w:t>
      </w:r>
      <w:r w:rsidRPr="007C6417">
        <w:rPr>
          <w:color w:val="000000"/>
          <w:lang w:val="en-US"/>
        </w:rPr>
        <w:t>(1689), regards Aristotelian syllogistic as useless and offers several specific critical remarks.</w:t>
      </w:r>
      <w:r w:rsidR="00DE4057" w:rsidRPr="007C6417">
        <w:rPr>
          <w:rStyle w:val="FootnoteReference"/>
          <w:color w:val="000000"/>
          <w:lang w:val="en-US"/>
        </w:rPr>
        <w:footnoteReference w:id="73"/>
      </w:r>
      <w:r w:rsidRPr="007C6417">
        <w:rPr>
          <w:color w:val="000000"/>
          <w:lang w:val="en-US"/>
        </w:rPr>
        <w:t xml:space="preserve"> Kant’s attitude toward Aristotelian syllogistic is more positive: he shows particular interest in the logical principles</w:t>
      </w:r>
      <w:r w:rsidRPr="007C6417">
        <w:rPr>
          <w:rStyle w:val="apple-converted-space"/>
          <w:rFonts w:eastAsiaTheme="majorEastAsia"/>
          <w:color w:val="000000"/>
          <w:lang w:val="en-US"/>
        </w:rPr>
        <w:t> </w:t>
      </w:r>
      <w:r w:rsidRPr="007C6417">
        <w:rPr>
          <w:rStyle w:val="Emphasis"/>
          <w:rFonts w:eastAsiaTheme="majorEastAsia"/>
          <w:color w:val="000000"/>
          <w:lang w:val="en-US"/>
        </w:rPr>
        <w:t>dictum de omni</w:t>
      </w:r>
      <w:r w:rsidRPr="007C6417">
        <w:rPr>
          <w:rStyle w:val="apple-converted-space"/>
          <w:rFonts w:eastAsiaTheme="majorEastAsia"/>
          <w:color w:val="000000"/>
          <w:lang w:val="en-US"/>
        </w:rPr>
        <w:t> </w:t>
      </w:r>
      <w:r w:rsidRPr="007C6417">
        <w:rPr>
          <w:color w:val="000000"/>
          <w:lang w:val="en-US"/>
        </w:rPr>
        <w:t>and</w:t>
      </w:r>
      <w:r w:rsidRPr="007C6417">
        <w:rPr>
          <w:rStyle w:val="apple-converted-space"/>
          <w:rFonts w:eastAsiaTheme="majorEastAsia"/>
          <w:color w:val="000000"/>
          <w:lang w:val="en-US"/>
        </w:rPr>
        <w:t> </w:t>
      </w:r>
      <w:r w:rsidRPr="007C6417">
        <w:rPr>
          <w:rStyle w:val="Emphasis"/>
          <w:rFonts w:eastAsiaTheme="majorEastAsia"/>
          <w:color w:val="000000"/>
          <w:lang w:val="en-US"/>
        </w:rPr>
        <w:t xml:space="preserve">dictum de </w:t>
      </w:r>
      <w:proofErr w:type="spellStart"/>
      <w:r w:rsidRPr="007C6417">
        <w:rPr>
          <w:rStyle w:val="Emphasis"/>
          <w:rFonts w:eastAsiaTheme="majorEastAsia"/>
          <w:color w:val="000000"/>
          <w:lang w:val="en-US"/>
        </w:rPr>
        <w:t>nullo</w:t>
      </w:r>
      <w:proofErr w:type="spellEnd"/>
      <w:r w:rsidRPr="007C6417">
        <w:rPr>
          <w:color w:val="000000"/>
          <w:lang w:val="en-US"/>
        </w:rPr>
        <w:t>, and he calls all syllogisms other than those of the first figure “impure” (</w:t>
      </w:r>
      <w:proofErr w:type="spellStart"/>
      <w:r w:rsidRPr="007C6417">
        <w:rPr>
          <w:rStyle w:val="Emphasis"/>
          <w:rFonts w:eastAsiaTheme="majorEastAsia"/>
          <w:color w:val="000000"/>
          <w:lang w:val="en-US"/>
        </w:rPr>
        <w:t>unreine</w:t>
      </w:r>
      <w:proofErr w:type="spellEnd"/>
      <w:r w:rsidRPr="007C6417">
        <w:rPr>
          <w:color w:val="000000"/>
          <w:lang w:val="en-US"/>
        </w:rPr>
        <w:t>).</w:t>
      </w:r>
      <w:r w:rsidR="00DE4057" w:rsidRPr="007C6417">
        <w:rPr>
          <w:rStyle w:val="FootnoteReference"/>
          <w:color w:val="000000"/>
          <w:lang w:val="en-US"/>
        </w:rPr>
        <w:footnoteReference w:id="74"/>
      </w:r>
      <w:r w:rsidRPr="007C6417">
        <w:rPr>
          <w:color w:val="000000"/>
          <w:lang w:val="en-US"/>
        </w:rPr>
        <w:t xml:space="preserve"> Both Kant and Hegel speak of four syllogistic figures.</w:t>
      </w:r>
      <w:r w:rsidR="00760D5E" w:rsidRPr="007C6417">
        <w:rPr>
          <w:rStyle w:val="FootnoteReference"/>
          <w:color w:val="000000"/>
          <w:lang w:val="en-US"/>
        </w:rPr>
        <w:footnoteReference w:id="75"/>
      </w:r>
      <w:r w:rsidRPr="007C6417">
        <w:rPr>
          <w:color w:val="000000"/>
          <w:lang w:val="en-US"/>
        </w:rPr>
        <w:t xml:space="preserve"> The latter presents Aristotelian syllogistic in his</w:t>
      </w:r>
      <w:r w:rsidRPr="007C6417">
        <w:rPr>
          <w:rStyle w:val="apple-converted-space"/>
          <w:rFonts w:eastAsiaTheme="majorEastAsia"/>
          <w:color w:val="000000"/>
          <w:lang w:val="en-US"/>
        </w:rPr>
        <w:t> </w:t>
      </w:r>
      <w:r w:rsidRPr="007C6417">
        <w:rPr>
          <w:rStyle w:val="Emphasis"/>
          <w:rFonts w:eastAsiaTheme="majorEastAsia"/>
          <w:color w:val="000000"/>
          <w:lang w:val="en-US"/>
        </w:rPr>
        <w:t>Wissenschaft der Logik</w:t>
      </w:r>
      <w:r w:rsidRPr="007C6417">
        <w:rPr>
          <w:color w:val="000000"/>
          <w:lang w:val="en-US"/>
        </w:rPr>
        <w:t>, though his understanding of it appears to be incomplete. It is noteworthy that 1831, the year of Hegel’s death, is also the year of a revival of Aristotelian texts, with the new edition of Aristotle by Immanuel Bekker, which remains fundamental to this day.</w:t>
      </w:r>
    </w:p>
    <w:p w14:paraId="11A763BA" w14:textId="6043D81D" w:rsidR="00304420" w:rsidRPr="007C6417" w:rsidRDefault="00304420" w:rsidP="00304420">
      <w:pPr>
        <w:pStyle w:val="NormalWeb"/>
        <w:rPr>
          <w:color w:val="000000"/>
          <w:lang w:val="en-US"/>
        </w:rPr>
      </w:pPr>
      <w:r w:rsidRPr="007C6417">
        <w:rPr>
          <w:color w:val="000000"/>
          <w:lang w:val="en-US"/>
        </w:rPr>
        <w:t xml:space="preserve">In the 19th century, the science of logic undergoes a genuine revolution with the contributions of G. Frege (1848–1925). At the same time, the field of the history of logic takes shape, which examines the Aristotelian logic in the light of contemporary developments </w:t>
      </w:r>
      <w:r w:rsidRPr="007C6417">
        <w:rPr>
          <w:color w:val="000000"/>
          <w:lang w:val="en-US"/>
        </w:rPr>
        <w:lastRenderedPageBreak/>
        <w:t>in the field of logic.</w:t>
      </w:r>
      <w:r w:rsidR="00760D5E" w:rsidRPr="007C6417">
        <w:rPr>
          <w:rStyle w:val="FootnoteReference"/>
          <w:color w:val="000000"/>
          <w:lang w:val="en-US"/>
        </w:rPr>
        <w:footnoteReference w:id="76"/>
      </w:r>
      <w:r w:rsidRPr="007C6417">
        <w:rPr>
          <w:color w:val="000000"/>
          <w:lang w:val="en-US"/>
        </w:rPr>
        <w:t xml:space="preserve"> The first important work in this area is that of K. Prantl, published in 1855, prior to the contributions of Frege. Half a century later, interest in Aristotelian logic has taken on a different character. The Polish logician J. Łukasiewicz makes significant contributions both to logic (he invents many-valued logics) and to its history. He is the one who rediscovers Stoic logic in the modern period as a coherent propositional logic and criticizes the related dismissive views of Prantl and Zeller. He argues that, after the discoveries of Frege, the history of logic must be rewritten—a task he himself undertakes with an initial work on the principle of non-contradiction in Aristotle, published in Polish in 1910.</w:t>
      </w:r>
    </w:p>
    <w:p w14:paraId="5DA99A9B" w14:textId="32F2D828"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In 1951 he publishes in English </w:t>
      </w:r>
      <w:r w:rsidRPr="007C6417">
        <w:rPr>
          <w:rFonts w:ascii="Times New Roman" w:eastAsia="Times New Roman" w:hAnsi="Times New Roman" w:cs="Times New Roman"/>
          <w:i/>
          <w:iCs/>
          <w:color w:val="000000"/>
          <w:lang w:val="en-US" w:eastAsia="en-GB"/>
        </w:rPr>
        <w:t>Aristotle’s Syllogistic from the Standpoint of Modern Formal Logic</w:t>
      </w:r>
      <w:r w:rsidRPr="007C6417">
        <w:rPr>
          <w:rFonts w:ascii="Times New Roman" w:eastAsia="Times New Roman" w:hAnsi="Times New Roman" w:cs="Times New Roman"/>
          <w:color w:val="000000"/>
          <w:lang w:val="en-US" w:eastAsia="en-GB"/>
        </w:rPr>
        <w:t>, which, as its title indicates, interprets Aristotelian syllogistic as an axiomatic system from the perspective of modern, Fregean logic—that is, as a system grounded in propositional axioms.</w:t>
      </w:r>
      <w:r w:rsidR="00760D5E" w:rsidRPr="007C6417">
        <w:rPr>
          <w:rStyle w:val="FootnoteReference"/>
          <w:rFonts w:ascii="Times New Roman" w:eastAsia="Times New Roman" w:hAnsi="Times New Roman" w:cs="Times New Roman"/>
          <w:color w:val="000000"/>
          <w:lang w:val="en-US" w:eastAsia="en-GB"/>
        </w:rPr>
        <w:footnoteReference w:id="77"/>
      </w:r>
      <w:r w:rsidRPr="007C6417">
        <w:rPr>
          <w:rFonts w:ascii="Times New Roman" w:eastAsia="Times New Roman" w:hAnsi="Times New Roman" w:cs="Times New Roman"/>
          <w:color w:val="000000"/>
          <w:lang w:val="en-US" w:eastAsia="en-GB"/>
        </w:rPr>
        <w:t xml:space="preserve"> Two years after the (posthumous) second edition of Łukasiewicz’s work (1957), the </w:t>
      </w:r>
      <w:proofErr w:type="spellStart"/>
      <w:r w:rsidRPr="007C6417">
        <w:rPr>
          <w:rFonts w:ascii="Times New Roman" w:eastAsia="Times New Roman" w:hAnsi="Times New Roman" w:cs="Times New Roman"/>
          <w:i/>
          <w:iCs/>
          <w:color w:val="000000"/>
          <w:lang w:val="en-US" w:eastAsia="en-GB"/>
        </w:rPr>
        <w:t>Habilitationsschrift</w:t>
      </w:r>
      <w:proofErr w:type="spellEnd"/>
      <w:r w:rsidRPr="007C6417">
        <w:rPr>
          <w:rFonts w:ascii="Times New Roman" w:eastAsia="Times New Roman" w:hAnsi="Times New Roman" w:cs="Times New Roman"/>
          <w:color w:val="000000"/>
          <w:lang w:val="en-US" w:eastAsia="en-GB"/>
        </w:rPr>
        <w:t xml:space="preserve"> of G. </w:t>
      </w:r>
      <w:proofErr w:type="spellStart"/>
      <w:r w:rsidRPr="007C6417">
        <w:rPr>
          <w:rFonts w:ascii="Times New Roman" w:eastAsia="Times New Roman" w:hAnsi="Times New Roman" w:cs="Times New Roman"/>
          <w:color w:val="000000"/>
          <w:lang w:val="en-US" w:eastAsia="en-GB"/>
        </w:rPr>
        <w:t>Patzig</w:t>
      </w:r>
      <w:proofErr w:type="spellEnd"/>
      <w:r w:rsidRPr="007C6417">
        <w:rPr>
          <w:rFonts w:ascii="Times New Roman" w:eastAsia="Times New Roman" w:hAnsi="Times New Roman" w:cs="Times New Roman"/>
          <w:color w:val="000000"/>
          <w:lang w:val="en-US" w:eastAsia="en-GB"/>
        </w:rPr>
        <w:t xml:space="preserve"> appears: </w:t>
      </w:r>
      <w:r w:rsidRPr="007C6417">
        <w:rPr>
          <w:rFonts w:ascii="Times New Roman" w:eastAsia="Times New Roman" w:hAnsi="Times New Roman" w:cs="Times New Roman"/>
          <w:i/>
          <w:iCs/>
          <w:color w:val="000000"/>
          <w:lang w:val="en-US" w:eastAsia="en-GB"/>
        </w:rPr>
        <w:t xml:space="preserve">Die </w:t>
      </w:r>
      <w:proofErr w:type="spellStart"/>
      <w:r w:rsidRPr="007C6417">
        <w:rPr>
          <w:rFonts w:ascii="Times New Roman" w:eastAsia="Times New Roman" w:hAnsi="Times New Roman" w:cs="Times New Roman"/>
          <w:i/>
          <w:iCs/>
          <w:color w:val="000000"/>
          <w:lang w:val="en-US" w:eastAsia="en-GB"/>
        </w:rPr>
        <w:t>aristotelische</w:t>
      </w:r>
      <w:proofErr w:type="spellEnd"/>
      <w:r w:rsidRPr="007C6417">
        <w:rPr>
          <w:rFonts w:ascii="Times New Roman" w:eastAsia="Times New Roman" w:hAnsi="Times New Roman" w:cs="Times New Roman"/>
          <w:i/>
          <w:iCs/>
          <w:color w:val="000000"/>
          <w:lang w:val="en-US" w:eastAsia="en-GB"/>
        </w:rPr>
        <w:t xml:space="preserve"> </w:t>
      </w:r>
      <w:proofErr w:type="spellStart"/>
      <w:r w:rsidRPr="007C6417">
        <w:rPr>
          <w:rFonts w:ascii="Times New Roman" w:eastAsia="Times New Roman" w:hAnsi="Times New Roman" w:cs="Times New Roman"/>
          <w:i/>
          <w:iCs/>
          <w:color w:val="000000"/>
          <w:lang w:val="en-US" w:eastAsia="en-GB"/>
        </w:rPr>
        <w:t>Syllogistik</w:t>
      </w:r>
      <w:proofErr w:type="spellEnd"/>
      <w:r w:rsidRPr="007C6417">
        <w:rPr>
          <w:rFonts w:ascii="Times New Roman" w:eastAsia="Times New Roman" w:hAnsi="Times New Roman" w:cs="Times New Roman"/>
          <w:i/>
          <w:iCs/>
          <w:color w:val="000000"/>
          <w:lang w:val="en-US" w:eastAsia="en-GB"/>
        </w:rPr>
        <w:t xml:space="preserve">. </w:t>
      </w:r>
      <w:proofErr w:type="spellStart"/>
      <w:r w:rsidRPr="007C6417">
        <w:rPr>
          <w:rFonts w:ascii="Times New Roman" w:eastAsia="Times New Roman" w:hAnsi="Times New Roman" w:cs="Times New Roman"/>
          <w:i/>
          <w:iCs/>
          <w:color w:val="000000"/>
          <w:lang w:val="en-US" w:eastAsia="en-GB"/>
        </w:rPr>
        <w:t>Logisch-philologische</w:t>
      </w:r>
      <w:proofErr w:type="spellEnd"/>
      <w:r w:rsidRPr="007C6417">
        <w:rPr>
          <w:rFonts w:ascii="Times New Roman" w:eastAsia="Times New Roman" w:hAnsi="Times New Roman" w:cs="Times New Roman"/>
          <w:i/>
          <w:iCs/>
          <w:color w:val="000000"/>
          <w:lang w:val="en-US" w:eastAsia="en-GB"/>
        </w:rPr>
        <w:t xml:space="preserve"> </w:t>
      </w:r>
      <w:proofErr w:type="spellStart"/>
      <w:r w:rsidRPr="007C6417">
        <w:rPr>
          <w:rFonts w:ascii="Times New Roman" w:eastAsia="Times New Roman" w:hAnsi="Times New Roman" w:cs="Times New Roman"/>
          <w:i/>
          <w:iCs/>
          <w:color w:val="000000"/>
          <w:lang w:val="en-US" w:eastAsia="en-GB"/>
        </w:rPr>
        <w:t>Untersuchungen</w:t>
      </w:r>
      <w:proofErr w:type="spellEnd"/>
      <w:r w:rsidRPr="007C6417">
        <w:rPr>
          <w:rFonts w:ascii="Times New Roman" w:eastAsia="Times New Roman" w:hAnsi="Times New Roman" w:cs="Times New Roman"/>
          <w:i/>
          <w:iCs/>
          <w:color w:val="000000"/>
          <w:lang w:val="en-US" w:eastAsia="en-GB"/>
        </w:rPr>
        <w:t xml:space="preserve"> </w:t>
      </w:r>
      <w:proofErr w:type="spellStart"/>
      <w:r w:rsidRPr="007C6417">
        <w:rPr>
          <w:rFonts w:ascii="Times New Roman" w:eastAsia="Times New Roman" w:hAnsi="Times New Roman" w:cs="Times New Roman"/>
          <w:i/>
          <w:iCs/>
          <w:color w:val="000000"/>
          <w:lang w:val="en-US" w:eastAsia="en-GB"/>
        </w:rPr>
        <w:t>über</w:t>
      </w:r>
      <w:proofErr w:type="spellEnd"/>
      <w:r w:rsidRPr="007C6417">
        <w:rPr>
          <w:rFonts w:ascii="Times New Roman" w:eastAsia="Times New Roman" w:hAnsi="Times New Roman" w:cs="Times New Roman"/>
          <w:i/>
          <w:iCs/>
          <w:color w:val="000000"/>
          <w:lang w:val="en-US" w:eastAsia="en-GB"/>
        </w:rPr>
        <w:t xml:space="preserve"> das Buch A der </w:t>
      </w:r>
      <w:proofErr w:type="spellStart"/>
      <w:r w:rsidRPr="007C6417">
        <w:rPr>
          <w:rFonts w:ascii="Times New Roman" w:eastAsia="Times New Roman" w:hAnsi="Times New Roman" w:cs="Times New Roman"/>
          <w:i/>
          <w:iCs/>
          <w:color w:val="000000"/>
          <w:lang w:val="en-US" w:eastAsia="en-GB"/>
        </w:rPr>
        <w:t>Ersten</w:t>
      </w:r>
      <w:proofErr w:type="spellEnd"/>
      <w:r w:rsidRPr="007C6417">
        <w:rPr>
          <w:rFonts w:ascii="Times New Roman" w:eastAsia="Times New Roman" w:hAnsi="Times New Roman" w:cs="Times New Roman"/>
          <w:i/>
          <w:iCs/>
          <w:color w:val="000000"/>
          <w:lang w:val="en-US" w:eastAsia="en-GB"/>
        </w:rPr>
        <w:t xml:space="preserve"> </w:t>
      </w:r>
      <w:proofErr w:type="spellStart"/>
      <w:r w:rsidRPr="007C6417">
        <w:rPr>
          <w:rFonts w:ascii="Times New Roman" w:eastAsia="Times New Roman" w:hAnsi="Times New Roman" w:cs="Times New Roman"/>
          <w:i/>
          <w:iCs/>
          <w:color w:val="000000"/>
          <w:lang w:val="en-US" w:eastAsia="en-GB"/>
        </w:rPr>
        <w:t>Analytiken</w:t>
      </w:r>
      <w:proofErr w:type="spellEnd"/>
      <w:r w:rsidRPr="007C6417">
        <w:rPr>
          <w:rFonts w:ascii="Times New Roman" w:eastAsia="Times New Roman" w:hAnsi="Times New Roman" w:cs="Times New Roman"/>
          <w:color w:val="000000"/>
          <w:lang w:val="en-US" w:eastAsia="en-GB"/>
        </w:rPr>
        <w:t xml:space="preserve">, Göttingen 1959. This work </w:t>
      </w:r>
      <w:proofErr w:type="gramStart"/>
      <w:r w:rsidRPr="007C6417">
        <w:rPr>
          <w:rFonts w:ascii="Times New Roman" w:eastAsia="Times New Roman" w:hAnsi="Times New Roman" w:cs="Times New Roman"/>
          <w:color w:val="000000"/>
          <w:lang w:val="en-US" w:eastAsia="en-GB"/>
        </w:rPr>
        <w:t>takes into account</w:t>
      </w:r>
      <w:proofErr w:type="gramEnd"/>
      <w:r w:rsidRPr="007C6417">
        <w:rPr>
          <w:rFonts w:ascii="Times New Roman" w:eastAsia="Times New Roman" w:hAnsi="Times New Roman" w:cs="Times New Roman"/>
          <w:color w:val="000000"/>
          <w:lang w:val="en-US" w:eastAsia="en-GB"/>
        </w:rPr>
        <w:t xml:space="preserve"> both the new mathematical logic and Aristotle’s own text, as well as—at least in part—the ancient commentary tradition.</w:t>
      </w:r>
    </w:p>
    <w:p w14:paraId="4E9D0373" w14:textId="03792938"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A few years later, in 1962, the foundational work of W. Kneale and M. Kneale, </w:t>
      </w:r>
      <w:r w:rsidRPr="007C6417">
        <w:rPr>
          <w:rFonts w:ascii="Times New Roman" w:eastAsia="Times New Roman" w:hAnsi="Times New Roman" w:cs="Times New Roman"/>
          <w:i/>
          <w:iCs/>
          <w:color w:val="000000"/>
          <w:lang w:val="en-US" w:eastAsia="en-GB"/>
        </w:rPr>
        <w:t>The Development of Logic</w:t>
      </w:r>
      <w:r w:rsidRPr="007C6417">
        <w:rPr>
          <w:rFonts w:ascii="Times New Roman" w:eastAsia="Times New Roman" w:hAnsi="Times New Roman" w:cs="Times New Roman"/>
          <w:color w:val="000000"/>
          <w:lang w:val="en-US" w:eastAsia="en-GB"/>
        </w:rPr>
        <w:t xml:space="preserve">, is published. The study of Aristotelian syllogistic continues with J. Corcoran and T. Smiley, and with </w:t>
      </w:r>
      <w:proofErr w:type="spellStart"/>
      <w:r w:rsidRPr="007C6417">
        <w:rPr>
          <w:rFonts w:ascii="Times New Roman" w:eastAsia="Times New Roman" w:hAnsi="Times New Roman" w:cs="Times New Roman"/>
          <w:color w:val="000000"/>
          <w:lang w:val="en-US" w:eastAsia="en-GB"/>
        </w:rPr>
        <w:t>Patzig’s</w:t>
      </w:r>
      <w:proofErr w:type="spellEnd"/>
      <w:r w:rsidRPr="007C6417">
        <w:rPr>
          <w:rFonts w:ascii="Times New Roman" w:eastAsia="Times New Roman" w:hAnsi="Times New Roman" w:cs="Times New Roman"/>
          <w:color w:val="000000"/>
          <w:lang w:val="en-US" w:eastAsia="en-GB"/>
        </w:rPr>
        <w:t xml:space="preserve"> students, M. Frede and G. Striker, who write important articles on Aristotelian syllogistic, and—in the case of the latter—a commentary on Book I of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w:t>
      </w:r>
      <w:r w:rsidR="00760D5E" w:rsidRPr="007C6417">
        <w:rPr>
          <w:rStyle w:val="FootnoteReference"/>
          <w:rFonts w:ascii="Times New Roman" w:eastAsia="Times New Roman" w:hAnsi="Times New Roman" w:cs="Times New Roman"/>
          <w:color w:val="000000"/>
          <w:lang w:val="en-US" w:eastAsia="en-GB"/>
        </w:rPr>
        <w:footnoteReference w:id="78"/>
      </w:r>
      <w:r w:rsidRPr="007C6417">
        <w:rPr>
          <w:rFonts w:ascii="Times New Roman" w:eastAsia="Times New Roman" w:hAnsi="Times New Roman" w:cs="Times New Roman"/>
          <w:color w:val="000000"/>
          <w:lang w:val="en-US" w:eastAsia="en-GB"/>
        </w:rPr>
        <w:t xml:space="preserve"> Research in this field has again come to the fore in recent years, with the studies of Marko </w:t>
      </w:r>
      <w:proofErr w:type="spellStart"/>
      <w:r w:rsidRPr="007C6417">
        <w:rPr>
          <w:rFonts w:ascii="Times New Roman" w:eastAsia="Times New Roman" w:hAnsi="Times New Roman" w:cs="Times New Roman"/>
          <w:color w:val="000000"/>
          <w:lang w:val="en-US" w:eastAsia="en-GB"/>
        </w:rPr>
        <w:t>Malink</w:t>
      </w:r>
      <w:proofErr w:type="spellEnd"/>
      <w:r w:rsidRPr="007C6417">
        <w:rPr>
          <w:rFonts w:ascii="Times New Roman" w:eastAsia="Times New Roman" w:hAnsi="Times New Roman" w:cs="Times New Roman"/>
          <w:color w:val="000000"/>
          <w:lang w:val="en-US" w:eastAsia="en-GB"/>
        </w:rPr>
        <w:t>,</w:t>
      </w:r>
      <w:r w:rsidR="00760D5E" w:rsidRPr="007C6417">
        <w:rPr>
          <w:rStyle w:val="FootnoteReference"/>
          <w:rFonts w:ascii="Times New Roman" w:eastAsia="Times New Roman" w:hAnsi="Times New Roman" w:cs="Times New Roman"/>
          <w:color w:val="000000"/>
          <w:lang w:val="en-US" w:eastAsia="en-GB"/>
        </w:rPr>
        <w:footnoteReference w:id="79"/>
      </w:r>
      <w:r w:rsidRPr="007C6417">
        <w:rPr>
          <w:rFonts w:ascii="Times New Roman" w:eastAsia="Times New Roman" w:hAnsi="Times New Roman" w:cs="Times New Roman"/>
          <w:color w:val="000000"/>
          <w:lang w:val="en-US" w:eastAsia="en-GB"/>
        </w:rPr>
        <w:t xml:space="preserve"> who seeks to vindicate disputed parts of Aristotelian syllogistic—especially modal logic—and to defend Aristotle against alleged inconsistencies which, in his view, arise from mistaken interpretations.</w:t>
      </w:r>
    </w:p>
    <w:p w14:paraId="789A3621" w14:textId="151A4D60" w:rsidR="00304420" w:rsidRPr="007C6417" w:rsidRDefault="00304420" w:rsidP="00304420">
      <w:pPr>
        <w:rPr>
          <w:rFonts w:ascii="Times New Roman" w:eastAsia="Times New Roman" w:hAnsi="Times New Roman" w:cs="Times New Roman"/>
          <w:lang w:val="en-US" w:eastAsia="en-GB"/>
        </w:rPr>
      </w:pPr>
    </w:p>
    <w:p w14:paraId="4F1B8AA5" w14:textId="77777777" w:rsidR="00304420" w:rsidRPr="007C6417" w:rsidRDefault="00304420" w:rsidP="00304420">
      <w:pPr>
        <w:spacing w:before="100" w:beforeAutospacing="1" w:after="100" w:afterAutospacing="1"/>
        <w:outlineLvl w:val="2"/>
        <w:rPr>
          <w:rFonts w:ascii="Times New Roman" w:eastAsia="Times New Roman" w:hAnsi="Times New Roman" w:cs="Times New Roman"/>
          <w:b/>
          <w:bCs/>
          <w:color w:val="000000"/>
          <w:sz w:val="27"/>
          <w:szCs w:val="27"/>
          <w:lang w:val="en-US" w:eastAsia="en-GB"/>
        </w:rPr>
      </w:pPr>
      <w:r w:rsidRPr="007C6417">
        <w:rPr>
          <w:rFonts w:ascii="Times New Roman" w:eastAsia="Times New Roman" w:hAnsi="Times New Roman" w:cs="Times New Roman"/>
          <w:b/>
          <w:bCs/>
          <w:color w:val="000000"/>
          <w:sz w:val="27"/>
          <w:szCs w:val="27"/>
          <w:lang w:val="en-US" w:eastAsia="en-GB"/>
        </w:rPr>
        <w:t>4. The manuscript tradition – the text of the </w:t>
      </w:r>
      <w:r w:rsidRPr="007C6417">
        <w:rPr>
          <w:rFonts w:ascii="Times New Roman" w:eastAsia="Times New Roman" w:hAnsi="Times New Roman" w:cs="Times New Roman"/>
          <w:b/>
          <w:bCs/>
          <w:i/>
          <w:iCs/>
          <w:color w:val="000000"/>
          <w:sz w:val="27"/>
          <w:szCs w:val="27"/>
          <w:lang w:val="en-US" w:eastAsia="en-GB"/>
        </w:rPr>
        <w:t>Prior Analytics</w:t>
      </w:r>
    </w:p>
    <w:p w14:paraId="6EA2C31D" w14:textId="48F0D2A3"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Like almost all Aristotelian works (the exception being the </w:t>
      </w:r>
      <w:r w:rsidRPr="007C6417">
        <w:rPr>
          <w:rFonts w:ascii="Times New Roman" w:eastAsia="Times New Roman" w:hAnsi="Times New Roman" w:cs="Times New Roman"/>
          <w:i/>
          <w:iCs/>
          <w:color w:val="000000"/>
          <w:lang w:val="en-US" w:eastAsia="en-GB"/>
        </w:rPr>
        <w:t>Athenian Constitution</w:t>
      </w:r>
      <w:r w:rsidRPr="007C6417">
        <w:rPr>
          <w:rFonts w:ascii="Times New Roman" w:eastAsia="Times New Roman" w:hAnsi="Times New Roman" w:cs="Times New Roman"/>
          <w:color w:val="000000"/>
          <w:lang w:val="en-US" w:eastAsia="en-GB"/>
        </w:rPr>
        <w:t>, which was preserved on a papyrus of the 1st century CE, Brit. Mus. pap. 131), the </w:t>
      </w:r>
      <w:r w:rsidRPr="007C6417">
        <w:rPr>
          <w:rFonts w:ascii="Times New Roman" w:eastAsia="Times New Roman" w:hAnsi="Times New Roman" w:cs="Times New Roman"/>
          <w:i/>
          <w:iCs/>
          <w:color w:val="000000"/>
          <w:lang w:val="en-US" w:eastAsia="en-GB"/>
        </w:rPr>
        <w:t>Prior Analytics</w:t>
      </w:r>
      <w:r w:rsidRPr="007C6417">
        <w:rPr>
          <w:rFonts w:ascii="Times New Roman" w:eastAsia="Times New Roman" w:hAnsi="Times New Roman" w:cs="Times New Roman"/>
          <w:color w:val="000000"/>
          <w:lang w:val="en-US" w:eastAsia="en-GB"/>
        </w:rPr>
        <w:t> have reached us through medieval manuscripts.</w:t>
      </w:r>
      <w:r w:rsidR="00760D5E" w:rsidRPr="007C6417">
        <w:rPr>
          <w:rStyle w:val="FootnoteReference"/>
          <w:rFonts w:ascii="Times New Roman" w:eastAsia="Times New Roman" w:hAnsi="Times New Roman" w:cs="Times New Roman"/>
          <w:color w:val="000000"/>
          <w:lang w:val="en-US" w:eastAsia="en-GB"/>
        </w:rPr>
        <w:footnoteReference w:id="80"/>
      </w:r>
      <w:r w:rsidRPr="007C6417">
        <w:rPr>
          <w:rFonts w:ascii="Times New Roman" w:eastAsia="Times New Roman" w:hAnsi="Times New Roman" w:cs="Times New Roman"/>
          <w:color w:val="000000"/>
          <w:lang w:val="en-US" w:eastAsia="en-GB"/>
        </w:rPr>
        <w:t xml:space="preserve"> Most of these manuscripts also contain other works of the Aristotelian corpus, chiefly other works of the </w:t>
      </w:r>
      <w:r w:rsidRPr="007C6417">
        <w:rPr>
          <w:rFonts w:ascii="Times New Roman" w:eastAsia="Times New Roman" w:hAnsi="Times New Roman" w:cs="Times New Roman"/>
          <w:i/>
          <w:iCs/>
          <w:color w:val="000000"/>
          <w:lang w:val="en-US" w:eastAsia="en-GB"/>
        </w:rPr>
        <w:t>Organon</w:t>
      </w:r>
      <w:r w:rsidRPr="007C6417">
        <w:rPr>
          <w:rFonts w:ascii="Times New Roman" w:eastAsia="Times New Roman" w:hAnsi="Times New Roman" w:cs="Times New Roman"/>
          <w:color w:val="000000"/>
          <w:lang w:val="en-US" w:eastAsia="en-GB"/>
        </w:rPr>
        <w:t>, which, as we noted above, was copied more than any other group of works in Byzantium. It is noteworthy that the </w:t>
      </w:r>
      <w:r w:rsidRPr="007C6417">
        <w:rPr>
          <w:rFonts w:ascii="Times New Roman" w:eastAsia="Times New Roman" w:hAnsi="Times New Roman" w:cs="Times New Roman"/>
          <w:i/>
          <w:iCs/>
          <w:color w:val="000000"/>
          <w:lang w:val="en-US" w:eastAsia="en-GB"/>
        </w:rPr>
        <w:t>Organon</w:t>
      </w:r>
      <w:r w:rsidRPr="007C6417">
        <w:rPr>
          <w:rFonts w:ascii="Times New Roman" w:eastAsia="Times New Roman" w:hAnsi="Times New Roman" w:cs="Times New Roman"/>
          <w:color w:val="000000"/>
          <w:lang w:val="en-US" w:eastAsia="en-GB"/>
        </w:rPr>
        <w:t> survives in particularly early manuscripts—from the 9th, 10th, and 11th centuries—something rare in the manuscript tradition of classical texts.</w:t>
      </w:r>
      <w:r w:rsidR="00760D5E" w:rsidRPr="007C6417">
        <w:rPr>
          <w:rStyle w:val="FootnoteReference"/>
          <w:rFonts w:ascii="Times New Roman" w:eastAsia="Times New Roman" w:hAnsi="Times New Roman" w:cs="Times New Roman"/>
          <w:color w:val="000000"/>
          <w:lang w:val="en-US" w:eastAsia="en-GB"/>
        </w:rPr>
        <w:footnoteReference w:id="81"/>
      </w:r>
    </w:p>
    <w:p w14:paraId="7524344E"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lastRenderedPageBreak/>
        <w:t xml:space="preserve">In addition to these manuscripts, which we shall briefly present below, important witnesses to the ancient text are also the ancient translations of the work, chiefly into Latin by Boethius (5th–6th c.) and into Syriac (there are two Syriac translations, from the 5th and the 7th–8th centuries respectively). In addition, useful evidence is provided by the </w:t>
      </w:r>
      <w:proofErr w:type="spellStart"/>
      <w:r w:rsidRPr="007C6417">
        <w:rPr>
          <w:rFonts w:ascii="Times New Roman" w:eastAsia="Times New Roman" w:hAnsi="Times New Roman" w:cs="Times New Roman"/>
          <w:color w:val="000000"/>
          <w:lang w:val="en-US" w:eastAsia="en-GB"/>
        </w:rPr>
        <w:t>lemmata</w:t>
      </w:r>
      <w:proofErr w:type="spellEnd"/>
      <w:r w:rsidRPr="007C6417">
        <w:rPr>
          <w:rFonts w:ascii="Times New Roman" w:eastAsia="Times New Roman" w:hAnsi="Times New Roman" w:cs="Times New Roman"/>
          <w:color w:val="000000"/>
          <w:lang w:val="en-US" w:eastAsia="en-GB"/>
        </w:rPr>
        <w:t xml:space="preserve"> of the ancient text found in the ancient commentaries of Alexander, Ammonius, and </w:t>
      </w:r>
      <w:proofErr w:type="spellStart"/>
      <w:r w:rsidRPr="007C6417">
        <w:rPr>
          <w:rFonts w:ascii="Times New Roman" w:eastAsia="Times New Roman" w:hAnsi="Times New Roman" w:cs="Times New Roman"/>
          <w:color w:val="000000"/>
          <w:lang w:val="en-US" w:eastAsia="en-GB"/>
        </w:rPr>
        <w:t>Philoponus</w:t>
      </w:r>
      <w:proofErr w:type="spellEnd"/>
      <w:r w:rsidRPr="007C6417">
        <w:rPr>
          <w:rFonts w:ascii="Times New Roman" w:eastAsia="Times New Roman" w:hAnsi="Times New Roman" w:cs="Times New Roman"/>
          <w:color w:val="000000"/>
          <w:lang w:val="en-US" w:eastAsia="en-GB"/>
        </w:rPr>
        <w:t>.</w:t>
      </w:r>
    </w:p>
    <w:p w14:paraId="08F78F72"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most important medieval manuscripts on which both the Ross edition of 1949 (reprinted with corrections in 1959 and 1965) and the Ross/Minio-</w:t>
      </w:r>
      <w:proofErr w:type="spellStart"/>
      <w:r w:rsidRPr="007C6417">
        <w:rPr>
          <w:rFonts w:ascii="Times New Roman" w:eastAsia="Times New Roman" w:hAnsi="Times New Roman" w:cs="Times New Roman"/>
          <w:color w:val="000000"/>
          <w:lang w:val="en-US" w:eastAsia="en-GB"/>
        </w:rPr>
        <w:t>Paluello</w:t>
      </w:r>
      <w:proofErr w:type="spellEnd"/>
      <w:r w:rsidRPr="007C6417">
        <w:rPr>
          <w:rFonts w:ascii="Times New Roman" w:eastAsia="Times New Roman" w:hAnsi="Times New Roman" w:cs="Times New Roman"/>
          <w:color w:val="000000"/>
          <w:lang w:val="en-US" w:eastAsia="en-GB"/>
        </w:rPr>
        <w:t xml:space="preserve"> edition (OCT 1964) are based—and which had also been used by earlier editors such as Bekker and Waitz (whose edition represents an advance over that of Bekker)—are the following:</w:t>
      </w:r>
    </w:p>
    <w:p w14:paraId="27B0E334"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 xml:space="preserve">– </w:t>
      </w:r>
      <w:proofErr w:type="spellStart"/>
      <w:r w:rsidRPr="007C6417">
        <w:rPr>
          <w:rFonts w:ascii="Times New Roman" w:eastAsia="Times New Roman" w:hAnsi="Times New Roman" w:cs="Times New Roman"/>
          <w:color w:val="000000"/>
          <w:lang w:val="en-US" w:eastAsia="en-GB"/>
        </w:rPr>
        <w:t>Urbinas</w:t>
      </w:r>
      <w:proofErr w:type="spellEnd"/>
      <w:r w:rsidRPr="007C6417">
        <w:rPr>
          <w:rFonts w:ascii="Times New Roman" w:eastAsia="Times New Roman" w:hAnsi="Times New Roman" w:cs="Times New Roman"/>
          <w:color w:val="000000"/>
          <w:lang w:val="en-US" w:eastAsia="en-GB"/>
        </w:rPr>
        <w:t xml:space="preserve"> 35 (9th/10th c.)</w:t>
      </w:r>
      <w:r w:rsidRPr="007C6417">
        <w:rPr>
          <w:rFonts w:ascii="Times New Roman" w:eastAsia="Times New Roman" w:hAnsi="Times New Roman" w:cs="Times New Roman"/>
          <w:color w:val="000000"/>
          <w:lang w:val="en-US" w:eastAsia="en-GB"/>
        </w:rPr>
        <w:br/>
        <w:t xml:space="preserve">– Marcianus </w:t>
      </w:r>
      <w:proofErr w:type="spellStart"/>
      <w:r w:rsidRPr="007C6417">
        <w:rPr>
          <w:rFonts w:ascii="Times New Roman" w:eastAsia="Times New Roman" w:hAnsi="Times New Roman" w:cs="Times New Roman"/>
          <w:color w:val="000000"/>
          <w:lang w:val="en-US" w:eastAsia="en-GB"/>
        </w:rPr>
        <w:t>Graecus</w:t>
      </w:r>
      <w:proofErr w:type="spellEnd"/>
      <w:r w:rsidRPr="007C6417">
        <w:rPr>
          <w:rFonts w:ascii="Times New Roman" w:eastAsia="Times New Roman" w:hAnsi="Times New Roman" w:cs="Times New Roman"/>
          <w:color w:val="000000"/>
          <w:lang w:val="en-US" w:eastAsia="en-GB"/>
        </w:rPr>
        <w:t xml:space="preserve"> 201 (dated to 955)</w:t>
      </w:r>
    </w:p>
    <w:p w14:paraId="5B70883D" w14:textId="6FC30558"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hAnsi="Times New Roman" w:cs="Times New Roman"/>
          <w:b/>
          <w:bCs/>
          <w:color w:val="000000"/>
          <w:lang w:val="en-US"/>
        </w:rP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Coislianus</w:t>
      </w:r>
      <w:proofErr w:type="spellEnd"/>
      <w:r w:rsidRPr="007C6417">
        <w:rPr>
          <w:rStyle w:val="Strong"/>
          <w:rFonts w:ascii="Times New Roman" w:hAnsi="Times New Roman" w:cs="Times New Roman"/>
          <w:b w:val="0"/>
          <w:bCs w:val="0"/>
          <w:color w:val="000000"/>
          <w:lang w:val="en-US"/>
        </w:rPr>
        <w:t xml:space="preserve"> 330</w:t>
      </w:r>
      <w:r w:rsidRPr="007C6417">
        <w:rPr>
          <w:rStyle w:val="apple-converted-space"/>
          <w:rFonts w:ascii="Times New Roman" w:hAnsi="Times New Roman" w:cs="Times New Roman"/>
          <w:b/>
          <w:bCs/>
          <w:color w:val="000000"/>
          <w:lang w:val="en-US"/>
        </w:rPr>
        <w:t> </w:t>
      </w:r>
      <w:r w:rsidRPr="007C6417">
        <w:rPr>
          <w:rFonts w:ascii="Times New Roman" w:hAnsi="Times New Roman" w:cs="Times New Roman"/>
          <w:color w:val="000000"/>
          <w:lang w:val="en-US"/>
        </w:rPr>
        <w:t>(11th c.)</w:t>
      </w:r>
      <w:r w:rsidRPr="007C6417">
        <w:rPr>
          <w:rFonts w:ascii="Times New Roman" w:hAnsi="Times New Roman" w:cs="Times New Roman"/>
          <w:b/>
          <w:bCs/>
          <w:color w:val="000000"/>
          <w:lang w:val="en-US"/>
        </w:rPr>
        <w:b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Laurentianus</w:t>
      </w:r>
      <w:proofErr w:type="spellEnd"/>
      <w:r w:rsidRPr="007C6417">
        <w:rPr>
          <w:rStyle w:val="Strong"/>
          <w:rFonts w:ascii="Times New Roman" w:hAnsi="Times New Roman" w:cs="Times New Roman"/>
          <w:b w:val="0"/>
          <w:bCs w:val="0"/>
          <w:color w:val="000000"/>
          <w:lang w:val="en-US"/>
        </w:rPr>
        <w:t xml:space="preserve"> 72.5</w:t>
      </w:r>
      <w:r w:rsidRPr="007C6417">
        <w:rPr>
          <w:rStyle w:val="apple-converted-space"/>
          <w:rFonts w:ascii="Times New Roman" w:hAnsi="Times New Roman" w:cs="Times New Roman"/>
          <w:b/>
          <w:bCs/>
          <w:color w:val="000000"/>
          <w:lang w:val="en-US"/>
        </w:rPr>
        <w:t> </w:t>
      </w:r>
      <w:r w:rsidRPr="007C6417">
        <w:rPr>
          <w:rFonts w:ascii="Times New Roman" w:hAnsi="Times New Roman" w:cs="Times New Roman"/>
          <w:color w:val="000000"/>
          <w:lang w:val="en-US"/>
        </w:rPr>
        <w:t>(11th c.)</w:t>
      </w:r>
      <w:r w:rsidRPr="007C6417">
        <w:rPr>
          <w:rFonts w:ascii="Times New Roman" w:hAnsi="Times New Roman" w:cs="Times New Roman"/>
          <w:b/>
          <w:bCs/>
          <w:color w:val="000000"/>
          <w:lang w:val="en-US"/>
        </w:rPr>
        <w:b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Ambrosianus</w:t>
      </w:r>
      <w:proofErr w:type="spellEnd"/>
      <w:r w:rsidRPr="007C6417">
        <w:rPr>
          <w:rStyle w:val="Strong"/>
          <w:rFonts w:ascii="Times New Roman" w:hAnsi="Times New Roman" w:cs="Times New Roman"/>
          <w:b w:val="0"/>
          <w:bCs w:val="0"/>
          <w:color w:val="000000"/>
          <w:lang w:val="en-US"/>
        </w:rPr>
        <w:t xml:space="preserve"> 490</w:t>
      </w:r>
      <w:r w:rsidRPr="007C6417">
        <w:rPr>
          <w:rStyle w:val="apple-converted-space"/>
          <w:rFonts w:ascii="Times New Roman" w:hAnsi="Times New Roman" w:cs="Times New Roman"/>
          <w:b/>
          <w:bCs/>
          <w:color w:val="000000"/>
          <w:lang w:val="en-US"/>
        </w:rPr>
        <w:t> </w:t>
      </w:r>
      <w:r w:rsidRPr="007C6417">
        <w:rPr>
          <w:rFonts w:ascii="Times New Roman" w:hAnsi="Times New Roman" w:cs="Times New Roman"/>
          <w:color w:val="000000"/>
          <w:lang w:val="en-US"/>
        </w:rPr>
        <w:t>(9th c.)</w:t>
      </w:r>
    </w:p>
    <w:p w14:paraId="0727609C" w14:textId="7FEFCCC7" w:rsidR="00304420" w:rsidRPr="007C6417" w:rsidRDefault="00304420" w:rsidP="00304420">
      <w:pPr>
        <w:pStyle w:val="NormalWeb"/>
        <w:rPr>
          <w:color w:val="000000"/>
          <w:lang w:val="en-US"/>
        </w:rPr>
      </w:pPr>
      <w:r w:rsidRPr="007C6417">
        <w:rPr>
          <w:color w:val="000000"/>
          <w:lang w:val="en-US"/>
        </w:rPr>
        <w:t>The first two manuscripts,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Urbinas</w:t>
      </w:r>
      <w:proofErr w:type="spellEnd"/>
      <w:r w:rsidRPr="007C6417">
        <w:rPr>
          <w:rStyle w:val="apple-converted-space"/>
          <w:rFonts w:eastAsiaTheme="majorEastAsia"/>
          <w:color w:val="000000"/>
          <w:lang w:val="en-US"/>
        </w:rPr>
        <w:t> </w:t>
      </w:r>
      <w:r w:rsidRPr="007C6417">
        <w:rPr>
          <w:color w:val="000000"/>
          <w:lang w:val="en-US"/>
        </w:rPr>
        <w:t>and the</w:t>
      </w:r>
      <w:r w:rsidRPr="007C6417">
        <w:rPr>
          <w:rStyle w:val="apple-converted-space"/>
          <w:rFonts w:eastAsiaTheme="majorEastAsia"/>
          <w:color w:val="000000"/>
          <w:lang w:val="en-US"/>
        </w:rPr>
        <w:t> </w:t>
      </w:r>
      <w:r w:rsidRPr="007C6417">
        <w:rPr>
          <w:rStyle w:val="Emphasis"/>
          <w:rFonts w:eastAsiaTheme="majorEastAsia"/>
          <w:color w:val="000000"/>
          <w:lang w:val="en-US"/>
        </w:rPr>
        <w:t>Marcianus</w:t>
      </w:r>
      <w:r w:rsidRPr="007C6417">
        <w:rPr>
          <w:color w:val="000000"/>
          <w:lang w:val="en-US"/>
        </w:rPr>
        <w:t>, very often agree with one another, which means that they belong to the same branch of the tradition.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Ambrosianus</w:t>
      </w:r>
      <w:proofErr w:type="spellEnd"/>
      <w:r w:rsidRPr="007C6417">
        <w:rPr>
          <w:color w:val="000000"/>
          <w:lang w:val="en-US"/>
        </w:rPr>
        <w:t>, by contrast, often diverges from all the other manuscripts and adopts a lectio that is frequently preferred by editors. We too occasionally prefer readings of the</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Ambrosianus</w:t>
      </w:r>
      <w:proofErr w:type="spellEnd"/>
      <w:r w:rsidRPr="007C6417">
        <w:rPr>
          <w:rStyle w:val="apple-converted-space"/>
          <w:rFonts w:eastAsiaTheme="majorEastAsia"/>
          <w:color w:val="000000"/>
          <w:lang w:val="en-US"/>
        </w:rPr>
        <w:t> </w:t>
      </w:r>
      <w:r w:rsidRPr="007C6417">
        <w:rPr>
          <w:color w:val="000000"/>
          <w:lang w:val="en-US"/>
        </w:rPr>
        <w:t>as those that yield a better sense. Let us note here that, to this day, we do not possess a complete critical edition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color w:val="000000"/>
          <w:lang w:val="en-US"/>
        </w:rPr>
        <w:t>, that is, a full classification and stemma of all the significant manuscripts and their systematic use in the textual criticism of the work. Williams’ research into the manuscript tradition of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color w:val="000000"/>
          <w:lang w:val="en-US"/>
        </w:rPr>
        <w:t>,</w:t>
      </w:r>
      <w:r w:rsidR="00B22C13" w:rsidRPr="007C6417">
        <w:rPr>
          <w:rStyle w:val="FootnoteReference"/>
          <w:color w:val="000000"/>
          <w:lang w:val="en-US"/>
        </w:rPr>
        <w:footnoteReference w:id="82"/>
      </w:r>
      <w:r w:rsidRPr="007C6417">
        <w:rPr>
          <w:color w:val="000000"/>
          <w:lang w:val="en-US"/>
        </w:rPr>
        <w:t xml:space="preserve"> which also results in a stemma of the manuscripts, showed that the manuscript</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Vaticanus</w:t>
      </w:r>
      <w:proofErr w:type="spellEnd"/>
      <w:r w:rsidRPr="007C6417">
        <w:rPr>
          <w:rStyle w:val="Emphasis"/>
          <w:rFonts w:eastAsiaTheme="majorEastAsia"/>
          <w:color w:val="000000"/>
          <w:lang w:val="en-US"/>
        </w:rPr>
        <w:t xml:space="preserve"> gr. 1024</w:t>
      </w:r>
      <w:r w:rsidRPr="007C6417">
        <w:rPr>
          <w:rStyle w:val="apple-converted-space"/>
          <w:rFonts w:eastAsiaTheme="majorEastAsia"/>
          <w:color w:val="000000"/>
          <w:lang w:val="en-US"/>
        </w:rPr>
        <w:t> </w:t>
      </w:r>
      <w:r w:rsidRPr="007C6417">
        <w:rPr>
          <w:color w:val="000000"/>
          <w:lang w:val="en-US"/>
        </w:rPr>
        <w:t>(11th c.) is also significant—a manuscript that Ross uses only sporadically in his edition. None of them—not even Williams—makes use of the particularly early manuscript</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Barberianus</w:t>
      </w:r>
      <w:proofErr w:type="spellEnd"/>
      <w:r w:rsidRPr="007C6417">
        <w:rPr>
          <w:rStyle w:val="Emphasis"/>
          <w:rFonts w:eastAsiaTheme="majorEastAsia"/>
          <w:color w:val="000000"/>
          <w:lang w:val="en-US"/>
        </w:rPr>
        <w:t xml:space="preserve"> gr. 87</w:t>
      </w:r>
      <w:r w:rsidRPr="007C6417">
        <w:rPr>
          <w:color w:val="000000"/>
          <w:lang w:val="en-US"/>
        </w:rPr>
        <w:t>, which is located in Rome and which Harlfinger (1980) dates to the 10th century.</w:t>
      </w:r>
      <w:r w:rsidR="00B22C13" w:rsidRPr="007C6417">
        <w:rPr>
          <w:rStyle w:val="FootnoteReference"/>
          <w:color w:val="000000"/>
          <w:lang w:val="en-US"/>
        </w:rPr>
        <w:footnoteReference w:id="83"/>
      </w:r>
    </w:p>
    <w:p w14:paraId="0CB1E8FD" w14:textId="77777777" w:rsidR="00304420" w:rsidRPr="007C6417" w:rsidRDefault="00304420" w:rsidP="00304420">
      <w:pPr>
        <w:pStyle w:val="NormalWeb"/>
        <w:rPr>
          <w:color w:val="000000"/>
          <w:lang w:val="en-US"/>
        </w:rPr>
      </w:pPr>
      <w:proofErr w:type="gramStart"/>
      <w:r w:rsidRPr="007C6417">
        <w:rPr>
          <w:color w:val="000000"/>
          <w:lang w:val="en-US"/>
        </w:rPr>
        <w:t>Although,</w:t>
      </w:r>
      <w:proofErr w:type="gramEnd"/>
      <w:r w:rsidRPr="007C6417">
        <w:rPr>
          <w:color w:val="000000"/>
          <w:lang w:val="en-US"/>
        </w:rPr>
        <w:t xml:space="preserve"> then, not all the important manuscripts of the</w:t>
      </w:r>
      <w:r w:rsidRPr="007C6417">
        <w:rPr>
          <w:rStyle w:val="apple-converted-space"/>
          <w:rFonts w:eastAsiaTheme="majorEastAsia"/>
          <w:color w:val="000000"/>
          <w:lang w:val="en-US"/>
        </w:rPr>
        <w:t> </w:t>
      </w:r>
      <w:r w:rsidRPr="007C6417">
        <w:rPr>
          <w:rStyle w:val="Emphasis"/>
          <w:rFonts w:eastAsiaTheme="majorEastAsia"/>
          <w:color w:val="000000"/>
          <w:lang w:val="en-US"/>
        </w:rPr>
        <w:t>Analytics</w:t>
      </w:r>
      <w:r w:rsidRPr="007C6417">
        <w:rPr>
          <w:rStyle w:val="apple-converted-space"/>
          <w:rFonts w:eastAsiaTheme="majorEastAsia"/>
          <w:color w:val="000000"/>
          <w:lang w:val="en-US"/>
        </w:rPr>
        <w:t> </w:t>
      </w:r>
      <w:r w:rsidRPr="007C6417">
        <w:rPr>
          <w:color w:val="000000"/>
          <w:lang w:val="en-US"/>
        </w:rPr>
        <w:t>have been fully exploited and we do not yet have a genuinely critical edition of the text, the text we possess is nonetheless relatively reliable. This is because it has been established that the important manuscripts transmit a largely similar text, with small divergences at specific points, which we also indicate in our commentary.</w:t>
      </w:r>
    </w:p>
    <w:p w14:paraId="2043DAC0" w14:textId="6BB898C7" w:rsidR="00304420" w:rsidRPr="007C6417" w:rsidRDefault="00304420" w:rsidP="00304420">
      <w:pPr>
        <w:pStyle w:val="NormalWeb"/>
        <w:rPr>
          <w:color w:val="000000"/>
          <w:lang w:val="en-US"/>
        </w:rPr>
      </w:pPr>
      <w:r w:rsidRPr="007C6417">
        <w:rPr>
          <w:color w:val="000000"/>
          <w:lang w:val="en-US"/>
        </w:rPr>
        <w:t>Certain divergences recur repeatedly in the manuscripts, such as that between</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τῷ</w:t>
      </w:r>
      <w:proofErr w:type="spellEnd"/>
      <w:r w:rsidRPr="007C6417">
        <w:rPr>
          <w:rStyle w:val="apple-converted-space"/>
          <w:rFonts w:eastAsiaTheme="majorEastAsia"/>
          <w:color w:val="000000"/>
          <w:lang w:val="en-US"/>
        </w:rPr>
        <w:t> </w:t>
      </w:r>
      <w:r w:rsidRPr="007C6417">
        <w:rPr>
          <w:color w:val="000000"/>
          <w:lang w:val="en-US"/>
        </w:rPr>
        <w:t>and</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τῶν</w:t>
      </w:r>
      <w:proofErr w:type="spellEnd"/>
      <w:r w:rsidRPr="007C6417">
        <w:rPr>
          <w:color w:val="000000"/>
          <w:lang w:val="en-US"/>
        </w:rPr>
        <w:t>, for example</w:t>
      </w:r>
      <w:r w:rsidRPr="007C6417">
        <w:rPr>
          <w:rStyle w:val="apple-converted-space"/>
          <w:rFonts w:eastAsiaTheme="majorEastAsia"/>
          <w:color w:val="000000"/>
          <w:lang w:val="en-US"/>
        </w:rPr>
        <w:t> </w:t>
      </w:r>
      <w:r w:rsidRPr="007C6417">
        <w:rPr>
          <w:rStyle w:val="Emphasis"/>
          <w:rFonts w:eastAsiaTheme="majorEastAsia"/>
          <w:color w:val="000000"/>
          <w:lang w:val="en-US"/>
        </w:rPr>
        <w:t>(ὑπ</w:t>
      </w:r>
      <w:proofErr w:type="spellStart"/>
      <w:r w:rsidRPr="007C6417">
        <w:rPr>
          <w:rStyle w:val="Emphasis"/>
          <w:rFonts w:eastAsiaTheme="majorEastAsia"/>
          <w:color w:val="000000"/>
          <w:lang w:val="en-US"/>
        </w:rPr>
        <w:t>άρχει</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τῷ</w:t>
      </w:r>
      <w:proofErr w:type="spellEnd"/>
      <w:r w:rsidRPr="007C6417">
        <w:rPr>
          <w:rStyle w:val="Emphasis"/>
          <w:rFonts w:eastAsiaTheme="majorEastAsia"/>
          <w:color w:val="000000"/>
          <w:lang w:val="en-US"/>
        </w:rPr>
        <w:t xml:space="preserve"> Γ / </w:t>
      </w:r>
      <w:proofErr w:type="spellStart"/>
      <w:r w:rsidRPr="007C6417">
        <w:rPr>
          <w:rStyle w:val="Emphasis"/>
          <w:rFonts w:eastAsiaTheme="majorEastAsia"/>
          <w:color w:val="000000"/>
          <w:lang w:val="en-US"/>
        </w:rPr>
        <w:t>τῶν</w:t>
      </w:r>
      <w:proofErr w:type="spellEnd"/>
      <w:r w:rsidRPr="007C6417">
        <w:rPr>
          <w:rStyle w:val="Emphasis"/>
          <w:rFonts w:eastAsiaTheme="majorEastAsia"/>
          <w:color w:val="000000"/>
          <w:lang w:val="en-US"/>
        </w:rPr>
        <w:t xml:space="preserve"> Γ</w:t>
      </w:r>
      <w:r w:rsidRPr="007C6417">
        <w:rPr>
          <w:color w:val="000000"/>
          <w:lang w:val="en-US"/>
        </w:rPr>
        <w:t>. The difference here is between predicating B (</w:t>
      </w:r>
      <w:proofErr w:type="spellStart"/>
      <w:r w:rsidRPr="007C6417">
        <w:rPr>
          <w:color w:val="000000"/>
          <w:lang w:val="en-US"/>
        </w:rPr>
        <w:t>i</w:t>
      </w:r>
      <w:proofErr w:type="spellEnd"/>
      <w:r w:rsidRPr="007C6417">
        <w:rPr>
          <w:color w:val="000000"/>
          <w:lang w:val="en-US"/>
        </w:rPr>
        <w:t>)</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in</w:t>
      </w:r>
      <w:r w:rsidRPr="007C6417">
        <w:rPr>
          <w:rStyle w:val="apple-converted-space"/>
          <w:rFonts w:eastAsiaTheme="majorEastAsia"/>
          <w:color w:val="000000"/>
          <w:lang w:val="en-US"/>
        </w:rPr>
        <w:t> </w:t>
      </w:r>
      <w:r w:rsidRPr="007C6417">
        <w:rPr>
          <w:color w:val="000000"/>
          <w:lang w:val="en-US"/>
        </w:rPr>
        <w:t>the class of G (=</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τῷ</w:t>
      </w:r>
      <w:proofErr w:type="spellEnd"/>
      <w:r w:rsidRPr="007C6417">
        <w:rPr>
          <w:color w:val="000000"/>
          <w:lang w:val="en-US"/>
        </w:rPr>
        <w:t>) or (ii)</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of</w:t>
      </w:r>
      <w:r w:rsidRPr="007C6417">
        <w:rPr>
          <w:rStyle w:val="apple-converted-space"/>
          <w:rFonts w:eastAsiaTheme="majorEastAsia"/>
          <w:color w:val="000000"/>
          <w:lang w:val="en-US"/>
        </w:rPr>
        <w:t> </w:t>
      </w:r>
      <w:r w:rsidRPr="007C6417">
        <w:rPr>
          <w:color w:val="000000"/>
          <w:lang w:val="en-US"/>
        </w:rPr>
        <w:t>the things that are G (=</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τῶν</w:t>
      </w:r>
      <w:proofErr w:type="spellEnd"/>
      <w:r w:rsidRPr="007C6417">
        <w:rPr>
          <w:color w:val="000000"/>
          <w:lang w:val="en-US"/>
        </w:rPr>
        <w:t>). We prefer the manuscript reading when the manuscripts agree. When they do not, we judge on a case-by-case basis, but we usually prefer</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τῷ</w:t>
      </w:r>
      <w:proofErr w:type="spellEnd"/>
      <w:r w:rsidRPr="007C6417">
        <w:rPr>
          <w:b/>
          <w:bCs/>
          <w:color w:val="000000"/>
          <w:lang w:val="en-US"/>
        </w:rPr>
        <w:t>,</w:t>
      </w:r>
      <w:r w:rsidRPr="007C6417">
        <w:rPr>
          <w:color w:val="000000"/>
          <w:lang w:val="en-US"/>
        </w:rPr>
        <w:t xml:space="preserve"> as Ross does.</w:t>
      </w:r>
      <w:r w:rsidR="00B22C13" w:rsidRPr="007C6417">
        <w:rPr>
          <w:rStyle w:val="FootnoteReference"/>
          <w:color w:val="000000"/>
          <w:lang w:val="en-US"/>
        </w:rPr>
        <w:footnoteReference w:id="84"/>
      </w:r>
      <w:r w:rsidRPr="007C6417">
        <w:rPr>
          <w:color w:val="000000"/>
          <w:lang w:val="en-US"/>
        </w:rPr>
        <w:t xml:space="preserve"> Another divergence in the manuscripts is that between</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ἀδιόριστον</w:t>
      </w:r>
      <w:proofErr w:type="spellEnd"/>
      <w:r w:rsidRPr="007C6417">
        <w:rPr>
          <w:rStyle w:val="apple-converted-space"/>
          <w:rFonts w:eastAsiaTheme="majorEastAsia"/>
          <w:b/>
          <w:bCs/>
          <w:color w:val="000000"/>
          <w:lang w:val="en-US"/>
        </w:rPr>
        <w:t> </w:t>
      </w:r>
      <w:r w:rsidRPr="007C6417">
        <w:rPr>
          <w:color w:val="000000"/>
          <w:lang w:val="en-US"/>
        </w:rPr>
        <w:t>and</w:t>
      </w:r>
      <w:r w:rsidRPr="007C6417">
        <w:rPr>
          <w:rStyle w:val="apple-converted-space"/>
          <w:rFonts w:eastAsiaTheme="majorEastAsia"/>
          <w:b/>
          <w:bCs/>
          <w:color w:val="000000"/>
          <w:lang w:val="en-US"/>
        </w:rPr>
        <w:t> </w:t>
      </w:r>
      <w:proofErr w:type="spellStart"/>
      <w:r w:rsidRPr="007C6417">
        <w:rPr>
          <w:rStyle w:val="Strong"/>
          <w:rFonts w:eastAsiaTheme="majorEastAsia"/>
          <w:b w:val="0"/>
          <w:bCs w:val="0"/>
          <w:color w:val="000000"/>
          <w:lang w:val="en-US"/>
        </w:rPr>
        <w:t>ἀόριστον</w:t>
      </w:r>
      <w:proofErr w:type="spellEnd"/>
      <w:r w:rsidRPr="007C6417">
        <w:rPr>
          <w:color w:val="000000"/>
          <w:lang w:val="en-US"/>
        </w:rPr>
        <w:t>. We usually prefer the former, which corresponds to a third mode of quantification, distinct from the universal and the particular (see also the next section on the translation).</w:t>
      </w:r>
    </w:p>
    <w:p w14:paraId="662BAB00" w14:textId="77777777" w:rsidR="00304420" w:rsidRPr="007C6417" w:rsidRDefault="00304420" w:rsidP="00304420">
      <w:pPr>
        <w:pStyle w:val="NormalWeb"/>
        <w:rPr>
          <w:color w:val="000000"/>
          <w:lang w:val="en-US"/>
        </w:rPr>
      </w:pPr>
      <w:r w:rsidRPr="007C6417">
        <w:rPr>
          <w:color w:val="000000"/>
          <w:lang w:val="en-US"/>
        </w:rPr>
        <w:lastRenderedPageBreak/>
        <w:t>Certain lines of the text are obelized, often rightly, as comments by a Byzantine scribe of a pedagogical or explanatory character. We discuss such cases in the commentary. The text that we print and translate is that of Ross/Minio-</w:t>
      </w:r>
      <w:proofErr w:type="spellStart"/>
      <w:r w:rsidRPr="007C6417">
        <w:rPr>
          <w:color w:val="000000"/>
          <w:lang w:val="en-US"/>
        </w:rPr>
        <w:t>Paluello</w:t>
      </w:r>
      <w:proofErr w:type="spellEnd"/>
      <w:r w:rsidRPr="007C6417">
        <w:rPr>
          <w:color w:val="000000"/>
          <w:lang w:val="en-US"/>
        </w:rPr>
        <w:t xml:space="preserve">, namely the OCT text of 1964. The printed text is accompanied by a selective critical apparatus. The selection of readings included in the apparatus has been made primarily on the basis of their substantive importance for the content, rather than on </w:t>
      </w:r>
      <w:proofErr w:type="spellStart"/>
      <w:r w:rsidRPr="007C6417">
        <w:rPr>
          <w:color w:val="000000"/>
          <w:lang w:val="en-US"/>
        </w:rPr>
        <w:t>palaeographical</w:t>
      </w:r>
      <w:proofErr w:type="spellEnd"/>
      <w:r w:rsidRPr="007C6417">
        <w:rPr>
          <w:color w:val="000000"/>
          <w:lang w:val="en-US"/>
        </w:rPr>
        <w:t xml:space="preserve"> or text-historical criteria. The justification of our choices—especially in cases where we depart from the Ross/Minio-</w:t>
      </w:r>
      <w:proofErr w:type="spellStart"/>
      <w:r w:rsidRPr="007C6417">
        <w:rPr>
          <w:color w:val="000000"/>
          <w:lang w:val="en-US"/>
        </w:rPr>
        <w:t>Paluello</w:t>
      </w:r>
      <w:proofErr w:type="spellEnd"/>
      <w:r w:rsidRPr="007C6417">
        <w:rPr>
          <w:color w:val="000000"/>
          <w:lang w:val="en-US"/>
        </w:rPr>
        <w:t xml:space="preserve"> text—is provided in the commentary.</w:t>
      </w:r>
    </w:p>
    <w:p w14:paraId="344C0222" w14:textId="1064CE8A" w:rsidR="00304420" w:rsidRPr="007C6417" w:rsidRDefault="00304420" w:rsidP="00304420">
      <w:pPr>
        <w:pStyle w:val="NormalWeb"/>
        <w:rPr>
          <w:color w:val="000000"/>
          <w:lang w:val="en-US"/>
        </w:rPr>
      </w:pPr>
      <w:r w:rsidRPr="007C6417">
        <w:rPr>
          <w:color w:val="000000"/>
          <w:lang w:val="en-US"/>
        </w:rPr>
        <w:t>As for the ancient translations, the Latin translation by Boethius of the 5th/6th century (</w:t>
      </w:r>
      <w:r w:rsidRPr="007C6417">
        <w:rPr>
          <w:rStyle w:val="Emphasis"/>
          <w:rFonts w:eastAsiaTheme="majorEastAsia"/>
          <w:color w:val="000000"/>
          <w:lang w:val="en-US"/>
        </w:rPr>
        <w:t xml:space="preserve">De </w:t>
      </w:r>
      <w:proofErr w:type="spellStart"/>
      <w:r w:rsidRPr="007C6417">
        <w:rPr>
          <w:rStyle w:val="Emphasis"/>
          <w:rFonts w:eastAsiaTheme="majorEastAsia"/>
          <w:color w:val="000000"/>
          <w:lang w:val="en-US"/>
        </w:rPr>
        <w:t>syllogismo</w:t>
      </w:r>
      <w:proofErr w:type="spellEnd"/>
      <w:r w:rsidRPr="007C6417">
        <w:rPr>
          <w:rStyle w:val="Emphasis"/>
          <w:rFonts w:eastAsiaTheme="majorEastAsia"/>
          <w:color w:val="000000"/>
          <w:lang w:val="en-US"/>
        </w:rPr>
        <w:t xml:space="preserve"> </w:t>
      </w:r>
      <w:proofErr w:type="spellStart"/>
      <w:r w:rsidRPr="007C6417">
        <w:rPr>
          <w:rStyle w:val="Emphasis"/>
          <w:rFonts w:eastAsiaTheme="majorEastAsia"/>
          <w:color w:val="000000"/>
          <w:lang w:val="en-US"/>
        </w:rPr>
        <w:t>categorico</w:t>
      </w:r>
      <w:proofErr w:type="spellEnd"/>
      <w:r w:rsidRPr="007C6417">
        <w:rPr>
          <w:color w:val="000000"/>
          <w:lang w:val="en-US"/>
        </w:rPr>
        <w:t>) is not an important witness for the textual criticism of Aristotle’s text. The two Syriac translations—of</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I.1–7 from the 5th century and of the whole of the</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by Bishop George from the 7th/8th century—agree for the most part with the important Greek medieval manuscripts.</w:t>
      </w:r>
      <w:r w:rsidR="00B22C13" w:rsidRPr="007C6417">
        <w:rPr>
          <w:rStyle w:val="FootnoteReference"/>
          <w:color w:val="000000"/>
          <w:lang w:val="en-US"/>
        </w:rPr>
        <w:footnoteReference w:id="85"/>
      </w:r>
      <w:r w:rsidRPr="007C6417">
        <w:rPr>
          <w:color w:val="000000"/>
          <w:lang w:val="en-US"/>
        </w:rPr>
        <w:t xml:space="preserve"> The commentary tradition created by the ancient commentaries of Alexander, Ammonius, and </w:t>
      </w:r>
      <w:proofErr w:type="spellStart"/>
      <w:r w:rsidRPr="007C6417">
        <w:rPr>
          <w:color w:val="000000"/>
          <w:lang w:val="en-US"/>
        </w:rPr>
        <w:t>Philoponus</w:t>
      </w:r>
      <w:proofErr w:type="spellEnd"/>
      <w:r w:rsidRPr="007C6417">
        <w:rPr>
          <w:color w:val="000000"/>
          <w:lang w:val="en-US"/>
        </w:rPr>
        <w:t>, discussed in the previous section, is at times important for the constitution of the text, insofar as these works indirectly transmit the ancient Aristotelian text. However, the text they transmit, insofar as we can judge, does not differ significantly from the medieval manuscripts at our disposal.</w:t>
      </w:r>
    </w:p>
    <w:p w14:paraId="0F6868EE" w14:textId="77777777" w:rsidR="00304420" w:rsidRPr="007C6417" w:rsidRDefault="00304420" w:rsidP="00304420">
      <w:pPr>
        <w:spacing w:before="100" w:beforeAutospacing="1" w:after="100" w:afterAutospacing="1"/>
        <w:outlineLvl w:val="2"/>
        <w:rPr>
          <w:rFonts w:ascii="Times New Roman" w:eastAsia="Times New Roman" w:hAnsi="Times New Roman" w:cs="Times New Roman"/>
          <w:b/>
          <w:bCs/>
          <w:color w:val="000000"/>
          <w:sz w:val="27"/>
          <w:szCs w:val="27"/>
          <w:lang w:val="en-US" w:eastAsia="en-GB"/>
        </w:rPr>
      </w:pPr>
      <w:r w:rsidRPr="007C6417">
        <w:rPr>
          <w:rFonts w:ascii="Times New Roman" w:eastAsia="Times New Roman" w:hAnsi="Times New Roman" w:cs="Times New Roman"/>
          <w:b/>
          <w:bCs/>
          <w:color w:val="000000"/>
          <w:sz w:val="27"/>
          <w:szCs w:val="27"/>
          <w:lang w:val="en-US" w:eastAsia="en-GB"/>
        </w:rPr>
        <w:t>5. The present translation</w:t>
      </w:r>
    </w:p>
    <w:p w14:paraId="367E695A" w14:textId="4A17044D"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r w:rsidRPr="007C6417">
        <w:rPr>
          <w:rFonts w:ascii="Times New Roman" w:eastAsia="Times New Roman" w:hAnsi="Times New Roman" w:cs="Times New Roman"/>
          <w:color w:val="000000"/>
          <w:lang w:val="en-US" w:eastAsia="en-GB"/>
        </w:rPr>
        <w:t>The translation of ancient Greek texts into Modern Greek constitutes a particularly demanding undertaking, the dimensions of which are not always adequately appreciated. Of course, the translation of an ancient text into any modern language is a difficult task. This is because, through the act of translation</w:t>
      </w:r>
      <w:r w:rsidRPr="007C6417">
        <w:rPr>
          <w:rFonts w:ascii="Times New Roman" w:hAnsi="Times New Roman" w:cs="Times New Roman"/>
          <w:color w:val="000000"/>
          <w:lang w:val="en-US"/>
        </w:rPr>
        <w:t xml:space="preserve"> concepts that do not fully correspond to modern or contemporary ones, since, over the course of history, concepts have undergone shifts and coincide only partially with analogous ancient concepts. Among the well-known examples are the ancient term</w:t>
      </w:r>
      <w:r w:rsidRPr="007C6417">
        <w:rPr>
          <w:rStyle w:val="apple-converted-space"/>
          <w:rFonts w:ascii="Times New Roman" w:hAnsi="Times New Roman" w:cs="Times New Roman"/>
          <w:color w:val="000000"/>
          <w:lang w:val="en-US"/>
        </w:rPr>
        <w:t> </w:t>
      </w:r>
      <w:proofErr w:type="spellStart"/>
      <w:r w:rsidRPr="007C6417">
        <w:rPr>
          <w:rStyle w:val="Strong"/>
          <w:rFonts w:ascii="Times New Roman" w:hAnsi="Times New Roman" w:cs="Times New Roman"/>
          <w:b w:val="0"/>
          <w:bCs w:val="0"/>
          <w:color w:val="000000"/>
          <w:lang w:val="en-US"/>
        </w:rPr>
        <w:t>νοῦς</w:t>
      </w:r>
      <w:proofErr w:type="spellEnd"/>
      <w:r w:rsidRPr="007C6417">
        <w:rPr>
          <w:rFonts w:ascii="Times New Roman" w:hAnsi="Times New Roman" w:cs="Times New Roman"/>
          <w:color w:val="000000"/>
          <w:lang w:val="en-US"/>
        </w:rPr>
        <w:t>, Latin</w:t>
      </w:r>
      <w:r w:rsidRPr="007C6417">
        <w:rPr>
          <w:rStyle w:val="apple-converted-space"/>
          <w:rFonts w:ascii="Times New Roman" w:hAnsi="Times New Roman" w:cs="Times New Roman"/>
          <w:color w:val="000000"/>
          <w:lang w:val="en-US"/>
        </w:rPr>
        <w:t> </w:t>
      </w:r>
      <w:proofErr w:type="spellStart"/>
      <w:r w:rsidRPr="007C6417">
        <w:rPr>
          <w:rStyle w:val="Emphasis"/>
          <w:rFonts w:ascii="Times New Roman" w:hAnsi="Times New Roman" w:cs="Times New Roman"/>
          <w:color w:val="000000"/>
          <w:lang w:val="en-US"/>
        </w:rPr>
        <w:t>mens</w:t>
      </w:r>
      <w:proofErr w:type="spellEnd"/>
      <w:r w:rsidRPr="007C6417">
        <w:rPr>
          <w:rFonts w:ascii="Times New Roman" w:hAnsi="Times New Roman" w:cs="Times New Roman"/>
          <w:color w:val="000000"/>
          <w:lang w:val="en-US"/>
        </w:rPr>
        <w:t>, which is translated as</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mind</w:t>
      </w:r>
      <w:r w:rsidRPr="007C6417">
        <w:rPr>
          <w:rFonts w:ascii="Times New Roman" w:hAnsi="Times New Roman" w:cs="Times New Roman"/>
          <w:color w:val="000000"/>
          <w:lang w:val="en-US"/>
        </w:rPr>
        <w:t>,</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Geist</w:t>
      </w:r>
      <w:r w:rsidRPr="007C6417">
        <w:rPr>
          <w:rFonts w:ascii="Times New Roman" w:hAnsi="Times New Roman" w:cs="Times New Roman"/>
          <w:color w:val="000000"/>
          <w:lang w:val="en-US"/>
        </w:rPr>
        <w:t>,</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intellect</w:t>
      </w:r>
      <w:r w:rsidRPr="007C6417">
        <w:rPr>
          <w:rFonts w:ascii="Times New Roman" w:hAnsi="Times New Roman" w:cs="Times New Roman"/>
          <w:color w:val="000000"/>
          <w:lang w:val="en-US"/>
        </w:rPr>
        <w:t>,</w:t>
      </w:r>
      <w:r w:rsidRPr="007C6417">
        <w:rPr>
          <w:rStyle w:val="apple-converted-space"/>
          <w:rFonts w:ascii="Times New Roman" w:hAnsi="Times New Roman" w:cs="Times New Roman"/>
          <w:color w:val="000000"/>
          <w:lang w:val="en-US"/>
        </w:rPr>
        <w:t> </w:t>
      </w:r>
      <w:proofErr w:type="spellStart"/>
      <w:r w:rsidRPr="007C6417">
        <w:rPr>
          <w:rStyle w:val="Emphasis"/>
          <w:rFonts w:ascii="Times New Roman" w:hAnsi="Times New Roman" w:cs="Times New Roman"/>
          <w:color w:val="000000"/>
          <w:lang w:val="en-US"/>
        </w:rPr>
        <w:t>mente</w:t>
      </w:r>
      <w:proofErr w:type="spellEnd"/>
      <w:r w:rsidRPr="007C6417">
        <w:rPr>
          <w:rFonts w:ascii="Times New Roman" w:hAnsi="Times New Roman" w:cs="Times New Roman"/>
          <w:color w:val="000000"/>
          <w:lang w:val="en-US"/>
        </w:rPr>
        <w:t>; the term</w:t>
      </w:r>
      <w:r w:rsidRPr="007C6417">
        <w:rPr>
          <w:rStyle w:val="apple-converted-space"/>
          <w:rFonts w:ascii="Times New Roman" w:hAnsi="Times New Roman" w:cs="Times New Roman"/>
          <w:color w:val="000000"/>
          <w:lang w:val="en-US"/>
        </w:rPr>
        <w:t> </w:t>
      </w:r>
      <w:r w:rsidRPr="007C6417">
        <w:rPr>
          <w:rStyle w:val="Strong"/>
          <w:rFonts w:ascii="Times New Roman" w:hAnsi="Times New Roman" w:cs="Times New Roman"/>
          <w:b w:val="0"/>
          <w:bCs w:val="0"/>
          <w:color w:val="000000"/>
          <w:lang w:val="en-US"/>
        </w:rPr>
        <w:t>φα</w:t>
      </w:r>
      <w:proofErr w:type="spellStart"/>
      <w:r w:rsidRPr="007C6417">
        <w:rPr>
          <w:rStyle w:val="Strong"/>
          <w:rFonts w:ascii="Times New Roman" w:hAnsi="Times New Roman" w:cs="Times New Roman"/>
          <w:b w:val="0"/>
          <w:bCs w:val="0"/>
          <w:color w:val="000000"/>
          <w:lang w:val="en-US"/>
        </w:rPr>
        <w:t>ντ</w:t>
      </w:r>
      <w:proofErr w:type="spellEnd"/>
      <w:r w:rsidRPr="007C6417">
        <w:rPr>
          <w:rStyle w:val="Strong"/>
          <w:rFonts w:ascii="Times New Roman" w:hAnsi="Times New Roman" w:cs="Times New Roman"/>
          <w:b w:val="0"/>
          <w:bCs w:val="0"/>
          <w:color w:val="000000"/>
          <w:lang w:val="en-US"/>
        </w:rPr>
        <w:t>α</w:t>
      </w:r>
      <w:proofErr w:type="spellStart"/>
      <w:r w:rsidRPr="007C6417">
        <w:rPr>
          <w:rStyle w:val="Strong"/>
          <w:rFonts w:ascii="Times New Roman" w:hAnsi="Times New Roman" w:cs="Times New Roman"/>
          <w:b w:val="0"/>
          <w:bCs w:val="0"/>
          <w:color w:val="000000"/>
          <w:lang w:val="en-US"/>
        </w:rPr>
        <w:t>σί</w:t>
      </w:r>
      <w:proofErr w:type="spellEnd"/>
      <w:r w:rsidRPr="007C6417">
        <w:rPr>
          <w:rStyle w:val="Strong"/>
          <w:rFonts w:ascii="Times New Roman" w:hAnsi="Times New Roman" w:cs="Times New Roman"/>
          <w:b w:val="0"/>
          <w:bCs w:val="0"/>
          <w:color w:val="000000"/>
          <w:lang w:val="en-US"/>
        </w:rPr>
        <w:t>α</w:t>
      </w:r>
      <w:r w:rsidRPr="007C6417">
        <w:rPr>
          <w:rFonts w:ascii="Times New Roman" w:hAnsi="Times New Roman" w:cs="Times New Roman"/>
          <w:color w:val="000000"/>
          <w:lang w:val="en-US"/>
        </w:rPr>
        <w:t>, translated as</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mental image</w:t>
      </w:r>
      <w:r w:rsidRPr="007C6417">
        <w:rPr>
          <w:rFonts w:ascii="Times New Roman" w:hAnsi="Times New Roman" w:cs="Times New Roman"/>
          <w:color w:val="000000"/>
          <w:lang w:val="en-US"/>
        </w:rPr>
        <w:t>,</w:t>
      </w:r>
      <w:r w:rsidRPr="007C6417">
        <w:rPr>
          <w:rStyle w:val="apple-converted-space"/>
          <w:rFonts w:ascii="Times New Roman" w:hAnsi="Times New Roman" w:cs="Times New Roman"/>
          <w:color w:val="000000"/>
          <w:lang w:val="en-US"/>
        </w:rPr>
        <w:t> </w:t>
      </w:r>
      <w:proofErr w:type="spellStart"/>
      <w:r w:rsidRPr="007C6417">
        <w:rPr>
          <w:rStyle w:val="Emphasis"/>
          <w:rFonts w:ascii="Times New Roman" w:hAnsi="Times New Roman" w:cs="Times New Roman"/>
          <w:color w:val="000000"/>
          <w:lang w:val="en-US"/>
        </w:rPr>
        <w:t>Vorstellung</w:t>
      </w:r>
      <w:proofErr w:type="spellEnd"/>
      <w:r w:rsidRPr="007C6417">
        <w:rPr>
          <w:rFonts w:ascii="Times New Roman" w:hAnsi="Times New Roman" w:cs="Times New Roman"/>
          <w:color w:val="000000"/>
          <w:lang w:val="en-US"/>
        </w:rPr>
        <w:t xml:space="preserve">; and </w:t>
      </w:r>
      <w:proofErr w:type="gramStart"/>
      <w:r w:rsidRPr="007C6417">
        <w:rPr>
          <w:rFonts w:ascii="Times New Roman" w:hAnsi="Times New Roman" w:cs="Times New Roman"/>
          <w:color w:val="000000"/>
          <w:lang w:val="en-US"/>
        </w:rPr>
        <w:t>also</w:t>
      </w:r>
      <w:proofErr w:type="gramEnd"/>
      <w:r w:rsidRPr="007C6417">
        <w:rPr>
          <w:rFonts w:ascii="Times New Roman" w:hAnsi="Times New Roman" w:cs="Times New Roman"/>
          <w:color w:val="000000"/>
          <w:lang w:val="en-US"/>
        </w:rPr>
        <w:t xml:space="preserve"> the term “logic,” which corresponds conceptually only in part to modern</w:t>
      </w:r>
      <w:r w:rsidRPr="007C6417">
        <w:rPr>
          <w:rStyle w:val="apple-converted-space"/>
          <w:rFonts w:ascii="Times New Roman" w:hAnsi="Times New Roman" w:cs="Times New Roman"/>
          <w:color w:val="000000"/>
          <w:lang w:val="en-US"/>
        </w:rPr>
        <w:t> </w:t>
      </w:r>
      <w:r w:rsidRPr="007C6417">
        <w:rPr>
          <w:rStyle w:val="Emphasis"/>
          <w:rFonts w:ascii="Times New Roman" w:hAnsi="Times New Roman" w:cs="Times New Roman"/>
          <w:color w:val="000000"/>
          <w:lang w:val="en-US"/>
        </w:rPr>
        <w:t>logic</w:t>
      </w:r>
      <w:r w:rsidRPr="007C6417">
        <w:rPr>
          <w:rFonts w:ascii="Times New Roman" w:hAnsi="Times New Roman" w:cs="Times New Roman"/>
          <w:color w:val="000000"/>
          <w:lang w:val="en-US"/>
        </w:rPr>
        <w:t>. At other times, ancient concepts have meanings that vary across ancient texts, and it is often a matter of interpretation how they should be translated in each particular context. Such terms include</w:t>
      </w:r>
      <w:r w:rsidRPr="007C6417">
        <w:rPr>
          <w:rStyle w:val="apple-converted-space"/>
          <w:rFonts w:ascii="Times New Roman" w:hAnsi="Times New Roman" w:cs="Times New Roman"/>
          <w:color w:val="000000"/>
          <w:lang w:val="en-US"/>
        </w:rPr>
        <w:t> </w:t>
      </w:r>
      <w:proofErr w:type="spellStart"/>
      <w:r w:rsidRPr="007C6417">
        <w:rPr>
          <w:rStyle w:val="Strong"/>
          <w:rFonts w:ascii="Times New Roman" w:hAnsi="Times New Roman" w:cs="Times New Roman"/>
          <w:b w:val="0"/>
          <w:bCs w:val="0"/>
          <w:color w:val="000000"/>
          <w:lang w:val="en-US"/>
        </w:rPr>
        <w:t>οὐσί</w:t>
      </w:r>
      <w:proofErr w:type="spellEnd"/>
      <w:r w:rsidRPr="007C6417">
        <w:rPr>
          <w:rStyle w:val="Strong"/>
          <w:rFonts w:ascii="Times New Roman" w:hAnsi="Times New Roman" w:cs="Times New Roman"/>
          <w:b w:val="0"/>
          <w:bCs w:val="0"/>
          <w:color w:val="000000"/>
          <w:lang w:val="en-US"/>
        </w:rPr>
        <w:t>α</w:t>
      </w:r>
      <w:r w:rsidRPr="007C6417">
        <w:rPr>
          <w:rFonts w:ascii="Times New Roman" w:hAnsi="Times New Roman" w:cs="Times New Roman"/>
          <w:b/>
          <w:bCs/>
          <w:color w:val="000000"/>
          <w:lang w:val="en-US"/>
        </w:rP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κίνησις</w:t>
      </w:r>
      <w:proofErr w:type="spellEnd"/>
      <w:r w:rsidRPr="007C6417">
        <w:rPr>
          <w:rFonts w:ascii="Times New Roman" w:hAnsi="Times New Roman" w:cs="Times New Roman"/>
          <w:b/>
          <w:bCs/>
          <w:color w:val="000000"/>
          <w:lang w:val="en-US"/>
        </w:rP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εἶδος</w:t>
      </w:r>
      <w:proofErr w:type="spellEnd"/>
      <w:r w:rsidRPr="007C6417">
        <w:rPr>
          <w:rFonts w:ascii="Times New Roman" w:hAnsi="Times New Roman" w:cs="Times New Roman"/>
          <w:b/>
          <w:bCs/>
          <w:color w:val="000000"/>
          <w:lang w:val="en-US"/>
        </w:rPr>
        <w:t>,</w:t>
      </w:r>
      <w:r w:rsidRPr="007C6417">
        <w:rPr>
          <w:rStyle w:val="apple-converted-space"/>
          <w:rFonts w:ascii="Times New Roman" w:hAnsi="Times New Roman" w:cs="Times New Roman"/>
          <w:b/>
          <w:bCs/>
          <w:color w:val="000000"/>
          <w:lang w:val="en-US"/>
        </w:rPr>
        <w:t> </w:t>
      </w:r>
      <w:proofErr w:type="spellStart"/>
      <w:r w:rsidRPr="007C6417">
        <w:rPr>
          <w:rStyle w:val="Strong"/>
          <w:rFonts w:ascii="Times New Roman" w:hAnsi="Times New Roman" w:cs="Times New Roman"/>
          <w:b w:val="0"/>
          <w:bCs w:val="0"/>
          <w:color w:val="000000"/>
          <w:lang w:val="en-US"/>
        </w:rPr>
        <w:t>ἰδέ</w:t>
      </w:r>
      <w:proofErr w:type="spellEnd"/>
      <w:r w:rsidRPr="007C6417">
        <w:rPr>
          <w:rStyle w:val="Strong"/>
          <w:rFonts w:ascii="Times New Roman" w:hAnsi="Times New Roman" w:cs="Times New Roman"/>
          <w:b w:val="0"/>
          <w:bCs w:val="0"/>
          <w:color w:val="000000"/>
          <w:lang w:val="en-US"/>
        </w:rPr>
        <w:t>α</w:t>
      </w:r>
      <w:r w:rsidRPr="007C6417">
        <w:rPr>
          <w:rFonts w:ascii="Times New Roman" w:hAnsi="Times New Roman" w:cs="Times New Roman"/>
          <w:color w:val="000000"/>
          <w:lang w:val="en-US"/>
        </w:rPr>
        <w:t>. These difficulties also remain for the Modern Greek translator.</w:t>
      </w:r>
    </w:p>
    <w:p w14:paraId="2A9C7385" w14:textId="77777777" w:rsidR="00304420" w:rsidRPr="007C6417" w:rsidRDefault="00304420" w:rsidP="00304420">
      <w:pPr>
        <w:pStyle w:val="NormalWeb"/>
        <w:rPr>
          <w:color w:val="000000"/>
          <w:lang w:val="en-US"/>
        </w:rPr>
      </w:pPr>
      <w:r w:rsidRPr="007C6417">
        <w:rPr>
          <w:color w:val="000000"/>
          <w:lang w:val="en-US"/>
        </w:rPr>
        <w:t>However, whereas the translator working in the major European languages has an intermediary metalanguage—Latin—which serves as a source of translations of Greek terms both for the Romance languages and for Germanic and other European languages, Modern Greek does not possess such an intermediary. Thus, while the legacy of Cicero, Augustine, and Aquinas in the interpretation of ancient Greek terms is always a source and a point of departure for discussion of translations into European languages other than Greek, for the Greek translator no such point of departure exists, since the Byzantine exegetical tradition employs precisely the same ancient terms.</w:t>
      </w:r>
    </w:p>
    <w:p w14:paraId="4F087647" w14:textId="77777777" w:rsidR="00304420" w:rsidRPr="007C6417" w:rsidRDefault="00304420" w:rsidP="00304420">
      <w:pPr>
        <w:pStyle w:val="NormalWeb"/>
        <w:rPr>
          <w:color w:val="000000"/>
          <w:lang w:val="en-US"/>
        </w:rPr>
      </w:pPr>
      <w:r w:rsidRPr="007C6417">
        <w:rPr>
          <w:color w:val="000000"/>
          <w:lang w:val="en-US"/>
        </w:rPr>
        <w:t>For the terms</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ἐντύ</w:t>
      </w:r>
      <w:proofErr w:type="spellEnd"/>
      <w:r w:rsidRPr="007C6417">
        <w:rPr>
          <w:rStyle w:val="Strong"/>
          <w:rFonts w:eastAsiaTheme="majorEastAsia"/>
          <w:b w:val="0"/>
          <w:bCs w:val="0"/>
          <w:color w:val="000000"/>
          <w:lang w:val="en-US"/>
        </w:rPr>
        <w:t>π</w:t>
      </w:r>
      <w:proofErr w:type="spellStart"/>
      <w:r w:rsidRPr="007C6417">
        <w:rPr>
          <w:rStyle w:val="Strong"/>
          <w:rFonts w:eastAsiaTheme="majorEastAsia"/>
          <w:b w:val="0"/>
          <w:bCs w:val="0"/>
          <w:color w:val="000000"/>
          <w:lang w:val="en-US"/>
        </w:rPr>
        <w:t>ωσις</w:t>
      </w:r>
      <w:proofErr w:type="spellEnd"/>
      <w:r w:rsidRPr="007C6417">
        <w:rPr>
          <w:rStyle w:val="apple-converted-space"/>
          <w:rFonts w:eastAsiaTheme="majorEastAsia"/>
          <w:color w:val="000000"/>
          <w:lang w:val="en-US"/>
        </w:rPr>
        <w:t> </w:t>
      </w:r>
      <w:r w:rsidRPr="007C6417">
        <w:rPr>
          <w:color w:val="000000"/>
          <w:lang w:val="en-US"/>
        </w:rPr>
        <w:t>and</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φρόνησις</w:t>
      </w:r>
      <w:proofErr w:type="spellEnd"/>
      <w:r w:rsidRPr="007C6417">
        <w:rPr>
          <w:color w:val="000000"/>
          <w:lang w:val="en-US"/>
        </w:rPr>
        <w:t>, for example, there are ready-made Latin translations—</w:t>
      </w:r>
      <w:proofErr w:type="spellStart"/>
      <w:r w:rsidRPr="007C6417">
        <w:rPr>
          <w:rStyle w:val="Emphasis"/>
          <w:rFonts w:eastAsiaTheme="majorEastAsia"/>
          <w:color w:val="000000"/>
          <w:lang w:val="en-US"/>
        </w:rPr>
        <w:t>impressio</w:t>
      </w:r>
      <w:proofErr w:type="spellEnd"/>
      <w:r w:rsidRPr="007C6417">
        <w:rPr>
          <w:color w:val="000000"/>
          <w:lang w:val="en-US"/>
        </w:rPr>
        <w:t>,</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informatio</w:t>
      </w:r>
      <w:proofErr w:type="spellEnd"/>
      <w:r w:rsidRPr="007C6417">
        <w:rPr>
          <w:color w:val="000000"/>
          <w:lang w:val="en-US"/>
        </w:rPr>
        <w:t>, and</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prudentia</w:t>
      </w:r>
      <w:proofErr w:type="spellEnd"/>
      <w:r w:rsidRPr="007C6417">
        <w:rPr>
          <w:rStyle w:val="apple-converted-space"/>
          <w:rFonts w:eastAsiaTheme="majorEastAsia"/>
          <w:color w:val="000000"/>
          <w:lang w:val="en-US"/>
        </w:rPr>
        <w:t> </w:t>
      </w:r>
      <w:r w:rsidRPr="007C6417">
        <w:rPr>
          <w:color w:val="000000"/>
          <w:lang w:val="en-US"/>
        </w:rPr>
        <w:t xml:space="preserve">respectively—which can at least serve as starting points for reflection; for the Modern Greek translator, by contrast, the choice always oscillates between preserving the ancient term, with the risk that the Modern Greek term </w:t>
      </w:r>
      <w:r w:rsidRPr="007C6417">
        <w:rPr>
          <w:color w:val="000000"/>
          <w:lang w:val="en-US"/>
        </w:rPr>
        <w:lastRenderedPageBreak/>
        <w:t>covers it only partially because of semantic shift, or inventing a new translation of the ancient term, which may at times sound awkward or strange.</w:t>
      </w:r>
    </w:p>
    <w:p w14:paraId="12AE6E24" w14:textId="77777777" w:rsidR="00304420" w:rsidRPr="007C6417" w:rsidRDefault="00304420" w:rsidP="00304420">
      <w:pPr>
        <w:pStyle w:val="NormalWeb"/>
        <w:rPr>
          <w:color w:val="000000"/>
          <w:lang w:val="en-US"/>
        </w:rPr>
      </w:pPr>
      <w:r w:rsidRPr="007C6417">
        <w:rPr>
          <w:color w:val="000000"/>
          <w:lang w:val="en-US"/>
        </w:rPr>
        <w:t xml:space="preserve">These problems were also faced by the translators of the present Aristotelian work. In addition, however, this work contains a rich technical vocabulary, created by Aristotle, which remains a technical vocabulary of logic even in Modern Greek. The technical character of the work gives it a certain peculiarity. Expressions and terms are sometimes repeated in an abbreviated manner. Precisely because technical terms and expressions recur, however, the question of consistency in their translation becomes crucial. Yet consistency in the translation of technical terms is itself debatable, both for stylistic reasons and for reasons of meaning. For we must not forget that we are dealing with the translation of a philosophical work, and our primary aim is that the translation </w:t>
      </w:r>
      <w:proofErr w:type="gramStart"/>
      <w:r w:rsidRPr="007C6417">
        <w:rPr>
          <w:color w:val="000000"/>
          <w:lang w:val="en-US"/>
        </w:rPr>
        <w:t>convey</w:t>
      </w:r>
      <w:proofErr w:type="gramEnd"/>
      <w:r w:rsidRPr="007C6417">
        <w:rPr>
          <w:color w:val="000000"/>
          <w:lang w:val="en-US"/>
        </w:rPr>
        <w:t xml:space="preserve"> the correct philosophical meaning in each case. There is no single recipe for achieving this aim. There are, however, many incorrect ones. Absolute fidelity to the original and absolute consistency are among them.</w:t>
      </w:r>
    </w:p>
    <w:p w14:paraId="48C42794" w14:textId="21AE53D7" w:rsidR="00304420" w:rsidRPr="007C6417" w:rsidRDefault="00304420" w:rsidP="00304420">
      <w:pPr>
        <w:pStyle w:val="NormalWeb"/>
        <w:rPr>
          <w:color w:val="000000"/>
          <w:lang w:val="en-US"/>
        </w:rPr>
      </w:pPr>
      <w:r w:rsidRPr="007C6417">
        <w:rPr>
          <w:color w:val="000000"/>
          <w:lang w:val="en-US"/>
        </w:rPr>
        <w:t>Let us now consider the translation of certain technical terms. (A glossary of terms is provided at the end of the book.) The term</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π</w:t>
      </w:r>
      <w:proofErr w:type="spellStart"/>
      <w:r w:rsidRPr="007C6417">
        <w:rPr>
          <w:rStyle w:val="Strong"/>
          <w:rFonts w:eastAsiaTheme="majorEastAsia"/>
          <w:b w:val="0"/>
          <w:bCs w:val="0"/>
          <w:color w:val="000000"/>
          <w:lang w:val="en-US"/>
        </w:rPr>
        <w:t>ρότ</w:t>
      </w:r>
      <w:proofErr w:type="spellEnd"/>
      <w:r w:rsidRPr="007C6417">
        <w:rPr>
          <w:rStyle w:val="Strong"/>
          <w:rFonts w:eastAsiaTheme="majorEastAsia"/>
          <w:b w:val="0"/>
          <w:bCs w:val="0"/>
          <w:color w:val="000000"/>
          <w:lang w:val="en-US"/>
        </w:rPr>
        <w:t>α</w:t>
      </w:r>
      <w:proofErr w:type="spellStart"/>
      <w:r w:rsidRPr="007C6417">
        <w:rPr>
          <w:rStyle w:val="Strong"/>
          <w:rFonts w:eastAsiaTheme="majorEastAsia"/>
          <w:b w:val="0"/>
          <w:bCs w:val="0"/>
          <w:color w:val="000000"/>
          <w:lang w:val="en-US"/>
        </w:rPr>
        <w:t>σις</w:t>
      </w:r>
      <w:proofErr w:type="spellEnd"/>
      <w:r w:rsidRPr="007C6417">
        <w:rPr>
          <w:color w:val="000000"/>
          <w:lang w:val="en-US"/>
        </w:rPr>
        <w:t>, for example, is translated by Boethius as</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propositio</w:t>
      </w:r>
      <w:proofErr w:type="spellEnd"/>
      <w:r w:rsidRPr="007C6417">
        <w:rPr>
          <w:color w:val="000000"/>
          <w:lang w:val="en-US"/>
        </w:rPr>
        <w:t>,</w:t>
      </w:r>
      <w:r w:rsidR="00E41C9B" w:rsidRPr="007C6417">
        <w:rPr>
          <w:rStyle w:val="FootnoteReference"/>
          <w:color w:val="000000"/>
          <w:lang w:val="en-US"/>
        </w:rPr>
        <w:footnoteReference w:id="86"/>
      </w:r>
      <w:r w:rsidRPr="007C6417">
        <w:rPr>
          <w:color w:val="000000"/>
          <w:lang w:val="en-US"/>
        </w:rPr>
        <w:t xml:space="preserve"> in modern languages as</w:t>
      </w:r>
      <w:r w:rsidRPr="007C6417">
        <w:rPr>
          <w:rStyle w:val="apple-converted-space"/>
          <w:rFonts w:eastAsiaTheme="majorEastAsia"/>
          <w:color w:val="000000"/>
          <w:lang w:val="en-US"/>
        </w:rPr>
        <w:t> </w:t>
      </w:r>
      <w:r w:rsidRPr="007C6417">
        <w:rPr>
          <w:rStyle w:val="Emphasis"/>
          <w:rFonts w:eastAsiaTheme="majorEastAsia"/>
          <w:color w:val="000000"/>
          <w:lang w:val="en-US"/>
        </w:rPr>
        <w:t>proposition</w:t>
      </w:r>
      <w:r w:rsidRPr="007C6417">
        <w:rPr>
          <w:rStyle w:val="apple-converted-space"/>
          <w:rFonts w:eastAsiaTheme="majorEastAsia"/>
          <w:color w:val="000000"/>
          <w:lang w:val="en-US"/>
        </w:rPr>
        <w:t> </w:t>
      </w:r>
      <w:r w:rsidRPr="007C6417">
        <w:rPr>
          <w:color w:val="000000"/>
          <w:lang w:val="en-US"/>
        </w:rPr>
        <w:t>and the like, or very often as</w:t>
      </w:r>
      <w:r w:rsidRPr="007C6417">
        <w:rPr>
          <w:rStyle w:val="apple-converted-space"/>
          <w:rFonts w:eastAsiaTheme="majorEastAsia"/>
          <w:color w:val="000000"/>
          <w:lang w:val="en-US"/>
        </w:rPr>
        <w:t> </w:t>
      </w:r>
      <w:r w:rsidRPr="007C6417">
        <w:rPr>
          <w:rStyle w:val="Emphasis"/>
          <w:rFonts w:eastAsiaTheme="majorEastAsia"/>
          <w:color w:val="000000"/>
          <w:lang w:val="en-US"/>
        </w:rPr>
        <w:t>premiss</w:t>
      </w:r>
      <w:r w:rsidRPr="007C6417">
        <w:rPr>
          <w:color w:val="000000"/>
          <w:lang w:val="en-US"/>
        </w:rPr>
        <w:t>. It is a declarative sentence that may coincide either (a) with the</w:t>
      </w:r>
      <w:r w:rsidRPr="007C6417">
        <w:rPr>
          <w:rStyle w:val="apple-converted-space"/>
          <w:rFonts w:eastAsiaTheme="majorEastAsia"/>
          <w:color w:val="000000"/>
          <w:lang w:val="en-US"/>
        </w:rPr>
        <w:t> </w:t>
      </w:r>
      <w:r w:rsidRPr="007C6417">
        <w:rPr>
          <w:rStyle w:val="Emphasis"/>
          <w:rFonts w:eastAsiaTheme="majorEastAsia"/>
          <w:color w:val="000000"/>
          <w:lang w:val="en-US"/>
        </w:rPr>
        <w:t>ἁπ</w:t>
      </w:r>
      <w:proofErr w:type="spellStart"/>
      <w:r w:rsidRPr="007C6417">
        <w:rPr>
          <w:rStyle w:val="Emphasis"/>
          <w:rFonts w:eastAsiaTheme="majorEastAsia"/>
          <w:color w:val="000000"/>
          <w:lang w:val="en-US"/>
        </w:rPr>
        <w:t>λῆ</w:t>
      </w:r>
      <w:proofErr w:type="spellEnd"/>
      <w:r w:rsidRPr="007C6417">
        <w:rPr>
          <w:rStyle w:val="Emphasis"/>
          <w:rFonts w:eastAsiaTheme="majorEastAsia"/>
          <w:color w:val="000000"/>
          <w:lang w:val="en-US"/>
        </w:rPr>
        <w:t xml:space="preserve"> ἀπ</w:t>
      </w:r>
      <w:proofErr w:type="spellStart"/>
      <w:r w:rsidRPr="007C6417">
        <w:rPr>
          <w:rStyle w:val="Emphasis"/>
          <w:rFonts w:eastAsiaTheme="majorEastAsia"/>
          <w:color w:val="000000"/>
          <w:lang w:val="en-US"/>
        </w:rPr>
        <w:t>όφ</w:t>
      </w:r>
      <w:proofErr w:type="spellEnd"/>
      <w:r w:rsidRPr="007C6417">
        <w:rPr>
          <w:rStyle w:val="Emphasis"/>
          <w:rFonts w:eastAsiaTheme="majorEastAsia"/>
          <w:color w:val="000000"/>
          <w:lang w:val="en-US"/>
        </w:rPr>
        <w:t>α</w:t>
      </w:r>
      <w:proofErr w:type="spellStart"/>
      <w:r w:rsidRPr="007C6417">
        <w:rPr>
          <w:rStyle w:val="Emphasis"/>
          <w:rFonts w:eastAsiaTheme="majorEastAsia"/>
          <w:color w:val="000000"/>
          <w:lang w:val="en-US"/>
        </w:rPr>
        <w:t>νσις</w:t>
      </w:r>
      <w:proofErr w:type="spellEnd"/>
      <w:r w:rsidRPr="007C6417">
        <w:rPr>
          <w:rStyle w:val="apple-converted-space"/>
          <w:rFonts w:eastAsiaTheme="majorEastAsia"/>
          <w:color w:val="000000"/>
          <w:lang w:val="en-US"/>
        </w:rPr>
        <w:t> </w:t>
      </w:r>
      <w:r w:rsidRPr="007C6417">
        <w:rPr>
          <w:color w:val="000000"/>
          <w:lang w:val="en-US"/>
        </w:rPr>
        <w:t>of</w:t>
      </w:r>
      <w:r w:rsidRPr="007C6417">
        <w:rPr>
          <w:rStyle w:val="apple-converted-space"/>
          <w:rFonts w:eastAsiaTheme="majorEastAsia"/>
          <w:color w:val="000000"/>
          <w:lang w:val="en-US"/>
        </w:rPr>
        <w:t> </w:t>
      </w:r>
      <w:r w:rsidRPr="007C6417">
        <w:rPr>
          <w:rStyle w:val="Emphasis"/>
          <w:rFonts w:eastAsiaTheme="majorEastAsia"/>
          <w:color w:val="000000"/>
          <w:lang w:val="en-US"/>
        </w:rPr>
        <w:t>On Interpretation</w:t>
      </w:r>
      <w:r w:rsidRPr="007C6417">
        <w:rPr>
          <w:rStyle w:val="apple-converted-space"/>
          <w:rFonts w:eastAsiaTheme="majorEastAsia"/>
          <w:color w:val="000000"/>
          <w:lang w:val="en-US"/>
        </w:rPr>
        <w:t> </w:t>
      </w:r>
      <w:r w:rsidRPr="007C6417">
        <w:rPr>
          <w:color w:val="000000"/>
          <w:lang w:val="en-US"/>
        </w:rPr>
        <w:t>17a20–26 or, alternatively, (b) with a premiss within the framework of an argument. We translate it as “premiss” only when the context emphasizes (b). In the remaining contexts, we leave it as “proposition,” for example in passages where Aristotle says that we choose such-and-such propositions for a given syllogism. Here it is clear that these are “premisses for a given syllogism.” If, however, we were to translate “premisses,” we would do an injustice to the fact that the selection must be made from the pool of assertions/declarative propositions.</w:t>
      </w:r>
    </w:p>
    <w:p w14:paraId="3E485680" w14:textId="61AAF2B6" w:rsidR="00304420" w:rsidRPr="007C6417" w:rsidRDefault="00304420" w:rsidP="00304420">
      <w:pPr>
        <w:pStyle w:val="NormalWeb"/>
        <w:rPr>
          <w:color w:val="000000"/>
          <w:lang w:val="en-US"/>
        </w:rPr>
      </w:pPr>
      <w:r w:rsidRPr="007C6417">
        <w:rPr>
          <w:color w:val="000000"/>
          <w:lang w:val="en-US"/>
        </w:rPr>
        <w:t>We also translate the term</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διάστημ</w:t>
      </w:r>
      <w:proofErr w:type="spellEnd"/>
      <w:r w:rsidRPr="007C6417">
        <w:rPr>
          <w:rStyle w:val="Strong"/>
          <w:rFonts w:eastAsiaTheme="majorEastAsia"/>
          <w:b w:val="0"/>
          <w:bCs w:val="0"/>
          <w:color w:val="000000"/>
          <w:lang w:val="en-US"/>
        </w:rPr>
        <w:t>α</w:t>
      </w:r>
      <w:r w:rsidRPr="007C6417">
        <w:rPr>
          <w:rStyle w:val="apple-converted-space"/>
          <w:rFonts w:eastAsiaTheme="majorEastAsia"/>
          <w:color w:val="000000"/>
          <w:lang w:val="en-US"/>
        </w:rPr>
        <w:t> </w:t>
      </w:r>
      <w:r w:rsidRPr="007C6417">
        <w:rPr>
          <w:color w:val="000000"/>
          <w:lang w:val="en-US"/>
        </w:rPr>
        <w:t>as “proposition,” except for some occurrences of the term at the beginning of Aristotle’s text. As for the term</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ὅρος</w:t>
      </w:r>
      <w:proofErr w:type="spellEnd"/>
      <w:r w:rsidRPr="007C6417">
        <w:rPr>
          <w:color w:val="000000"/>
          <w:lang w:val="en-US"/>
        </w:rPr>
        <w:t>, on the other hand, the only translational option is to retain it in the translation. After considerable reflection, we also retain in the translation the phrase</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ὡς</w:t>
      </w:r>
      <w:proofErr w:type="spellEnd"/>
      <w:r w:rsidRPr="007C6417">
        <w:rPr>
          <w:rStyle w:val="Strong"/>
          <w:rFonts w:eastAsiaTheme="majorEastAsia"/>
          <w:b w:val="0"/>
          <w:bCs w:val="0"/>
          <w:color w:val="000000"/>
          <w:lang w:val="en-US"/>
        </w:rPr>
        <w:t xml:space="preserve"> ἐπὶ </w:t>
      </w:r>
      <w:proofErr w:type="spellStart"/>
      <w:r w:rsidRPr="007C6417">
        <w:rPr>
          <w:rStyle w:val="Strong"/>
          <w:rFonts w:eastAsiaTheme="majorEastAsia"/>
          <w:b w:val="0"/>
          <w:bCs w:val="0"/>
          <w:color w:val="000000"/>
          <w:lang w:val="en-US"/>
        </w:rPr>
        <w:t>τὸ</w:t>
      </w:r>
      <w:proofErr w:type="spellEnd"/>
      <w:r w:rsidRPr="007C6417">
        <w:rPr>
          <w:rStyle w:val="Strong"/>
          <w:rFonts w:eastAsiaTheme="majorEastAsia"/>
          <w:b w:val="0"/>
          <w:bCs w:val="0"/>
          <w:color w:val="000000"/>
          <w:lang w:val="en-US"/>
        </w:rPr>
        <w:t xml:space="preserve"> π</w:t>
      </w:r>
      <w:proofErr w:type="spellStart"/>
      <w:r w:rsidRPr="007C6417">
        <w:rPr>
          <w:rStyle w:val="Strong"/>
          <w:rFonts w:eastAsiaTheme="majorEastAsia"/>
          <w:b w:val="0"/>
          <w:bCs w:val="0"/>
          <w:color w:val="000000"/>
          <w:lang w:val="en-US"/>
        </w:rPr>
        <w:t>ολύ</w:t>
      </w:r>
      <w:proofErr w:type="spellEnd"/>
      <w:r w:rsidRPr="007C6417">
        <w:rPr>
          <w:rStyle w:val="apple-converted-space"/>
          <w:rFonts w:eastAsiaTheme="majorEastAsia"/>
          <w:color w:val="000000"/>
          <w:lang w:val="en-US"/>
        </w:rPr>
        <w:t> </w:t>
      </w:r>
      <w:r w:rsidRPr="007C6417">
        <w:rPr>
          <w:color w:val="000000"/>
          <w:lang w:val="en-US"/>
        </w:rPr>
        <w:t>in monotonic script, since this phrase belongs to those that have been preserved in Modern Greek. We likewise retain the technical term</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ἀδιόριστον</w:t>
      </w:r>
      <w:proofErr w:type="spellEnd"/>
      <w:r w:rsidRPr="007C6417">
        <w:rPr>
          <w:rStyle w:val="apple-converted-space"/>
          <w:rFonts w:eastAsiaTheme="majorEastAsia"/>
          <w:color w:val="000000"/>
          <w:lang w:val="en-US"/>
        </w:rPr>
        <w:t> </w:t>
      </w:r>
      <w:r w:rsidRPr="007C6417">
        <w:rPr>
          <w:color w:val="000000"/>
          <w:lang w:val="en-US"/>
        </w:rPr>
        <w:t>rather than translating it as “indeterminate,” because “indeterminate,” as a case of quantification, could be taken to refer to a quantification that is either universal or particular but such that we cannot determine what it is, whereas what we want is a form of quantification that is neither of the two mentioned above.</w:t>
      </w:r>
      <w:r w:rsidR="00E41C9B" w:rsidRPr="007C6417">
        <w:rPr>
          <w:rStyle w:val="FootnoteReference"/>
          <w:color w:val="000000"/>
          <w:lang w:val="en-US"/>
        </w:rPr>
        <w:footnoteReference w:id="87"/>
      </w:r>
    </w:p>
    <w:p w14:paraId="782B4390" w14:textId="69E8881F" w:rsidR="00304420" w:rsidRPr="007C6417" w:rsidRDefault="00304420" w:rsidP="00304420">
      <w:pPr>
        <w:pStyle w:val="NormalWeb"/>
        <w:rPr>
          <w:color w:val="000000"/>
          <w:lang w:val="en-US"/>
        </w:rPr>
      </w:pPr>
      <w:r w:rsidRPr="007C6417">
        <w:rPr>
          <w:color w:val="000000"/>
          <w:lang w:val="en-US"/>
        </w:rPr>
        <w:t>The technical vocabulary of Aristotelian logic also includes the terms (</w:t>
      </w:r>
      <w:proofErr w:type="spellStart"/>
      <w:r w:rsidRPr="007C6417">
        <w:rPr>
          <w:color w:val="000000"/>
          <w:lang w:val="en-US"/>
        </w:rPr>
        <w:t>i</w:t>
      </w:r>
      <w:proofErr w:type="spellEnd"/>
      <w:r w:rsidRPr="007C6417">
        <w:rPr>
          <w:color w:val="000000"/>
          <w:lang w:val="en-US"/>
        </w:rPr>
        <w:t>)</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στερητικ</w:t>
      </w:r>
      <w:proofErr w:type="spellEnd"/>
      <w:r w:rsidRPr="007C6417">
        <w:rPr>
          <w:rStyle w:val="Strong"/>
          <w:rFonts w:eastAsiaTheme="majorEastAsia"/>
          <w:b w:val="0"/>
          <w:bCs w:val="0"/>
          <w:color w:val="000000"/>
          <w:lang w:val="en-US"/>
        </w:rPr>
        <w:t>-ή, -</w:t>
      </w:r>
      <w:proofErr w:type="spellStart"/>
      <w:r w:rsidRPr="007C6417">
        <w:rPr>
          <w:rStyle w:val="Strong"/>
          <w:rFonts w:eastAsiaTheme="majorEastAsia"/>
          <w:b w:val="0"/>
          <w:bCs w:val="0"/>
          <w:color w:val="000000"/>
          <w:lang w:val="en-US"/>
        </w:rPr>
        <w:t>όν</w:t>
      </w:r>
      <w:proofErr w:type="spellEnd"/>
      <w:r w:rsidRPr="007C6417">
        <w:rPr>
          <w:color w:val="000000"/>
          <w:lang w:val="en-US"/>
        </w:rPr>
        <w:t>, (ii)</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ἀπ</w:t>
      </w:r>
      <w:proofErr w:type="spellStart"/>
      <w:r w:rsidRPr="007C6417">
        <w:rPr>
          <w:rStyle w:val="Strong"/>
          <w:rFonts w:eastAsiaTheme="majorEastAsia"/>
          <w:b w:val="0"/>
          <w:bCs w:val="0"/>
          <w:color w:val="000000"/>
          <w:lang w:val="en-US"/>
        </w:rPr>
        <w:t>οφ</w:t>
      </w:r>
      <w:proofErr w:type="spellEnd"/>
      <w:r w:rsidRPr="007C6417">
        <w:rPr>
          <w:rStyle w:val="Strong"/>
          <w:rFonts w:eastAsiaTheme="majorEastAsia"/>
          <w:b w:val="0"/>
          <w:bCs w:val="0"/>
          <w:color w:val="000000"/>
          <w:lang w:val="en-US"/>
        </w:rPr>
        <w:t>α</w:t>
      </w:r>
      <w:proofErr w:type="spellStart"/>
      <w:r w:rsidRPr="007C6417">
        <w:rPr>
          <w:rStyle w:val="Strong"/>
          <w:rFonts w:eastAsiaTheme="majorEastAsia"/>
          <w:b w:val="0"/>
          <w:bCs w:val="0"/>
          <w:color w:val="000000"/>
          <w:lang w:val="en-US"/>
        </w:rPr>
        <w:t>τικ</w:t>
      </w:r>
      <w:proofErr w:type="spellEnd"/>
      <w:r w:rsidRPr="007C6417">
        <w:rPr>
          <w:rStyle w:val="Strong"/>
          <w:rFonts w:eastAsiaTheme="majorEastAsia"/>
          <w:b w:val="0"/>
          <w:bCs w:val="0"/>
          <w:color w:val="000000"/>
          <w:lang w:val="en-US"/>
        </w:rPr>
        <w:t>-ή, -</w:t>
      </w:r>
      <w:proofErr w:type="spellStart"/>
      <w:r w:rsidRPr="007C6417">
        <w:rPr>
          <w:rStyle w:val="Strong"/>
          <w:rFonts w:eastAsiaTheme="majorEastAsia"/>
          <w:b w:val="0"/>
          <w:bCs w:val="0"/>
          <w:color w:val="000000"/>
          <w:lang w:val="en-US"/>
        </w:rPr>
        <w:t>όν</w:t>
      </w:r>
      <w:proofErr w:type="spellEnd"/>
      <w:r w:rsidRPr="007C6417">
        <w:rPr>
          <w:color w:val="000000"/>
          <w:lang w:val="en-US"/>
        </w:rPr>
        <w:t>, (iii)</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κα</w:t>
      </w:r>
      <w:proofErr w:type="spellStart"/>
      <w:r w:rsidRPr="007C6417">
        <w:rPr>
          <w:rStyle w:val="Strong"/>
          <w:rFonts w:eastAsiaTheme="majorEastAsia"/>
          <w:b w:val="0"/>
          <w:bCs w:val="0"/>
          <w:color w:val="000000"/>
          <w:lang w:val="en-US"/>
        </w:rPr>
        <w:t>τηγορικ</w:t>
      </w:r>
      <w:proofErr w:type="spellEnd"/>
      <w:r w:rsidRPr="007C6417">
        <w:rPr>
          <w:rStyle w:val="Strong"/>
          <w:rFonts w:eastAsiaTheme="majorEastAsia"/>
          <w:b w:val="0"/>
          <w:bCs w:val="0"/>
          <w:color w:val="000000"/>
          <w:lang w:val="en-US"/>
        </w:rPr>
        <w:t>-ή, -</w:t>
      </w:r>
      <w:proofErr w:type="spellStart"/>
      <w:r w:rsidRPr="007C6417">
        <w:rPr>
          <w:rStyle w:val="Strong"/>
          <w:rFonts w:eastAsiaTheme="majorEastAsia"/>
          <w:b w:val="0"/>
          <w:bCs w:val="0"/>
          <w:color w:val="000000"/>
          <w:lang w:val="en-US"/>
        </w:rPr>
        <w:t>όν</w:t>
      </w:r>
      <w:proofErr w:type="spellEnd"/>
      <w:r w:rsidRPr="007C6417">
        <w:rPr>
          <w:color w:val="000000"/>
          <w:lang w:val="en-US"/>
        </w:rPr>
        <w:t>, which we translate respectively as (</w:t>
      </w:r>
      <w:proofErr w:type="spellStart"/>
      <w:r w:rsidRPr="007C6417">
        <w:rPr>
          <w:color w:val="000000"/>
          <w:lang w:val="en-US"/>
        </w:rPr>
        <w:t>i</w:t>
      </w:r>
      <w:proofErr w:type="spellEnd"/>
      <w:r w:rsidRPr="007C6417">
        <w:rPr>
          <w:color w:val="000000"/>
          <w:lang w:val="en-US"/>
        </w:rPr>
        <w:t>) “negative,” (ii) we leave as it is, and (iii) “affirmative.” The technical term</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ὑπ</w:t>
      </w:r>
      <w:proofErr w:type="spellStart"/>
      <w:r w:rsidRPr="007C6417">
        <w:rPr>
          <w:rStyle w:val="Strong"/>
          <w:rFonts w:eastAsiaTheme="majorEastAsia"/>
          <w:b w:val="0"/>
          <w:bCs w:val="0"/>
          <w:color w:val="000000"/>
          <w:lang w:val="en-US"/>
        </w:rPr>
        <w:t>άρχειν</w:t>
      </w:r>
      <w:proofErr w:type="spellEnd"/>
      <w:r w:rsidRPr="007C6417">
        <w:rPr>
          <w:rStyle w:val="apple-converted-space"/>
          <w:rFonts w:eastAsiaTheme="majorEastAsia"/>
          <w:color w:val="000000"/>
          <w:lang w:val="en-US"/>
        </w:rPr>
        <w:t> </w:t>
      </w:r>
      <w:r w:rsidRPr="007C6417">
        <w:rPr>
          <w:color w:val="000000"/>
          <w:lang w:val="en-US"/>
        </w:rPr>
        <w:t>we translate as “is predicated of” and at times as “is attributed to.” Aristotle’s explanation of the term at 48a40–b4 recommends such a translation.</w:t>
      </w:r>
      <w:r w:rsidR="00E41C9B" w:rsidRPr="007C6417">
        <w:rPr>
          <w:rStyle w:val="FootnoteReference"/>
          <w:color w:val="000000"/>
          <w:lang w:val="en-US"/>
        </w:rPr>
        <w:footnoteReference w:id="88"/>
      </w:r>
      <w:r w:rsidRPr="007C6417">
        <w:rPr>
          <w:color w:val="000000"/>
          <w:lang w:val="en-US"/>
        </w:rPr>
        <w:t xml:space="preserve"> That passage shows that</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ὑπ</w:t>
      </w:r>
      <w:proofErr w:type="spellStart"/>
      <w:r w:rsidRPr="007C6417">
        <w:rPr>
          <w:rStyle w:val="Strong"/>
          <w:rFonts w:eastAsiaTheme="majorEastAsia"/>
          <w:b w:val="0"/>
          <w:bCs w:val="0"/>
          <w:color w:val="000000"/>
          <w:lang w:val="en-US"/>
        </w:rPr>
        <w:t>άρχειν</w:t>
      </w:r>
      <w:proofErr w:type="spellEnd"/>
      <w:r w:rsidRPr="007C6417">
        <w:rPr>
          <w:rStyle w:val="apple-converted-space"/>
          <w:rFonts w:eastAsiaTheme="majorEastAsia"/>
          <w:color w:val="000000"/>
          <w:lang w:val="en-US"/>
        </w:rPr>
        <w:t> </w:t>
      </w:r>
      <w:r w:rsidRPr="007C6417">
        <w:rPr>
          <w:color w:val="000000"/>
          <w:lang w:val="en-US"/>
        </w:rPr>
        <w:t>contains both an ontological component, which is closer to</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εἶν</w:t>
      </w:r>
      <w:proofErr w:type="spellEnd"/>
      <w:r w:rsidRPr="007C6417">
        <w:rPr>
          <w:rStyle w:val="Strong"/>
          <w:rFonts w:eastAsiaTheme="majorEastAsia"/>
          <w:b w:val="0"/>
          <w:bCs w:val="0"/>
          <w:color w:val="000000"/>
          <w:lang w:val="en-US"/>
        </w:rPr>
        <w:t>αι</w:t>
      </w:r>
      <w:r w:rsidRPr="007C6417">
        <w:rPr>
          <w:color w:val="000000"/>
          <w:lang w:val="en-US"/>
        </w:rPr>
        <w:t xml:space="preserve">, and a linguistic component, which is closer </w:t>
      </w:r>
      <w:r w:rsidRPr="007C6417">
        <w:rPr>
          <w:color w:val="000000"/>
          <w:lang w:val="en-US"/>
        </w:rPr>
        <w:lastRenderedPageBreak/>
        <w:t>to</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κα</w:t>
      </w:r>
      <w:proofErr w:type="spellStart"/>
      <w:r w:rsidRPr="007C6417">
        <w:rPr>
          <w:rStyle w:val="Strong"/>
          <w:rFonts w:eastAsiaTheme="majorEastAsia"/>
          <w:b w:val="0"/>
          <w:bCs w:val="0"/>
          <w:color w:val="000000"/>
          <w:lang w:val="en-US"/>
        </w:rPr>
        <w:t>τηγορεῖσθ</w:t>
      </w:r>
      <w:proofErr w:type="spellEnd"/>
      <w:r w:rsidRPr="007C6417">
        <w:rPr>
          <w:rStyle w:val="Strong"/>
          <w:rFonts w:eastAsiaTheme="majorEastAsia"/>
          <w:b w:val="0"/>
          <w:bCs w:val="0"/>
          <w:color w:val="000000"/>
          <w:lang w:val="en-US"/>
        </w:rPr>
        <w:t>αι</w:t>
      </w:r>
      <w:r w:rsidRPr="007C6417">
        <w:rPr>
          <w:color w:val="000000"/>
          <w:lang w:val="en-US"/>
        </w:rPr>
        <w:t>. We do not translate the phrase</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τὸ</w:t>
      </w:r>
      <w:proofErr w:type="spellEnd"/>
      <w:r w:rsidRPr="007C6417">
        <w:rPr>
          <w:rStyle w:val="Strong"/>
          <w:rFonts w:eastAsiaTheme="majorEastAsia"/>
          <w:b w:val="0"/>
          <w:bCs w:val="0"/>
          <w:color w:val="000000"/>
          <w:lang w:val="en-US"/>
        </w:rPr>
        <w:t xml:space="preserve"> Α </w:t>
      </w:r>
      <w:proofErr w:type="spellStart"/>
      <w:r w:rsidRPr="007C6417">
        <w:rPr>
          <w:rStyle w:val="Strong"/>
          <w:rFonts w:eastAsiaTheme="majorEastAsia"/>
          <w:b w:val="0"/>
          <w:bCs w:val="0"/>
          <w:color w:val="000000"/>
          <w:lang w:val="en-US"/>
        </w:rPr>
        <w:t>τινὶ</w:t>
      </w:r>
      <w:proofErr w:type="spellEnd"/>
      <w:r w:rsidRPr="007C6417">
        <w:rPr>
          <w:rStyle w:val="Strong"/>
          <w:rFonts w:eastAsiaTheme="majorEastAsia"/>
          <w:b w:val="0"/>
          <w:bCs w:val="0"/>
          <w:color w:val="000000"/>
          <w:lang w:val="en-US"/>
        </w:rPr>
        <w:t xml:space="preserve"> </w:t>
      </w:r>
      <w:proofErr w:type="spellStart"/>
      <w:r w:rsidRPr="007C6417">
        <w:rPr>
          <w:rStyle w:val="Strong"/>
          <w:rFonts w:eastAsiaTheme="majorEastAsia"/>
          <w:b w:val="0"/>
          <w:bCs w:val="0"/>
          <w:color w:val="000000"/>
          <w:lang w:val="en-US"/>
        </w:rPr>
        <w:t>τῷ</w:t>
      </w:r>
      <w:proofErr w:type="spellEnd"/>
      <w:r w:rsidRPr="007C6417">
        <w:rPr>
          <w:rStyle w:val="Strong"/>
          <w:rFonts w:eastAsiaTheme="majorEastAsia"/>
          <w:b w:val="0"/>
          <w:bCs w:val="0"/>
          <w:color w:val="000000"/>
          <w:lang w:val="en-US"/>
        </w:rPr>
        <w:t xml:space="preserve"> (</w:t>
      </w:r>
      <w:proofErr w:type="spellStart"/>
      <w:r w:rsidRPr="007C6417">
        <w:rPr>
          <w:rStyle w:val="Strong"/>
          <w:rFonts w:eastAsiaTheme="majorEastAsia"/>
          <w:b w:val="0"/>
          <w:bCs w:val="0"/>
          <w:color w:val="000000"/>
          <w:lang w:val="en-US"/>
        </w:rPr>
        <w:t>τῶν</w:t>
      </w:r>
      <w:proofErr w:type="spellEnd"/>
      <w:r w:rsidRPr="007C6417">
        <w:rPr>
          <w:rStyle w:val="Strong"/>
          <w:rFonts w:eastAsiaTheme="majorEastAsia"/>
          <w:b w:val="0"/>
          <w:bCs w:val="0"/>
          <w:color w:val="000000"/>
          <w:lang w:val="en-US"/>
        </w:rPr>
        <w:t>) Β ὑπ</w:t>
      </w:r>
      <w:proofErr w:type="spellStart"/>
      <w:r w:rsidRPr="007C6417">
        <w:rPr>
          <w:rStyle w:val="Strong"/>
          <w:rFonts w:eastAsiaTheme="majorEastAsia"/>
          <w:b w:val="0"/>
          <w:bCs w:val="0"/>
          <w:color w:val="000000"/>
          <w:lang w:val="en-US"/>
        </w:rPr>
        <w:t>άρχει</w:t>
      </w:r>
      <w:proofErr w:type="spellEnd"/>
      <w:r w:rsidRPr="007C6417">
        <w:rPr>
          <w:rStyle w:val="apple-converted-space"/>
          <w:rFonts w:eastAsiaTheme="majorEastAsia"/>
          <w:color w:val="000000"/>
          <w:lang w:val="en-US"/>
        </w:rPr>
        <w:t> </w:t>
      </w:r>
      <w:r w:rsidRPr="007C6417">
        <w:rPr>
          <w:color w:val="000000"/>
          <w:lang w:val="en-US"/>
        </w:rPr>
        <w:t xml:space="preserve">literally, nor in a way that would lead us into elaborate discussions about </w:t>
      </w:r>
      <w:proofErr w:type="spellStart"/>
      <w:r w:rsidRPr="007C6417">
        <w:rPr>
          <w:color w:val="000000"/>
          <w:lang w:val="en-US"/>
        </w:rPr>
        <w:t>intensional</w:t>
      </w:r>
      <w:proofErr w:type="spellEnd"/>
      <w:r w:rsidRPr="007C6417">
        <w:rPr>
          <w:color w:val="000000"/>
          <w:lang w:val="en-US"/>
        </w:rPr>
        <w:t xml:space="preserve"> versus extensional interpretation. We translate it as “A is predicated of”: (1) “some B” or (2) “some Bs,” choosing on the basis of context. For example, when the proposition is presented as the conclusion of a syllogism, “of some B” sounds odd to the contemporary reader. We usually </w:t>
      </w:r>
      <w:proofErr w:type="gramStart"/>
      <w:r w:rsidRPr="007C6417">
        <w:rPr>
          <w:color w:val="000000"/>
          <w:lang w:val="en-US"/>
        </w:rPr>
        <w:t>say</w:t>
      </w:r>
      <w:proofErr w:type="gramEnd"/>
      <w:r w:rsidRPr="007C6417">
        <w:rPr>
          <w:color w:val="000000"/>
          <w:lang w:val="en-US"/>
        </w:rPr>
        <w:t xml:space="preserve"> “of some Bs,” meaning “of one or more.” “Of some B” in this context raises the suspicion that what is meant is “of one particular” or “of one and only one.” In other contexts, where the expression does not occur within an argument but constitutes an independent hypothesis or assertion, “of some B” may be preferable.</w:t>
      </w:r>
    </w:p>
    <w:p w14:paraId="2ECBEE10" w14:textId="77777777" w:rsidR="00304420" w:rsidRPr="007C6417" w:rsidRDefault="00304420" w:rsidP="00304420">
      <w:pPr>
        <w:pStyle w:val="NormalWeb"/>
        <w:rPr>
          <w:color w:val="000000"/>
          <w:lang w:val="en-US"/>
        </w:rPr>
      </w:pPr>
      <w:r w:rsidRPr="007C6417">
        <w:rPr>
          <w:color w:val="000000"/>
          <w:lang w:val="en-US"/>
        </w:rPr>
        <w:t>The term</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συλλογισμός</w:t>
      </w:r>
      <w:proofErr w:type="spellEnd"/>
      <w:r w:rsidRPr="007C6417">
        <w:rPr>
          <w:color w:val="000000"/>
          <w:lang w:val="en-US"/>
        </w:rPr>
        <w:t>, now, can mean logical inference in general, but also the specific logical structure developed in</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I.4–22, namely a particular logical construction consisting of two premisses and a conclusion. At times it can also mean the conclusion of the syllogism. Especially in the phrase</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συλλογισμὸς</w:t>
      </w:r>
      <w:proofErr w:type="spellEnd"/>
      <w:r w:rsidRPr="007C6417">
        <w:rPr>
          <w:rStyle w:val="Strong"/>
          <w:rFonts w:eastAsiaTheme="majorEastAsia"/>
          <w:b w:val="0"/>
          <w:bCs w:val="0"/>
          <w:color w:val="000000"/>
          <w:lang w:val="en-US"/>
        </w:rPr>
        <w:t xml:space="preserve"> </w:t>
      </w:r>
      <w:proofErr w:type="spellStart"/>
      <w:r w:rsidRPr="007C6417">
        <w:rPr>
          <w:rStyle w:val="Strong"/>
          <w:rFonts w:eastAsiaTheme="majorEastAsia"/>
          <w:b w:val="0"/>
          <w:bCs w:val="0"/>
          <w:color w:val="000000"/>
          <w:lang w:val="en-US"/>
        </w:rPr>
        <w:t>τοῦ</w:t>
      </w:r>
      <w:proofErr w:type="spellEnd"/>
      <w:r w:rsidRPr="007C6417">
        <w:rPr>
          <w:color w:val="000000"/>
          <w:lang w:val="en-US"/>
        </w:rPr>
        <w:t>, what is meant is “a syllogism with the conclusion that …”.</w:t>
      </w:r>
    </w:p>
    <w:p w14:paraId="6078B44D" w14:textId="399C663B" w:rsidR="00304420" w:rsidRPr="007C6417" w:rsidRDefault="00304420" w:rsidP="00304420">
      <w:pPr>
        <w:pStyle w:val="NormalWeb"/>
        <w:rPr>
          <w:color w:val="000000"/>
          <w:lang w:val="en-US"/>
        </w:rPr>
      </w:pPr>
      <w:r w:rsidRPr="007C6417">
        <w:rPr>
          <w:color w:val="000000"/>
          <w:lang w:val="en-US"/>
        </w:rPr>
        <w:t>The technical vocabulary also includes the terms</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ἐνδέχετ</w:t>
      </w:r>
      <w:proofErr w:type="spellEnd"/>
      <w:r w:rsidRPr="007C6417">
        <w:rPr>
          <w:rStyle w:val="Strong"/>
          <w:rFonts w:eastAsiaTheme="majorEastAsia"/>
          <w:b w:val="0"/>
          <w:bCs w:val="0"/>
          <w:color w:val="000000"/>
          <w:lang w:val="en-US"/>
        </w:rPr>
        <w:t>αι</w:t>
      </w:r>
      <w:r w:rsidRPr="007C6417">
        <w:rPr>
          <w:b/>
          <w:bCs/>
          <w:color w:val="000000"/>
          <w:lang w:val="en-US"/>
        </w:rPr>
        <w:t>,</w:t>
      </w:r>
      <w:r w:rsidRPr="007C6417">
        <w:rPr>
          <w:rStyle w:val="apple-converted-space"/>
          <w:rFonts w:eastAsiaTheme="majorEastAsia"/>
          <w:b/>
          <w:bCs/>
          <w:color w:val="000000"/>
          <w:lang w:val="en-US"/>
        </w:rPr>
        <w:t> </w:t>
      </w:r>
      <w:proofErr w:type="spellStart"/>
      <w:r w:rsidRPr="007C6417">
        <w:rPr>
          <w:rStyle w:val="Strong"/>
          <w:rFonts w:eastAsiaTheme="majorEastAsia"/>
          <w:b w:val="0"/>
          <w:bCs w:val="0"/>
          <w:color w:val="000000"/>
          <w:lang w:val="en-US"/>
        </w:rPr>
        <w:t>ἐνδεχόμενον</w:t>
      </w:r>
      <w:proofErr w:type="spellEnd"/>
      <w:r w:rsidRPr="007C6417">
        <w:rPr>
          <w:color w:val="000000"/>
          <w:lang w:val="en-US"/>
        </w:rPr>
        <w:t>, and</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ἀντιστρέφει</w:t>
      </w:r>
      <w:proofErr w:type="spellEnd"/>
      <w:r w:rsidRPr="007C6417">
        <w:rPr>
          <w:b/>
          <w:bCs/>
          <w:color w:val="000000"/>
          <w:lang w:val="en-US"/>
        </w:rPr>
        <w:t>,</w:t>
      </w:r>
      <w:r w:rsidRPr="007C6417">
        <w:rPr>
          <w:rStyle w:val="apple-converted-space"/>
          <w:rFonts w:eastAsiaTheme="majorEastAsia"/>
          <w:b/>
          <w:bCs/>
          <w:color w:val="000000"/>
          <w:lang w:val="en-US"/>
        </w:rPr>
        <w:t> </w:t>
      </w:r>
      <w:proofErr w:type="spellStart"/>
      <w:r w:rsidRPr="007C6417">
        <w:rPr>
          <w:rStyle w:val="Strong"/>
          <w:rFonts w:eastAsiaTheme="majorEastAsia"/>
          <w:b w:val="0"/>
          <w:bCs w:val="0"/>
          <w:color w:val="000000"/>
          <w:lang w:val="en-US"/>
        </w:rPr>
        <w:t>ἀντιστροφή</w:t>
      </w:r>
      <w:proofErr w:type="spellEnd"/>
      <w:r w:rsidRPr="007C6417">
        <w:rPr>
          <w:b/>
          <w:bCs/>
          <w:color w:val="000000"/>
          <w:lang w:val="en-US"/>
        </w:rPr>
        <w:t>.</w:t>
      </w:r>
      <w:r w:rsidRPr="007C6417">
        <w:rPr>
          <w:rStyle w:val="apple-converted-space"/>
          <w:rFonts w:eastAsiaTheme="majorEastAsia"/>
          <w:b/>
          <w:bCs/>
          <w:color w:val="000000"/>
          <w:lang w:val="en-US"/>
        </w:rPr>
        <w:t> </w:t>
      </w:r>
      <w:proofErr w:type="spellStart"/>
      <w:r w:rsidRPr="007C6417">
        <w:rPr>
          <w:rStyle w:val="Strong"/>
          <w:rFonts w:eastAsiaTheme="majorEastAsia"/>
          <w:b w:val="0"/>
          <w:bCs w:val="0"/>
          <w:color w:val="000000"/>
          <w:lang w:val="en-US"/>
        </w:rPr>
        <w:t>ἐνδέχετ</w:t>
      </w:r>
      <w:proofErr w:type="spellEnd"/>
      <w:r w:rsidRPr="007C6417">
        <w:rPr>
          <w:rStyle w:val="Strong"/>
          <w:rFonts w:eastAsiaTheme="majorEastAsia"/>
          <w:b w:val="0"/>
          <w:bCs w:val="0"/>
          <w:color w:val="000000"/>
          <w:lang w:val="en-US"/>
        </w:rPr>
        <w:t>αι</w:t>
      </w:r>
      <w:r w:rsidRPr="007C6417">
        <w:rPr>
          <w:rStyle w:val="Strong"/>
          <w:rFonts w:eastAsiaTheme="majorEastAsia"/>
          <w:color w:val="000000"/>
          <w:lang w:val="en-US"/>
        </w:rPr>
        <w:t xml:space="preserve"> </w:t>
      </w:r>
      <w:r w:rsidRPr="007C6417">
        <w:rPr>
          <w:color w:val="000000"/>
          <w:lang w:val="en-US"/>
        </w:rPr>
        <w:t>is often construed with</w:t>
      </w:r>
      <w:r w:rsidRPr="007C6417">
        <w:rPr>
          <w:rStyle w:val="apple-converted-space"/>
          <w:rFonts w:eastAsiaTheme="majorEastAsia"/>
          <w:color w:val="000000"/>
          <w:lang w:val="en-US"/>
        </w:rPr>
        <w:t> </w:t>
      </w:r>
      <w:r w:rsidRPr="007C6417">
        <w:rPr>
          <w:rStyle w:val="Strong"/>
          <w:rFonts w:eastAsiaTheme="majorEastAsia"/>
          <w:b w:val="0"/>
          <w:bCs w:val="0"/>
          <w:color w:val="000000"/>
          <w:lang w:val="en-US"/>
        </w:rPr>
        <w:t>ὑπ</w:t>
      </w:r>
      <w:proofErr w:type="spellStart"/>
      <w:r w:rsidRPr="007C6417">
        <w:rPr>
          <w:rStyle w:val="Strong"/>
          <w:rFonts w:eastAsiaTheme="majorEastAsia"/>
          <w:b w:val="0"/>
          <w:bCs w:val="0"/>
          <w:color w:val="000000"/>
          <w:lang w:val="en-US"/>
        </w:rPr>
        <w:t>άρχειν</w:t>
      </w:r>
      <w:proofErr w:type="spellEnd"/>
      <w:r w:rsidRPr="007C6417">
        <w:rPr>
          <w:color w:val="000000"/>
          <w:lang w:val="en-US"/>
        </w:rPr>
        <w:t>, though not always. Frequently one encounters expressions of the type</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τὸ</w:t>
      </w:r>
      <w:proofErr w:type="spellEnd"/>
      <w:r w:rsidRPr="007C6417">
        <w:rPr>
          <w:rStyle w:val="Strong"/>
          <w:rFonts w:eastAsiaTheme="majorEastAsia"/>
          <w:b w:val="0"/>
          <w:bCs w:val="0"/>
          <w:color w:val="000000"/>
          <w:lang w:val="en-US"/>
        </w:rPr>
        <w:t xml:space="preserve"> Α πα</w:t>
      </w:r>
      <w:proofErr w:type="spellStart"/>
      <w:r w:rsidRPr="007C6417">
        <w:rPr>
          <w:rStyle w:val="Strong"/>
          <w:rFonts w:eastAsiaTheme="majorEastAsia"/>
          <w:b w:val="0"/>
          <w:bCs w:val="0"/>
          <w:color w:val="000000"/>
          <w:lang w:val="en-US"/>
        </w:rPr>
        <w:t>ντὶ</w:t>
      </w:r>
      <w:proofErr w:type="spellEnd"/>
      <w:r w:rsidRPr="007C6417">
        <w:rPr>
          <w:rStyle w:val="Strong"/>
          <w:rFonts w:eastAsiaTheme="majorEastAsia"/>
          <w:b w:val="0"/>
          <w:bCs w:val="0"/>
          <w:color w:val="000000"/>
          <w:lang w:val="en-US"/>
        </w:rPr>
        <w:t xml:space="preserve"> </w:t>
      </w:r>
      <w:proofErr w:type="spellStart"/>
      <w:r w:rsidRPr="007C6417">
        <w:rPr>
          <w:rStyle w:val="Strong"/>
          <w:rFonts w:eastAsiaTheme="majorEastAsia"/>
          <w:b w:val="0"/>
          <w:bCs w:val="0"/>
          <w:color w:val="000000"/>
          <w:lang w:val="en-US"/>
        </w:rPr>
        <w:t>τῷ</w:t>
      </w:r>
      <w:proofErr w:type="spellEnd"/>
      <w:r w:rsidRPr="007C6417">
        <w:rPr>
          <w:rStyle w:val="Strong"/>
          <w:rFonts w:eastAsiaTheme="majorEastAsia"/>
          <w:b w:val="0"/>
          <w:bCs w:val="0"/>
          <w:color w:val="000000"/>
          <w:lang w:val="en-US"/>
        </w:rPr>
        <w:t xml:space="preserve"> Β </w:t>
      </w:r>
      <w:proofErr w:type="spellStart"/>
      <w:r w:rsidRPr="007C6417">
        <w:rPr>
          <w:rStyle w:val="Strong"/>
          <w:rFonts w:eastAsiaTheme="majorEastAsia"/>
          <w:b w:val="0"/>
          <w:bCs w:val="0"/>
          <w:color w:val="000000"/>
          <w:lang w:val="en-US"/>
        </w:rPr>
        <w:t>ἐνδέχεσθ</w:t>
      </w:r>
      <w:proofErr w:type="spellEnd"/>
      <w:r w:rsidRPr="007C6417">
        <w:rPr>
          <w:rStyle w:val="Strong"/>
          <w:rFonts w:eastAsiaTheme="majorEastAsia"/>
          <w:b w:val="0"/>
          <w:bCs w:val="0"/>
          <w:color w:val="000000"/>
          <w:lang w:val="en-US"/>
        </w:rPr>
        <w:t>αι</w:t>
      </w:r>
      <w:r w:rsidRPr="007C6417">
        <w:rPr>
          <w:color w:val="000000"/>
          <w:lang w:val="en-US"/>
        </w:rPr>
        <w:t>, which could be rendered either as “A is possible for all Bs” or as “A can be predicated of all Bs.” At times we retain</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ἐνδέχεσθ</w:t>
      </w:r>
      <w:proofErr w:type="spellEnd"/>
      <w:r w:rsidRPr="007C6417">
        <w:rPr>
          <w:rStyle w:val="Strong"/>
          <w:rFonts w:eastAsiaTheme="majorEastAsia"/>
          <w:b w:val="0"/>
          <w:bCs w:val="0"/>
          <w:color w:val="000000"/>
          <w:lang w:val="en-US"/>
        </w:rPr>
        <w:t>αι</w:t>
      </w:r>
      <w:r w:rsidRPr="007C6417">
        <w:rPr>
          <w:color w:val="000000"/>
          <w:lang w:val="en-US"/>
        </w:rPr>
        <w:t>, for example: “the major premiss taken according to possibility.”</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ἐνδεχόμενον</w:t>
      </w:r>
      <w:proofErr w:type="spellEnd"/>
      <w:r w:rsidRPr="007C6417">
        <w:rPr>
          <w:color w:val="000000"/>
          <w:lang w:val="en-US"/>
        </w:rPr>
        <w:t>, in turn, can express what is possible, that is, what is not impossible (</w:t>
      </w:r>
      <w:r w:rsidRPr="007C6417">
        <w:rPr>
          <w:rStyle w:val="Emphasis"/>
          <w:rFonts w:eastAsiaTheme="majorEastAsia"/>
          <w:color w:val="000000"/>
          <w:lang w:val="en-US"/>
        </w:rPr>
        <w:t>one-way possible</w:t>
      </w:r>
      <w:r w:rsidRPr="007C6417">
        <w:rPr>
          <w:color w:val="000000"/>
          <w:lang w:val="en-US"/>
        </w:rPr>
        <w:t>), in which case we translate it as “possible,” or it can express what is contingent, that is, what is neither impossible nor necessary (</w:t>
      </w:r>
      <w:r w:rsidRPr="007C6417">
        <w:rPr>
          <w:rStyle w:val="Emphasis"/>
          <w:rFonts w:eastAsiaTheme="majorEastAsia"/>
          <w:color w:val="000000"/>
          <w:lang w:val="en-US"/>
        </w:rPr>
        <w:t>two-way possible</w:t>
      </w:r>
      <w:r w:rsidRPr="007C6417">
        <w:rPr>
          <w:color w:val="000000"/>
          <w:lang w:val="en-US"/>
        </w:rPr>
        <w:t>), in which case we translate it as “contingent.” Aristotle discusses these two kinds of contingency in</w:t>
      </w:r>
      <w:r w:rsidRPr="007C6417">
        <w:rPr>
          <w:rStyle w:val="apple-converted-space"/>
          <w:rFonts w:eastAsiaTheme="majorEastAsia"/>
          <w:color w:val="000000"/>
          <w:lang w:val="en-US"/>
        </w:rPr>
        <w:t> </w:t>
      </w:r>
      <w:r w:rsidRPr="007C6417">
        <w:rPr>
          <w:rStyle w:val="Emphasis"/>
          <w:rFonts w:eastAsiaTheme="majorEastAsia"/>
          <w:color w:val="000000"/>
          <w:lang w:val="en-US"/>
        </w:rPr>
        <w:t>Prior Analytics</w:t>
      </w:r>
      <w:r w:rsidRPr="007C6417">
        <w:rPr>
          <w:rStyle w:val="apple-converted-space"/>
          <w:rFonts w:eastAsiaTheme="majorEastAsia"/>
          <w:color w:val="000000"/>
          <w:lang w:val="en-US"/>
        </w:rPr>
        <w:t> </w:t>
      </w:r>
      <w:r w:rsidRPr="007C6417">
        <w:rPr>
          <w:color w:val="000000"/>
          <w:lang w:val="en-US"/>
        </w:rPr>
        <w:t>I.13, 32a18–21. When, however, the term is used to indicate the modality of the corresponding categorical proposition, it is translated accordingly, for example rendering</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ἐνδέχεσθ</w:t>
      </w:r>
      <w:proofErr w:type="spellEnd"/>
      <w:r w:rsidRPr="007C6417">
        <w:rPr>
          <w:rStyle w:val="Strong"/>
          <w:rFonts w:eastAsiaTheme="majorEastAsia"/>
          <w:b w:val="0"/>
          <w:bCs w:val="0"/>
          <w:color w:val="000000"/>
          <w:lang w:val="en-US"/>
        </w:rPr>
        <w:t>αι</w:t>
      </w:r>
      <w:r w:rsidRPr="007C6417">
        <w:rPr>
          <w:rStyle w:val="apple-converted-space"/>
          <w:rFonts w:eastAsiaTheme="majorEastAsia"/>
          <w:color w:val="000000"/>
          <w:lang w:val="en-US"/>
        </w:rPr>
        <w:t> </w:t>
      </w:r>
      <w:r w:rsidRPr="007C6417">
        <w:rPr>
          <w:color w:val="000000"/>
          <w:lang w:val="en-US"/>
        </w:rPr>
        <w:t>as “it is not excluded that …” or “it could also be that …”. We sometimes retain</w:t>
      </w:r>
      <w:r w:rsidRPr="007C6417">
        <w:rPr>
          <w:rStyle w:val="apple-converted-space"/>
          <w:rFonts w:eastAsiaTheme="majorEastAsia"/>
          <w:color w:val="000000"/>
          <w:lang w:val="en-US"/>
        </w:rPr>
        <w:t> </w:t>
      </w:r>
      <w:proofErr w:type="spellStart"/>
      <w:r w:rsidRPr="007C6417">
        <w:rPr>
          <w:rStyle w:val="Strong"/>
          <w:rFonts w:eastAsiaTheme="majorEastAsia"/>
          <w:b w:val="0"/>
          <w:bCs w:val="0"/>
          <w:color w:val="000000"/>
          <w:lang w:val="en-US"/>
        </w:rPr>
        <w:t>ἀντιστρέφει</w:t>
      </w:r>
      <w:proofErr w:type="spellEnd"/>
      <w:r w:rsidRPr="007C6417">
        <w:rPr>
          <w:rStyle w:val="apple-converted-space"/>
          <w:rFonts w:eastAsiaTheme="majorEastAsia"/>
          <w:color w:val="000000"/>
          <w:lang w:val="en-US"/>
        </w:rPr>
        <w:t> </w:t>
      </w:r>
      <w:r w:rsidRPr="007C6417">
        <w:rPr>
          <w:color w:val="000000"/>
          <w:lang w:val="en-US"/>
        </w:rPr>
        <w:t>as it stands, even though in Modern Greek it sounds less familiar than it does in the technical register of the Aristotelian original. We also speak of</w:t>
      </w:r>
      <w:r w:rsidRPr="007C6417">
        <w:rPr>
          <w:rStyle w:val="apple-converted-space"/>
          <w:rFonts w:eastAsiaTheme="majorEastAsia"/>
          <w:color w:val="000000"/>
          <w:lang w:val="en-US"/>
        </w:rPr>
        <w:t> </w:t>
      </w:r>
      <w:r w:rsidRPr="007C6417">
        <w:rPr>
          <w:rStyle w:val="Emphasis"/>
          <w:rFonts w:eastAsiaTheme="majorEastAsia"/>
          <w:color w:val="000000"/>
          <w:lang w:val="en-US"/>
        </w:rPr>
        <w:t>e</w:t>
      </w:r>
      <w:r w:rsidRPr="007C6417">
        <w:rPr>
          <w:color w:val="000000"/>
          <w:lang w:val="en-US"/>
        </w:rPr>
        <w:t>-conversion,</w:t>
      </w:r>
      <w:r w:rsidRPr="007C6417">
        <w:rPr>
          <w:rStyle w:val="apple-converted-space"/>
          <w:rFonts w:eastAsiaTheme="majorEastAsia"/>
          <w:color w:val="000000"/>
          <w:lang w:val="en-US"/>
        </w:rPr>
        <w:t> </w:t>
      </w:r>
      <w:proofErr w:type="spellStart"/>
      <w:r w:rsidRPr="007C6417">
        <w:rPr>
          <w:rStyle w:val="Emphasis"/>
          <w:rFonts w:eastAsiaTheme="majorEastAsia"/>
          <w:color w:val="000000"/>
          <w:lang w:val="en-US"/>
        </w:rPr>
        <w:t>i</w:t>
      </w:r>
      <w:proofErr w:type="spellEnd"/>
      <w:r w:rsidRPr="007C6417">
        <w:rPr>
          <w:color w:val="000000"/>
          <w:lang w:val="en-US"/>
        </w:rPr>
        <w:t>-conversion, etc., rather than “conversion of the universal negative,” “conversion of the particular affirmative,” and so on.</w:t>
      </w:r>
    </w:p>
    <w:p w14:paraId="11A9DBAC" w14:textId="77777777" w:rsidR="00304420" w:rsidRPr="007C6417" w:rsidRDefault="00304420" w:rsidP="00304420">
      <w:pPr>
        <w:pStyle w:val="NormalWeb"/>
        <w:rPr>
          <w:color w:val="000000"/>
          <w:lang w:val="en-US"/>
        </w:rPr>
      </w:pPr>
      <w:r w:rsidRPr="007C6417">
        <w:rPr>
          <w:color w:val="000000"/>
          <w:lang w:val="en-US"/>
        </w:rPr>
        <w:t>Our general strategy here is for the translation of the ancient text to be readable without the commentary being strictly necessary. Very often, however, translational choices—especially when the ancient text itself is debatable or ambiguous—are discussed in our notes. Moreover, for a text of such a technical character, the principle of the autonomy of the translation is not always feasible, since many technical issues need to be explained in the commentary in order for the text to be fully intelligible.</w:t>
      </w:r>
    </w:p>
    <w:p w14:paraId="42B0AEEF"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p>
    <w:p w14:paraId="31309392" w14:textId="77777777" w:rsidR="00304420" w:rsidRPr="007C6417" w:rsidRDefault="00304420" w:rsidP="00304420">
      <w:pPr>
        <w:pStyle w:val="NormalWeb"/>
        <w:rPr>
          <w:color w:val="000000"/>
          <w:lang w:val="en-US"/>
        </w:rPr>
      </w:pPr>
    </w:p>
    <w:p w14:paraId="4A54613F"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p>
    <w:p w14:paraId="00F9ED46" w14:textId="77777777" w:rsidR="00304420" w:rsidRPr="007C6417" w:rsidRDefault="00304420" w:rsidP="00304420">
      <w:pPr>
        <w:pStyle w:val="NormalWeb"/>
        <w:rPr>
          <w:color w:val="000000"/>
          <w:lang w:val="en-US"/>
        </w:rPr>
      </w:pPr>
    </w:p>
    <w:p w14:paraId="21CCAAA9" w14:textId="77777777" w:rsidR="00304420" w:rsidRPr="007C6417" w:rsidRDefault="00304420" w:rsidP="00304420">
      <w:pPr>
        <w:pStyle w:val="NormalWeb"/>
        <w:rPr>
          <w:color w:val="000000"/>
          <w:lang w:val="en-US"/>
        </w:rPr>
      </w:pPr>
    </w:p>
    <w:p w14:paraId="13D09B1D" w14:textId="77777777" w:rsidR="00304420" w:rsidRPr="007C6417" w:rsidRDefault="00304420" w:rsidP="00304420">
      <w:pPr>
        <w:pStyle w:val="NormalWeb"/>
        <w:rPr>
          <w:color w:val="000000"/>
          <w:lang w:val="en-US"/>
        </w:rPr>
      </w:pPr>
    </w:p>
    <w:p w14:paraId="457B1E64" w14:textId="77777777" w:rsidR="00304420" w:rsidRPr="007C6417" w:rsidRDefault="00304420" w:rsidP="00304420">
      <w:pPr>
        <w:pStyle w:val="NormalWeb"/>
        <w:rPr>
          <w:color w:val="000000"/>
          <w:lang w:val="en-US"/>
        </w:rPr>
      </w:pPr>
    </w:p>
    <w:p w14:paraId="039FD237" w14:textId="77777777" w:rsidR="00304420" w:rsidRPr="007C6417" w:rsidRDefault="00304420" w:rsidP="00304420">
      <w:pPr>
        <w:pStyle w:val="NormalWeb"/>
        <w:rPr>
          <w:color w:val="000000"/>
          <w:lang w:val="en-US"/>
        </w:rPr>
      </w:pPr>
    </w:p>
    <w:p w14:paraId="3186756E" w14:textId="77777777" w:rsidR="00304420" w:rsidRPr="007C6417" w:rsidRDefault="00304420" w:rsidP="00304420">
      <w:pPr>
        <w:spacing w:before="100" w:beforeAutospacing="1" w:after="100" w:afterAutospacing="1"/>
        <w:rPr>
          <w:rFonts w:ascii="Times New Roman" w:eastAsia="Times New Roman" w:hAnsi="Times New Roman" w:cs="Times New Roman"/>
          <w:color w:val="000000"/>
          <w:lang w:val="en-US" w:eastAsia="en-GB"/>
        </w:rPr>
      </w:pPr>
    </w:p>
    <w:p w14:paraId="29F08CD8" w14:textId="28E8ECF8" w:rsidR="0041172A" w:rsidRPr="007C6417" w:rsidRDefault="0041172A">
      <w:pPr>
        <w:rPr>
          <w:rFonts w:ascii="Times New Roman" w:eastAsia="Times New Roman" w:hAnsi="Times New Roman" w:cs="Times New Roman"/>
          <w:lang w:val="en-US" w:eastAsia="en-GB"/>
        </w:rPr>
      </w:pPr>
    </w:p>
    <w:sectPr w:rsidR="0041172A" w:rsidRPr="007C641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17B3" w14:textId="77777777" w:rsidR="00761F8C" w:rsidRDefault="00761F8C" w:rsidP="00304420">
      <w:r>
        <w:separator/>
      </w:r>
    </w:p>
  </w:endnote>
  <w:endnote w:type="continuationSeparator" w:id="0">
    <w:p w14:paraId="43431FD3" w14:textId="77777777" w:rsidR="00761F8C" w:rsidRDefault="00761F8C" w:rsidP="0030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0789746"/>
      <w:docPartObj>
        <w:docPartGallery w:val="Page Numbers (Bottom of Page)"/>
        <w:docPartUnique/>
      </w:docPartObj>
    </w:sdtPr>
    <w:sdtContent>
      <w:p w14:paraId="43B7C875" w14:textId="0B3051CC" w:rsidR="00304420" w:rsidRDefault="00304420" w:rsidP="000D00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EA39C9" w14:textId="77777777" w:rsidR="00304420" w:rsidRDefault="00304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7713903"/>
      <w:docPartObj>
        <w:docPartGallery w:val="Page Numbers (Bottom of Page)"/>
        <w:docPartUnique/>
      </w:docPartObj>
    </w:sdtPr>
    <w:sdtContent>
      <w:p w14:paraId="57652027" w14:textId="0755AFDB" w:rsidR="00304420" w:rsidRDefault="00304420" w:rsidP="000D00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183990" w14:textId="77777777" w:rsidR="00304420" w:rsidRDefault="00304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6878" w14:textId="77777777" w:rsidR="00761F8C" w:rsidRDefault="00761F8C" w:rsidP="00304420">
      <w:r>
        <w:separator/>
      </w:r>
    </w:p>
  </w:footnote>
  <w:footnote w:type="continuationSeparator" w:id="0">
    <w:p w14:paraId="42C9E6F1" w14:textId="77777777" w:rsidR="00761F8C" w:rsidRDefault="00761F8C" w:rsidP="00304420">
      <w:r>
        <w:continuationSeparator/>
      </w:r>
    </w:p>
  </w:footnote>
  <w:footnote w:id="1">
    <w:p w14:paraId="26C48B60" w14:textId="64CAF352" w:rsidR="00D64CAF" w:rsidRPr="00D64CAF" w:rsidRDefault="00D64CAF">
      <w:pPr>
        <w:pStyle w:val="FootnoteText"/>
        <w:rPr>
          <w:lang w:val="en-US"/>
        </w:rPr>
      </w:pPr>
      <w:r>
        <w:rPr>
          <w:rStyle w:val="FootnoteReference"/>
        </w:rPr>
        <w:footnoteRef/>
      </w:r>
      <w:r>
        <w:t xml:space="preserve"> </w:t>
      </w:r>
      <w:r w:rsidRPr="00D64CAF">
        <w:t>On the way Aristotle understands syllogistic and logic more broadly, see Barnes 2007, 361–369.</w:t>
      </w:r>
    </w:p>
  </w:footnote>
  <w:footnote w:id="2">
    <w:p w14:paraId="62D2EAAB" w14:textId="03D020A0" w:rsidR="00D64CAF" w:rsidRPr="00D64CAF" w:rsidRDefault="00D64CAF">
      <w:pPr>
        <w:pStyle w:val="FootnoteText"/>
        <w:rPr>
          <w:lang w:val="en-US"/>
        </w:rPr>
      </w:pPr>
      <w:r>
        <w:rPr>
          <w:rStyle w:val="FootnoteReference"/>
        </w:rPr>
        <w:footnoteRef/>
      </w:r>
      <w:r>
        <w:t xml:space="preserve"> </w:t>
      </w:r>
      <w:r w:rsidRPr="00D64CAF">
        <w:t xml:space="preserve">This is how Aristotle specifies the adjective </w:t>
      </w:r>
      <w:r w:rsidRPr="00D64CAF">
        <w:rPr>
          <w:rFonts w:ascii="Arial" w:hAnsi="Arial" w:cs="Arial"/>
        </w:rPr>
        <w:t>ἐ</w:t>
      </w:r>
      <w:r w:rsidRPr="00D64CAF">
        <w:t xml:space="preserve">πιστημονικός in the continuation of the passage: </w:t>
      </w:r>
      <w:r w:rsidRPr="00D64CAF">
        <w:rPr>
          <w:rFonts w:ascii="Arial" w:hAnsi="Arial" w:cs="Arial"/>
        </w:rPr>
        <w:t>ἐ</w:t>
      </w:r>
      <w:r w:rsidRPr="00D64CAF">
        <w:t>πιστημονικ</w:t>
      </w:r>
      <w:r w:rsidRPr="00D64CAF">
        <w:rPr>
          <w:rFonts w:ascii="Arial" w:hAnsi="Arial" w:cs="Arial"/>
        </w:rPr>
        <w:t>ὸ</w:t>
      </w:r>
      <w:r w:rsidRPr="00D64CAF">
        <w:t>ν δ</w:t>
      </w:r>
      <w:r w:rsidRPr="00D64CAF">
        <w:rPr>
          <w:rFonts w:ascii="Arial" w:hAnsi="Arial" w:cs="Arial"/>
        </w:rPr>
        <w:t>ὲ</w:t>
      </w:r>
      <w:r w:rsidRPr="00D64CAF">
        <w:t xml:space="preserve"> λέγω καθ</w:t>
      </w:r>
      <w:r w:rsidRPr="00D64CAF">
        <w:rPr>
          <w:rFonts w:ascii="Arial" w:hAnsi="Arial" w:cs="Arial"/>
        </w:rPr>
        <w:t>᾽</w:t>
      </w:r>
      <w:r w:rsidRPr="00D64CAF">
        <w:t xml:space="preserve"> </w:t>
      </w:r>
      <w:r w:rsidRPr="00D64CAF">
        <w:rPr>
          <w:rFonts w:ascii="Arial" w:hAnsi="Arial" w:cs="Arial"/>
        </w:rPr>
        <w:t>ὅ</w:t>
      </w:r>
      <w:r w:rsidRPr="00D64CAF">
        <w:t>ν τ</w:t>
      </w:r>
      <w:r w:rsidRPr="00D64CAF">
        <w:rPr>
          <w:rFonts w:ascii="Arial" w:hAnsi="Arial" w:cs="Arial"/>
        </w:rPr>
        <w:t>ῷ</w:t>
      </w:r>
      <w:r w:rsidRPr="00D64CAF">
        <w:t xml:space="preserve"> </w:t>
      </w:r>
      <w:r w:rsidRPr="00D64CAF">
        <w:rPr>
          <w:rFonts w:ascii="Arial" w:hAnsi="Arial" w:cs="Arial"/>
        </w:rPr>
        <w:t>ἔ</w:t>
      </w:r>
      <w:r w:rsidRPr="00D64CAF">
        <w:t>χειν α</w:t>
      </w:r>
      <w:r w:rsidRPr="00D64CAF">
        <w:rPr>
          <w:rFonts w:ascii="Arial" w:hAnsi="Arial" w:cs="Arial"/>
        </w:rPr>
        <w:t>ὐ</w:t>
      </w:r>
      <w:r w:rsidRPr="00D64CAF">
        <w:t>τ</w:t>
      </w:r>
      <w:r w:rsidRPr="00D64CAF">
        <w:rPr>
          <w:rFonts w:ascii="Arial" w:hAnsi="Arial" w:cs="Arial"/>
        </w:rPr>
        <w:t>ὸ</w:t>
      </w:r>
      <w:r w:rsidRPr="00D64CAF">
        <w:t xml:space="preserve">ν </w:t>
      </w:r>
      <w:r w:rsidRPr="00D64CAF">
        <w:rPr>
          <w:rFonts w:ascii="Arial" w:hAnsi="Arial" w:cs="Arial"/>
        </w:rPr>
        <w:t>ἐ</w:t>
      </w:r>
      <w:r w:rsidRPr="00D64CAF">
        <w:t>πιστάμεθα (</w:t>
      </w:r>
      <w:r w:rsidRPr="00E41C9B">
        <w:rPr>
          <w:i/>
          <w:iCs/>
        </w:rPr>
        <w:t>An. Post.</w:t>
      </w:r>
      <w:r w:rsidRPr="00D64CAF">
        <w:t xml:space="preserve"> 71b18–19). See, regarding this passage, Barnes 1994, 93–97.</w:t>
      </w:r>
    </w:p>
  </w:footnote>
  <w:footnote w:id="3">
    <w:p w14:paraId="03508773" w14:textId="19AA7F3A" w:rsidR="00D64CAF" w:rsidRPr="00D64CAF" w:rsidRDefault="00D64CAF">
      <w:pPr>
        <w:pStyle w:val="FootnoteText"/>
        <w:rPr>
          <w:lang w:val="en-US"/>
        </w:rPr>
      </w:pPr>
      <w:r>
        <w:rPr>
          <w:rStyle w:val="FootnoteReference"/>
        </w:rPr>
        <w:footnoteRef/>
      </w:r>
      <w:r>
        <w:t xml:space="preserve"> </w:t>
      </w:r>
      <w:r w:rsidRPr="00D64CAF">
        <w:t xml:space="preserve">Demosthenes, </w:t>
      </w:r>
      <w:r w:rsidRPr="00E41C9B">
        <w:rPr>
          <w:i/>
          <w:iCs/>
        </w:rPr>
        <w:t>On the False Embassy</w:t>
      </w:r>
      <w:r w:rsidRPr="00D64CAF">
        <w:t xml:space="preserve"> 177.6 (συλλογίσασθαι δ</w:t>
      </w:r>
      <w:r w:rsidRPr="00D64CAF">
        <w:rPr>
          <w:rFonts w:ascii="Arial" w:hAnsi="Arial" w:cs="Arial"/>
        </w:rPr>
        <w:t>ὴ</w:t>
      </w:r>
      <w:r w:rsidRPr="00D64CAF">
        <w:t xml:space="preserve"> βούλομαι τ</w:t>
      </w:r>
      <w:r w:rsidRPr="00D64CAF">
        <w:rPr>
          <w:rFonts w:ascii="Arial" w:hAnsi="Arial" w:cs="Arial"/>
        </w:rPr>
        <w:t>ὰ</w:t>
      </w:r>
      <w:r w:rsidRPr="00D64CAF">
        <w:t xml:space="preserve"> κατηγορημένα), Plato, </w:t>
      </w:r>
      <w:r w:rsidRPr="00E41C9B">
        <w:rPr>
          <w:i/>
          <w:iCs/>
        </w:rPr>
        <w:t>Charmides</w:t>
      </w:r>
      <w:r w:rsidRPr="00D64CAF">
        <w:t xml:space="preserve"> 160d8, Gorgias 498e10, but also in Aristotle himself, </w:t>
      </w:r>
      <w:r w:rsidRPr="00E41C9B">
        <w:rPr>
          <w:i/>
          <w:iCs/>
        </w:rPr>
        <w:t>Metaphysics</w:t>
      </w:r>
      <w:r w:rsidRPr="00D64CAF">
        <w:t xml:space="preserve"> 1042a3. See also Crubellier 2011.</w:t>
      </w:r>
    </w:p>
  </w:footnote>
  <w:footnote w:id="4">
    <w:p w14:paraId="21F18F78" w14:textId="7AD9A0D3" w:rsidR="00D64CAF" w:rsidRPr="00D64CAF" w:rsidRDefault="00D64CAF">
      <w:pPr>
        <w:pStyle w:val="FootnoteText"/>
        <w:rPr>
          <w:lang w:val="en-US"/>
        </w:rPr>
      </w:pPr>
      <w:r>
        <w:rPr>
          <w:rStyle w:val="FootnoteReference"/>
        </w:rPr>
        <w:footnoteRef/>
      </w:r>
      <w:r>
        <w:t xml:space="preserve"> </w:t>
      </w:r>
      <w:r w:rsidRPr="00D64CAF">
        <w:t xml:space="preserve">Aristotle’s logical works were arranged in the sequence </w:t>
      </w:r>
      <w:r w:rsidRPr="00E41C9B">
        <w:rPr>
          <w:i/>
          <w:iCs/>
        </w:rPr>
        <w:t>Categories</w:t>
      </w:r>
      <w:r w:rsidRPr="00D64CAF">
        <w:t xml:space="preserve">, </w:t>
      </w:r>
      <w:r w:rsidRPr="00E41C9B">
        <w:rPr>
          <w:i/>
          <w:iCs/>
        </w:rPr>
        <w:t>On Interpretation</w:t>
      </w:r>
      <w:r w:rsidRPr="00D64CAF">
        <w:t xml:space="preserve">, </w:t>
      </w:r>
      <w:r w:rsidRPr="00E41C9B">
        <w:rPr>
          <w:i/>
          <w:iCs/>
        </w:rPr>
        <w:t>Prior Analytics</w:t>
      </w:r>
      <w:r w:rsidRPr="00D64CAF">
        <w:t xml:space="preserve">, </w:t>
      </w:r>
      <w:r w:rsidRPr="00E41C9B">
        <w:rPr>
          <w:i/>
          <w:iCs/>
        </w:rPr>
        <w:t>Posterior Analytics</w:t>
      </w:r>
      <w:r w:rsidRPr="00D64CAF">
        <w:t xml:space="preserve">, </w:t>
      </w:r>
      <w:r w:rsidRPr="00E41C9B">
        <w:rPr>
          <w:i/>
          <w:iCs/>
        </w:rPr>
        <w:t>Topics</w:t>
      </w:r>
      <w:r w:rsidRPr="00D64CAF">
        <w:t xml:space="preserve">, </w:t>
      </w:r>
      <w:r w:rsidRPr="00E41C9B">
        <w:rPr>
          <w:i/>
          <w:iCs/>
        </w:rPr>
        <w:t>Sophistical Refutations</w:t>
      </w:r>
      <w:r w:rsidRPr="00D64CAF">
        <w:t xml:space="preserve">, probably already with the edition of Aristotle’s works by Andronicus, who favored the priority of logic (Philoponus, </w:t>
      </w:r>
      <w:r w:rsidRPr="00E41C9B">
        <w:rPr>
          <w:i/>
          <w:iCs/>
        </w:rPr>
        <w:t>Commentary on the Categories</w:t>
      </w:r>
      <w:r w:rsidRPr="00D64CAF">
        <w:t xml:space="preserve"> 5.16–24). They were later grouped under the title Organon, in order to indicate that logic is an instrument of philosophy. See Solmsen 1944. Already Alexander characterizes the Topics as an </w:t>
      </w:r>
      <w:r w:rsidRPr="00D64CAF">
        <w:rPr>
          <w:rFonts w:ascii="Arial" w:hAnsi="Arial" w:cs="Arial"/>
        </w:rPr>
        <w:t>ὄ</w:t>
      </w:r>
      <w:r w:rsidRPr="00D64CAF">
        <w:t>ργανον of philosophy (</w:t>
      </w:r>
      <w:r w:rsidRPr="00E41C9B">
        <w:rPr>
          <w:i/>
          <w:iCs/>
        </w:rPr>
        <w:t>Commentary on the Topics</w:t>
      </w:r>
      <w:r w:rsidRPr="00D64CAF">
        <w:t xml:space="preserve"> 74.29). On the ordering and edition of Aristotle’s works, see below, p. 24.</w:t>
      </w:r>
    </w:p>
  </w:footnote>
  <w:footnote w:id="5">
    <w:p w14:paraId="21BFE010" w14:textId="6942964B" w:rsidR="00D64CAF" w:rsidRPr="00D64CAF" w:rsidRDefault="00D64CAF">
      <w:pPr>
        <w:pStyle w:val="FootnoteText"/>
        <w:rPr>
          <w:lang w:val="en-US"/>
        </w:rPr>
      </w:pPr>
      <w:r>
        <w:rPr>
          <w:rStyle w:val="FootnoteReference"/>
        </w:rPr>
        <w:footnoteRef/>
      </w:r>
      <w:r>
        <w:t xml:space="preserve"> </w:t>
      </w:r>
      <w:r w:rsidRPr="00D64CAF">
        <w:t>Aristotle, of course, does not speak of a syllogistic art or science but of a δύναμις συλλογιστική. προειλόμεθα μ</w:t>
      </w:r>
      <w:r w:rsidRPr="00D64CAF">
        <w:rPr>
          <w:rFonts w:ascii="Arial" w:hAnsi="Arial" w:cs="Arial"/>
        </w:rPr>
        <w:t>ὲ</w:t>
      </w:r>
      <w:r w:rsidRPr="00D64CAF">
        <w:t>ν ο</w:t>
      </w:r>
      <w:r w:rsidRPr="00D64CAF">
        <w:rPr>
          <w:rFonts w:ascii="Arial" w:hAnsi="Arial" w:cs="Arial"/>
        </w:rPr>
        <w:t>ὖ</w:t>
      </w:r>
      <w:r w:rsidRPr="00D64CAF">
        <w:t>ν ε</w:t>
      </w:r>
      <w:r w:rsidRPr="00D64CAF">
        <w:rPr>
          <w:rFonts w:ascii="Arial" w:hAnsi="Arial" w:cs="Arial"/>
        </w:rPr>
        <w:t>ὑ</w:t>
      </w:r>
      <w:r w:rsidRPr="00D64CAF">
        <w:t>ρε</w:t>
      </w:r>
      <w:r w:rsidRPr="00D64CAF">
        <w:rPr>
          <w:rFonts w:ascii="Arial" w:hAnsi="Arial" w:cs="Arial"/>
        </w:rPr>
        <w:t>ῖ</w:t>
      </w:r>
      <w:r w:rsidRPr="00D64CAF">
        <w:t>ν δύναμίν τινα συλλογιστικήν (</w:t>
      </w:r>
      <w:r w:rsidRPr="00E41C9B">
        <w:rPr>
          <w:i/>
          <w:iCs/>
        </w:rPr>
        <w:t>Soph. El.</w:t>
      </w:r>
      <w:r w:rsidRPr="00D64CAF">
        <w:t xml:space="preserve"> 183a37–38). See also Barnes 2007, 360–361.</w:t>
      </w:r>
    </w:p>
  </w:footnote>
  <w:footnote w:id="6">
    <w:p w14:paraId="787F9A8E" w14:textId="10662425" w:rsidR="00D64CAF" w:rsidRPr="00D64CAF" w:rsidRDefault="00D64CAF">
      <w:pPr>
        <w:pStyle w:val="FootnoteText"/>
        <w:rPr>
          <w:lang w:val="en-US"/>
        </w:rPr>
      </w:pPr>
      <w:r>
        <w:rPr>
          <w:rStyle w:val="FootnoteReference"/>
        </w:rPr>
        <w:footnoteRef/>
      </w:r>
      <w:r>
        <w:t xml:space="preserve"> </w:t>
      </w:r>
      <w:r w:rsidRPr="00D64CAF">
        <w:t xml:space="preserve">Solmsen 1929. Similarly Smith 1989, xiii. Barnes 1994, xv–xvi, in fact argues that demonstrative science as presented in the </w:t>
      </w:r>
      <w:r w:rsidRPr="00E41C9B">
        <w:rPr>
          <w:i/>
          <w:iCs/>
        </w:rPr>
        <w:t>Posterior Analytics</w:t>
      </w:r>
      <w:r w:rsidRPr="00D64CAF">
        <w:t>, in the form in which we have them, is largely based on the theory of the syllogism.</w:t>
      </w:r>
    </w:p>
  </w:footnote>
  <w:footnote w:id="7">
    <w:p w14:paraId="525B9172" w14:textId="5321D330" w:rsidR="00D64CAF" w:rsidRPr="00D64CAF" w:rsidRDefault="00D64CAF">
      <w:pPr>
        <w:pStyle w:val="FootnoteText"/>
        <w:rPr>
          <w:lang w:val="en-US"/>
        </w:rPr>
      </w:pPr>
      <w:r>
        <w:rPr>
          <w:rStyle w:val="FootnoteReference"/>
        </w:rPr>
        <w:footnoteRef/>
      </w:r>
      <w:r>
        <w:t xml:space="preserve"> </w:t>
      </w:r>
      <w:r w:rsidRPr="00D64CAF">
        <w:t xml:space="preserve">Barnes 1994, xiv. Already in chapter 1 of the </w:t>
      </w:r>
      <w:r w:rsidRPr="00E41C9B">
        <w:rPr>
          <w:i/>
          <w:iCs/>
        </w:rPr>
        <w:t>Posterior Analytics</w:t>
      </w:r>
      <w:r w:rsidRPr="00D64CAF">
        <w:t xml:space="preserve"> the paradox of </w:t>
      </w:r>
      <w:r w:rsidRPr="00E41C9B">
        <w:rPr>
          <w:i/>
          <w:iCs/>
        </w:rPr>
        <w:t>Meno</w:t>
      </w:r>
      <w:r w:rsidRPr="00D64CAF">
        <w:t xml:space="preserve"> is discussed.</w:t>
      </w:r>
    </w:p>
  </w:footnote>
  <w:footnote w:id="8">
    <w:p w14:paraId="0816E4DA" w14:textId="687F562B" w:rsidR="00D64CAF" w:rsidRPr="009C12D1" w:rsidRDefault="00D64CAF">
      <w:pPr>
        <w:pStyle w:val="FootnoteText"/>
        <w:rPr>
          <w:lang w:val="en-US"/>
        </w:rPr>
      </w:pPr>
      <w:r>
        <w:rPr>
          <w:rStyle w:val="FootnoteReference"/>
        </w:rPr>
        <w:footnoteRef/>
      </w:r>
      <w:r>
        <w:t xml:space="preserve"> </w:t>
      </w:r>
      <w:r w:rsidRPr="00D64CAF">
        <w:t>Crubellier 2014, 39.</w:t>
      </w:r>
    </w:p>
  </w:footnote>
  <w:footnote w:id="9">
    <w:p w14:paraId="39BF1AA8" w14:textId="11591126" w:rsidR="00D64CAF" w:rsidRPr="009C12D1" w:rsidRDefault="00D64CAF">
      <w:pPr>
        <w:pStyle w:val="FootnoteText"/>
        <w:rPr>
          <w:lang w:val="en-US"/>
        </w:rPr>
      </w:pPr>
      <w:r>
        <w:rPr>
          <w:rStyle w:val="FootnoteReference"/>
        </w:rPr>
        <w:footnoteRef/>
      </w:r>
      <w:r>
        <w:t xml:space="preserve"> </w:t>
      </w:r>
      <w:r w:rsidRPr="00D64CAF">
        <w:t>See Striker 2009, xv.</w:t>
      </w:r>
    </w:p>
  </w:footnote>
  <w:footnote w:id="10">
    <w:p w14:paraId="3917C290" w14:textId="3478BF57" w:rsidR="00523936" w:rsidRPr="00523936" w:rsidRDefault="00523936">
      <w:pPr>
        <w:pStyle w:val="FootnoteText"/>
        <w:rPr>
          <w:lang w:val="en-US"/>
        </w:rPr>
      </w:pPr>
      <w:r>
        <w:rPr>
          <w:rStyle w:val="FootnoteReference"/>
        </w:rPr>
        <w:footnoteRef/>
      </w:r>
      <w:r>
        <w:t xml:space="preserve"> </w:t>
      </w:r>
      <w:r w:rsidRPr="00523936">
        <w:t xml:space="preserve">Smith 1989, xiii argues that the more carefully composed work is the </w:t>
      </w:r>
      <w:r w:rsidRPr="00E41C9B">
        <w:rPr>
          <w:i/>
          <w:iCs/>
        </w:rPr>
        <w:t>Prior Analytics</w:t>
      </w:r>
      <w:r w:rsidRPr="00523936">
        <w:t>.</w:t>
      </w:r>
    </w:p>
  </w:footnote>
  <w:footnote w:id="11">
    <w:p w14:paraId="3B76FBA3" w14:textId="38E0DFD4" w:rsidR="00523936" w:rsidRPr="00523936" w:rsidRDefault="00523936">
      <w:pPr>
        <w:pStyle w:val="FootnoteText"/>
        <w:rPr>
          <w:lang w:val="en-US"/>
        </w:rPr>
      </w:pPr>
      <w:r>
        <w:rPr>
          <w:rStyle w:val="FootnoteReference"/>
        </w:rPr>
        <w:footnoteRef/>
      </w:r>
      <w:r>
        <w:t xml:space="preserve"> </w:t>
      </w:r>
      <w:r w:rsidRPr="00523936">
        <w:t>See 25b27–31: demonstrations will be examined later; they will be examined later because it is necessary first to examine what concerns the syllogism and only afterwards what concerns demonstration.</w:t>
      </w:r>
    </w:p>
  </w:footnote>
  <w:footnote w:id="12">
    <w:p w14:paraId="683BA07D" w14:textId="34CAE1CD" w:rsidR="00523936" w:rsidRPr="009C12D1" w:rsidRDefault="00523936">
      <w:pPr>
        <w:pStyle w:val="FootnoteText"/>
        <w:rPr>
          <w:lang w:val="en-US"/>
        </w:rPr>
      </w:pPr>
      <w:r>
        <w:rPr>
          <w:rStyle w:val="FootnoteReference"/>
        </w:rPr>
        <w:footnoteRef/>
      </w:r>
      <w:r>
        <w:t xml:space="preserve"> </w:t>
      </w:r>
      <w:r w:rsidRPr="00835DEA">
        <w:rPr>
          <w:rFonts w:ascii="Times New Roman" w:eastAsia="Times New Roman" w:hAnsi="Times New Roman" w:cs="Times New Roman"/>
          <w:color w:val="000000"/>
          <w:lang w:eastAsia="en-GB"/>
        </w:rPr>
        <w:t>On Aristotle’s development in the field of the syllogism, see in outline Striker 2018. See also Brunschwig 1967, XXXIV–XXXVI, LXXXV–XC; Crubellier 2014, 16.</w:t>
      </w:r>
    </w:p>
  </w:footnote>
  <w:footnote w:id="13">
    <w:p w14:paraId="62CFA755" w14:textId="38881EAC" w:rsidR="00523936" w:rsidRPr="00523936" w:rsidRDefault="00523936">
      <w:pPr>
        <w:pStyle w:val="FootnoteText"/>
        <w:rPr>
          <w:lang w:val="en-US"/>
        </w:rPr>
      </w:pPr>
      <w:r>
        <w:rPr>
          <w:rStyle w:val="FootnoteReference"/>
        </w:rPr>
        <w:footnoteRef/>
      </w:r>
      <w:r>
        <w:t xml:space="preserve"> </w:t>
      </w:r>
      <w:r w:rsidRPr="00523936">
        <w:t xml:space="preserve">For a more detailed discussion of the character and aim of the </w:t>
      </w:r>
      <w:r w:rsidRPr="00E41C9B">
        <w:rPr>
          <w:i/>
          <w:iCs/>
        </w:rPr>
        <w:t>Topics</w:t>
      </w:r>
      <w:r w:rsidRPr="00523936">
        <w:t>, see Brunschwig 1967, Introduction.</w:t>
      </w:r>
    </w:p>
  </w:footnote>
  <w:footnote w:id="14">
    <w:p w14:paraId="6C8216D0" w14:textId="2A20E63C" w:rsidR="00523936" w:rsidRPr="00523936" w:rsidRDefault="00523936">
      <w:pPr>
        <w:pStyle w:val="FootnoteText"/>
        <w:rPr>
          <w:lang w:val="en-US"/>
        </w:rPr>
      </w:pPr>
      <w:r>
        <w:rPr>
          <w:rStyle w:val="FootnoteReference"/>
        </w:rPr>
        <w:footnoteRef/>
      </w:r>
      <w:r>
        <w:t xml:space="preserve"> </w:t>
      </w:r>
      <w:r w:rsidRPr="00523936">
        <w:t>See also the comment on 24a22–b15.</w:t>
      </w:r>
    </w:p>
  </w:footnote>
  <w:footnote w:id="15">
    <w:p w14:paraId="2109C519" w14:textId="25019BC2" w:rsidR="00523936" w:rsidRPr="00523936" w:rsidRDefault="00523936">
      <w:pPr>
        <w:pStyle w:val="FootnoteText"/>
        <w:rPr>
          <w:lang w:val="en-US"/>
        </w:rPr>
      </w:pPr>
      <w:r>
        <w:rPr>
          <w:rStyle w:val="FootnoteReference"/>
        </w:rPr>
        <w:footnoteRef/>
      </w:r>
      <w:r>
        <w:t xml:space="preserve"> </w:t>
      </w:r>
      <w:r w:rsidRPr="00523936">
        <w:t>On the topoi, see Brunschwig 1967, L–LIV.</w:t>
      </w:r>
    </w:p>
  </w:footnote>
  <w:footnote w:id="16">
    <w:p w14:paraId="7F971D94" w14:textId="4070C572" w:rsidR="00523936" w:rsidRPr="00E41C9B" w:rsidRDefault="00523936">
      <w:pPr>
        <w:pStyle w:val="FootnoteText"/>
        <w:rPr>
          <w:lang w:val="en-US"/>
        </w:rPr>
      </w:pPr>
      <w:r>
        <w:rPr>
          <w:rStyle w:val="FootnoteReference"/>
        </w:rPr>
        <w:footnoteRef/>
      </w:r>
      <w:r>
        <w:t xml:space="preserve"> </w:t>
      </w:r>
      <w:r w:rsidRPr="00523936">
        <w:t xml:space="preserve">In Thucydides VII.47, and even in Plato, Protagoras 317a7–b1, the term </w:t>
      </w:r>
      <w:r w:rsidRPr="00523936">
        <w:rPr>
          <w:rFonts w:ascii="Arial" w:hAnsi="Arial" w:cs="Arial"/>
        </w:rPr>
        <w:t>ἐ</w:t>
      </w:r>
      <w:r w:rsidRPr="00523936">
        <w:t xml:space="preserve">πιχείρημα still means “attempt” or “undertaking.” Aristotle is the first to use the term as a technical one in the </w:t>
      </w:r>
      <w:r w:rsidRPr="00E41C9B">
        <w:rPr>
          <w:i/>
          <w:iCs/>
        </w:rPr>
        <w:t>Topics</w:t>
      </w:r>
      <w:r w:rsidRPr="00523936">
        <w:t>, 162a16 (</w:t>
      </w:r>
      <w:r w:rsidRPr="00523936">
        <w:rPr>
          <w:rFonts w:ascii="Arial" w:hAnsi="Arial" w:cs="Arial"/>
        </w:rPr>
        <w:t>ἐ</w:t>
      </w:r>
      <w:r w:rsidRPr="00523936">
        <w:t>πιχείρημα δ</w:t>
      </w:r>
      <w:r w:rsidRPr="00523936">
        <w:rPr>
          <w:rFonts w:ascii="Arial" w:hAnsi="Arial" w:cs="Arial"/>
        </w:rPr>
        <w:t>ὲ</w:t>
      </w:r>
      <w:r w:rsidRPr="00523936">
        <w:t xml:space="preserve"> συλλογισμ</w:t>
      </w:r>
      <w:r w:rsidRPr="00523936">
        <w:rPr>
          <w:rFonts w:ascii="Arial" w:hAnsi="Arial" w:cs="Arial"/>
        </w:rPr>
        <w:t>ὸ</w:t>
      </w:r>
      <w:r w:rsidRPr="00523936">
        <w:t xml:space="preserve">ς διαλεκτικός). Cf. </w:t>
      </w:r>
      <w:r w:rsidRPr="00E41C9B">
        <w:rPr>
          <w:i/>
          <w:iCs/>
        </w:rPr>
        <w:t>Topics</w:t>
      </w:r>
      <w:r w:rsidRPr="00523936">
        <w:t xml:space="preserve"> 163a37, 163b5.</w:t>
      </w:r>
    </w:p>
  </w:footnote>
  <w:footnote w:id="17">
    <w:p w14:paraId="5EFFDDDF" w14:textId="7DA786FA" w:rsidR="00523936" w:rsidRPr="00523936" w:rsidRDefault="00523936">
      <w:pPr>
        <w:pStyle w:val="FootnoteText"/>
        <w:rPr>
          <w:lang w:val="en-US"/>
        </w:rPr>
      </w:pPr>
      <w:r>
        <w:rPr>
          <w:rStyle w:val="FootnoteReference"/>
        </w:rPr>
        <w:footnoteRef/>
      </w:r>
      <w:r>
        <w:t xml:space="preserve"> </w:t>
      </w:r>
      <w:r w:rsidRPr="00523936">
        <w:t>On these syllogisms, see Striker 1979 and Lear 1980, 34–53. The latter argues that the syllogisms of the impossible (per impossibilem) can be regarded as hypothetical syllogisms.</w:t>
      </w:r>
    </w:p>
  </w:footnote>
  <w:footnote w:id="18">
    <w:p w14:paraId="1F571889" w14:textId="5BB9A7F6" w:rsidR="00523936" w:rsidRPr="009C12D1" w:rsidRDefault="00523936">
      <w:pPr>
        <w:pStyle w:val="FootnoteText"/>
        <w:rPr>
          <w:lang w:val="en-US"/>
        </w:rPr>
      </w:pPr>
      <w:r>
        <w:rPr>
          <w:rStyle w:val="FootnoteReference"/>
        </w:rPr>
        <w:footnoteRef/>
      </w:r>
      <w:r>
        <w:t xml:space="preserve"> </w:t>
      </w:r>
      <w:r w:rsidRPr="00523936">
        <w:t xml:space="preserve">Burnyeat 1994 argues that in the enthymeme there is less logical necessity in the formation of the conclusion. However, Aristotle in the </w:t>
      </w:r>
      <w:r w:rsidRPr="00E41C9B">
        <w:rPr>
          <w:i/>
          <w:iCs/>
        </w:rPr>
        <w:t>Topics</w:t>
      </w:r>
      <w:r w:rsidRPr="00523936">
        <w:t xml:space="preserve"> recognizes logical necessity in the derivation of the conclusion as a property of syllogisms. See Striker 2018, 82.</w:t>
      </w:r>
    </w:p>
  </w:footnote>
  <w:footnote w:id="19">
    <w:p w14:paraId="58D17995" w14:textId="2AA6BC0B" w:rsidR="00523936" w:rsidRPr="00523936" w:rsidRDefault="00523936">
      <w:pPr>
        <w:pStyle w:val="FootnoteText"/>
        <w:rPr>
          <w:lang w:val="en-US"/>
        </w:rPr>
      </w:pPr>
      <w:r>
        <w:rPr>
          <w:rStyle w:val="FootnoteReference"/>
        </w:rPr>
        <w:footnoteRef/>
      </w:r>
      <w:r>
        <w:t xml:space="preserve"> </w:t>
      </w:r>
      <w:r w:rsidRPr="00523936">
        <w:t xml:space="preserve">On the syllogism in the </w:t>
      </w:r>
      <w:r w:rsidRPr="007C6417">
        <w:rPr>
          <w:i/>
          <w:iCs/>
        </w:rPr>
        <w:t>Rhetoric</w:t>
      </w:r>
      <w:r w:rsidRPr="00523936">
        <w:t>, see Rapp 2023.</w:t>
      </w:r>
    </w:p>
  </w:footnote>
  <w:footnote w:id="20">
    <w:p w14:paraId="21CDBC7E" w14:textId="59BCF186" w:rsidR="00523936" w:rsidRPr="00523936" w:rsidRDefault="00523936">
      <w:pPr>
        <w:pStyle w:val="FootnoteText"/>
      </w:pPr>
      <w:r>
        <w:rPr>
          <w:rStyle w:val="FootnoteReference"/>
        </w:rPr>
        <w:footnoteRef/>
      </w:r>
      <w:r>
        <w:t xml:space="preserve"> </w:t>
      </w:r>
      <w:r w:rsidRPr="00523936">
        <w:t xml:space="preserve">See the explicit references of the </w:t>
      </w:r>
      <w:r w:rsidRPr="00E41C9B">
        <w:rPr>
          <w:i/>
          <w:iCs/>
        </w:rPr>
        <w:t>Rhetoric</w:t>
      </w:r>
      <w:r w:rsidRPr="00523936">
        <w:t xml:space="preserve"> to the </w:t>
      </w:r>
      <w:r w:rsidRPr="00E41C9B">
        <w:rPr>
          <w:i/>
          <w:iCs/>
        </w:rPr>
        <w:t>Topics</w:t>
      </w:r>
      <w:r w:rsidRPr="00523936">
        <w:t>: 1355a28, 1356b12, 1358a29, 1396b4, 1398a28, etc.</w:t>
      </w:r>
    </w:p>
  </w:footnote>
  <w:footnote w:id="21">
    <w:p w14:paraId="7AF417B8" w14:textId="4B39324C" w:rsidR="00523936" w:rsidRPr="00523936" w:rsidRDefault="00523936">
      <w:pPr>
        <w:pStyle w:val="FootnoteText"/>
        <w:rPr>
          <w:lang w:val="en-US"/>
        </w:rPr>
      </w:pPr>
      <w:r>
        <w:rPr>
          <w:rStyle w:val="FootnoteReference"/>
        </w:rPr>
        <w:footnoteRef/>
      </w:r>
      <w:r>
        <w:t xml:space="preserve"> </w:t>
      </w:r>
      <w:r w:rsidRPr="00523936">
        <w:t xml:space="preserve">On </w:t>
      </w:r>
      <w:r w:rsidRPr="00523936">
        <w:rPr>
          <w:rFonts w:ascii="Arial" w:hAnsi="Arial" w:cs="Arial"/>
        </w:rPr>
        <w:t>ὅ</w:t>
      </w:r>
      <w:r w:rsidRPr="00523936">
        <w:t xml:space="preserve">ροι in the </w:t>
      </w:r>
      <w:r w:rsidRPr="00E41C9B">
        <w:rPr>
          <w:i/>
          <w:iCs/>
        </w:rPr>
        <w:t>Analytics</w:t>
      </w:r>
      <w:r w:rsidRPr="00523936">
        <w:t>, see Crivelli 2023, 155–158.</w:t>
      </w:r>
    </w:p>
  </w:footnote>
  <w:footnote w:id="22">
    <w:p w14:paraId="00D5D021" w14:textId="15925BFD" w:rsidR="00823B38" w:rsidRPr="00823B38" w:rsidRDefault="00823B38">
      <w:pPr>
        <w:pStyle w:val="FootnoteText"/>
        <w:rPr>
          <w:lang w:val="en-US"/>
        </w:rPr>
      </w:pPr>
      <w:r>
        <w:rPr>
          <w:rStyle w:val="FootnoteReference"/>
        </w:rPr>
        <w:footnoteRef/>
      </w:r>
      <w:r>
        <w:t xml:space="preserve"> </w:t>
      </w:r>
      <w:r w:rsidRPr="00823B38">
        <w:t>On the difference between Aristotelian/categorical logic and Stoic/propositional logic, see Frede 1974.</w:t>
      </w:r>
    </w:p>
  </w:footnote>
  <w:footnote w:id="23">
    <w:p w14:paraId="78D600ED" w14:textId="21C1DFC4" w:rsidR="00823B38" w:rsidRPr="009C12D1" w:rsidRDefault="00823B38">
      <w:pPr>
        <w:pStyle w:val="FootnoteText"/>
        <w:rPr>
          <w:lang w:val="en-US"/>
        </w:rPr>
      </w:pPr>
      <w:r>
        <w:rPr>
          <w:rStyle w:val="FootnoteReference"/>
        </w:rPr>
        <w:footnoteRef/>
      </w:r>
      <w:r>
        <w:t xml:space="preserve"> </w:t>
      </w:r>
      <w:r w:rsidRPr="00823B38">
        <w:t>See Introduction, Part II.</w:t>
      </w:r>
    </w:p>
  </w:footnote>
  <w:footnote w:id="24">
    <w:p w14:paraId="275B4045" w14:textId="6A430076" w:rsidR="00823B38" w:rsidRPr="00823B38" w:rsidRDefault="00823B38">
      <w:pPr>
        <w:pStyle w:val="FootnoteText"/>
        <w:rPr>
          <w:lang w:val="en-US"/>
        </w:rPr>
      </w:pPr>
      <w:r>
        <w:rPr>
          <w:rStyle w:val="FootnoteReference"/>
        </w:rPr>
        <w:footnoteRef/>
      </w:r>
      <w:r>
        <w:t xml:space="preserve"> </w:t>
      </w:r>
      <w:r w:rsidRPr="00823B38">
        <w:t xml:space="preserve">The first step toward understanding the development of Aristotelian logic was taken by August Brandis in his </w:t>
      </w:r>
      <w:r w:rsidRPr="00E41C9B">
        <w:rPr>
          <w:i/>
          <w:iCs/>
        </w:rPr>
        <w:t>Ueber die Reihenfolge der Bücher des aristotelischen Organons</w:t>
      </w:r>
      <w:r w:rsidRPr="00823B38">
        <w:t>, Abhandlungen der Berliner Akademie 1833. The next major step was that of Solmsen 1929. See also Kapp 1942, 8–10, 67–69.</w:t>
      </w:r>
    </w:p>
  </w:footnote>
  <w:footnote w:id="25">
    <w:p w14:paraId="4973C72E" w14:textId="4644FBCA" w:rsidR="00823B38" w:rsidRPr="009C12D1" w:rsidRDefault="00823B38">
      <w:pPr>
        <w:pStyle w:val="FootnoteText"/>
        <w:rPr>
          <w:lang w:val="en-US"/>
        </w:rPr>
      </w:pPr>
      <w:r>
        <w:rPr>
          <w:rStyle w:val="FootnoteReference"/>
        </w:rPr>
        <w:footnoteRef/>
      </w:r>
      <w:r>
        <w:t xml:space="preserve"> </w:t>
      </w:r>
      <w:r w:rsidRPr="00823B38">
        <w:t>On Aristotle’s use of letters to denote terms, there is extensive discussion. He most likely borrows the model from the mathematics of his time, which we later encounter in Euclid. See Frede 1974, 19; Smith 1978; Striker 2009, xii–xiii; Crubellier 2014, 21–25.</w:t>
      </w:r>
    </w:p>
  </w:footnote>
  <w:footnote w:id="26">
    <w:p w14:paraId="5F111889" w14:textId="514EAE81" w:rsidR="00823B38" w:rsidRPr="00823B38" w:rsidRDefault="00823B38">
      <w:pPr>
        <w:pStyle w:val="FootnoteText"/>
        <w:rPr>
          <w:lang w:val="en-US"/>
        </w:rPr>
      </w:pPr>
      <w:r>
        <w:rPr>
          <w:rStyle w:val="FootnoteReference"/>
        </w:rPr>
        <w:footnoteRef/>
      </w:r>
      <w:r w:rsidRPr="009C12D1">
        <w:rPr>
          <w:lang w:val="en-US"/>
        </w:rPr>
        <w:t xml:space="preserve"> </w:t>
      </w:r>
      <w:r w:rsidRPr="00823B38">
        <w:t xml:space="preserve">Crubellier 2014, 17–19. Precursors of the middle term are the correlations between terms that Aristotle draws in the </w:t>
      </w:r>
      <w:r w:rsidRPr="00E41C9B">
        <w:rPr>
          <w:i/>
          <w:iCs/>
        </w:rPr>
        <w:t>Topics</w:t>
      </w:r>
      <w:r w:rsidRPr="00823B38">
        <w:t xml:space="preserve"> 114b37–115a14.</w:t>
      </w:r>
    </w:p>
  </w:footnote>
  <w:footnote w:id="27">
    <w:p w14:paraId="40B050B2" w14:textId="6F152799" w:rsidR="00823B38" w:rsidRPr="00823B38" w:rsidRDefault="00823B38">
      <w:pPr>
        <w:pStyle w:val="FootnoteText"/>
        <w:rPr>
          <w:lang w:val="en-US"/>
        </w:rPr>
      </w:pPr>
      <w:r>
        <w:rPr>
          <w:rStyle w:val="FootnoteReference"/>
        </w:rPr>
        <w:footnoteRef/>
      </w:r>
      <w:r>
        <w:t xml:space="preserve"> </w:t>
      </w:r>
      <w:r w:rsidRPr="00823B38">
        <w:t>On the ordering and edition of Aristotle’s works in antiquity, there is extensive discussion. See Moraux 1973; Barnes 1997; Ebert &amp; Nortmann, 118–124.</w:t>
      </w:r>
    </w:p>
  </w:footnote>
  <w:footnote w:id="28">
    <w:p w14:paraId="29273B80" w14:textId="43DEBC0B" w:rsidR="006C377D" w:rsidRPr="006C377D" w:rsidRDefault="006C377D">
      <w:pPr>
        <w:pStyle w:val="FootnoteText"/>
        <w:rPr>
          <w:lang w:val="en-US"/>
        </w:rPr>
      </w:pPr>
      <w:r>
        <w:rPr>
          <w:rStyle w:val="FootnoteReference"/>
        </w:rPr>
        <w:footnoteRef/>
      </w:r>
      <w:r>
        <w:t xml:space="preserve"> </w:t>
      </w:r>
      <w:r w:rsidRPr="006C377D">
        <w:t>The letters a and i derive from the Latin affirmo, while e and o derive from the Latin nego.</w:t>
      </w:r>
    </w:p>
  </w:footnote>
  <w:footnote w:id="29">
    <w:p w14:paraId="0F5E5A51" w14:textId="2B172D2D" w:rsidR="006C377D" w:rsidRPr="006C377D" w:rsidRDefault="006C377D">
      <w:pPr>
        <w:pStyle w:val="FootnoteText"/>
        <w:rPr>
          <w:lang w:val="en-US"/>
        </w:rPr>
      </w:pPr>
      <w:r>
        <w:rPr>
          <w:rStyle w:val="FootnoteReference"/>
        </w:rPr>
        <w:footnoteRef/>
      </w:r>
      <w:r>
        <w:t xml:space="preserve"> </w:t>
      </w:r>
      <w:r w:rsidRPr="006C377D">
        <w:t>Chapter 46 is considered by some to be an independent study, e.g. Smith 1989, xiv. On the analysis of syllogisms and the relation of this procedure to the title of the work, see the following section.</w:t>
      </w:r>
    </w:p>
  </w:footnote>
  <w:footnote w:id="30">
    <w:p w14:paraId="58C3FF4E" w14:textId="644BFABA" w:rsidR="006C377D" w:rsidRPr="006C377D" w:rsidRDefault="006C377D">
      <w:pPr>
        <w:pStyle w:val="FootnoteText"/>
        <w:rPr>
          <w:lang w:val="en-US"/>
        </w:rPr>
      </w:pPr>
      <w:r>
        <w:rPr>
          <w:rStyle w:val="FootnoteReference"/>
        </w:rPr>
        <w:footnoteRef/>
      </w:r>
      <w:r>
        <w:t xml:space="preserve"> </w:t>
      </w:r>
      <w:r w:rsidRPr="006C377D">
        <w:t xml:space="preserve">See the detailed presentation of the structure of the </w:t>
      </w:r>
      <w:r w:rsidRPr="00E41C9B">
        <w:rPr>
          <w:i/>
          <w:iCs/>
        </w:rPr>
        <w:t>Prior Analytics</w:t>
      </w:r>
      <w:r w:rsidRPr="006C377D">
        <w:t xml:space="preserve"> in Crubellier 2014, 25–42, and Strobach-Malink 2015, 52–58.</w:t>
      </w:r>
    </w:p>
  </w:footnote>
  <w:footnote w:id="31">
    <w:p w14:paraId="79F1709D" w14:textId="1E8CEF1E" w:rsidR="006C377D" w:rsidRPr="006C377D" w:rsidRDefault="006C377D">
      <w:pPr>
        <w:pStyle w:val="FootnoteText"/>
        <w:rPr>
          <w:lang w:val="en-US"/>
        </w:rPr>
      </w:pPr>
      <w:r>
        <w:rPr>
          <w:rStyle w:val="FootnoteReference"/>
        </w:rPr>
        <w:footnoteRef/>
      </w:r>
      <w:r>
        <w:t xml:space="preserve"> </w:t>
      </w:r>
      <w:r w:rsidRPr="006C377D">
        <w:t>On the title of the work, see Crubellier 2014, 12; Striker 2022; Ierodiakonou – Agiotis 2019.</w:t>
      </w:r>
    </w:p>
  </w:footnote>
  <w:footnote w:id="32">
    <w:p w14:paraId="65BDB9DD" w14:textId="550F2E97" w:rsidR="006C377D" w:rsidRPr="006C377D" w:rsidRDefault="006C377D">
      <w:pPr>
        <w:pStyle w:val="FootnoteText"/>
        <w:rPr>
          <w:lang w:val="en-US"/>
        </w:rPr>
      </w:pPr>
      <w:r>
        <w:rPr>
          <w:rStyle w:val="FootnoteReference"/>
        </w:rPr>
        <w:footnoteRef/>
      </w:r>
      <w:r>
        <w:t xml:space="preserve"> </w:t>
      </w:r>
      <w:r w:rsidRPr="006C377D">
        <w:t xml:space="preserve">See </w:t>
      </w:r>
      <w:r w:rsidRPr="00E41C9B">
        <w:rPr>
          <w:i/>
          <w:iCs/>
        </w:rPr>
        <w:t>Metaphysics</w:t>
      </w:r>
      <w:r w:rsidRPr="006C377D">
        <w:t xml:space="preserve"> Γ3, 1005b4; Eudemian Ethics I.6, 1217a14–17; II.10, 1227a8–13; </w:t>
      </w:r>
      <w:r w:rsidRPr="00E41C9B">
        <w:rPr>
          <w:i/>
          <w:iCs/>
        </w:rPr>
        <w:t>Nicomachean Ethics</w:t>
      </w:r>
      <w:r w:rsidRPr="006C377D">
        <w:t xml:space="preserve"> VI, 1139b26–36; </w:t>
      </w:r>
      <w:r w:rsidRPr="00E41C9B">
        <w:rPr>
          <w:i/>
          <w:iCs/>
        </w:rPr>
        <w:t>Rhetoric</w:t>
      </w:r>
      <w:r w:rsidRPr="006C377D">
        <w:t xml:space="preserve"> I.4, 1359b9–12.</w:t>
      </w:r>
    </w:p>
  </w:footnote>
  <w:footnote w:id="33">
    <w:p w14:paraId="47612532" w14:textId="1581A756" w:rsidR="006C377D" w:rsidRPr="006C377D" w:rsidRDefault="006C377D">
      <w:pPr>
        <w:pStyle w:val="FootnoteText"/>
        <w:rPr>
          <w:lang w:val="en-US"/>
        </w:rPr>
      </w:pPr>
      <w:r>
        <w:rPr>
          <w:rStyle w:val="FootnoteReference"/>
        </w:rPr>
        <w:footnoteRef/>
      </w:r>
      <w:r>
        <w:t xml:space="preserve"> </w:t>
      </w:r>
      <w:r w:rsidRPr="006C377D">
        <w:t>This passage is discussed by Striker 2022, 89–90.</w:t>
      </w:r>
    </w:p>
  </w:footnote>
  <w:footnote w:id="34">
    <w:p w14:paraId="395EB9BE" w14:textId="7A890B90" w:rsidR="006C377D" w:rsidRPr="006C377D" w:rsidRDefault="006C377D">
      <w:pPr>
        <w:pStyle w:val="FootnoteText"/>
        <w:rPr>
          <w:lang w:val="en-US"/>
        </w:rPr>
      </w:pPr>
      <w:r>
        <w:rPr>
          <w:rStyle w:val="FootnoteReference"/>
        </w:rPr>
        <w:footnoteRef/>
      </w:r>
      <w:r>
        <w:t xml:space="preserve"> </w:t>
      </w:r>
      <w:r w:rsidRPr="006C377D">
        <w:t>On this distinction, see Introduction, Part II.</w:t>
      </w:r>
    </w:p>
  </w:footnote>
  <w:footnote w:id="35">
    <w:p w14:paraId="10CED682" w14:textId="3F7068A9" w:rsidR="006C377D" w:rsidRPr="009C12D1" w:rsidRDefault="006C377D">
      <w:pPr>
        <w:pStyle w:val="FootnoteText"/>
        <w:rPr>
          <w:lang w:val="en-US"/>
        </w:rPr>
      </w:pPr>
      <w:r>
        <w:rPr>
          <w:rStyle w:val="FootnoteReference"/>
        </w:rPr>
        <w:footnoteRef/>
      </w:r>
      <w:r>
        <w:t xml:space="preserve"> </w:t>
      </w:r>
      <w:r w:rsidRPr="006C377D">
        <w:t xml:space="preserve">See Alexander, </w:t>
      </w:r>
      <w:r w:rsidRPr="00654325">
        <w:rPr>
          <w:i/>
          <w:iCs/>
        </w:rPr>
        <w:t>Commentary on the Prior Analytics</w:t>
      </w:r>
      <w:r w:rsidRPr="006C377D">
        <w:t xml:space="preserve"> 7, 11–29, cited and discussed by Ierodiakonou–Agiotis 2019, 133–134. The same article is also the source of the subsequent relevant references. See also Striker 2022, 90.</w:t>
      </w:r>
    </w:p>
  </w:footnote>
  <w:footnote w:id="36">
    <w:p w14:paraId="22FED3E5" w14:textId="3C3D4C66" w:rsidR="006C377D" w:rsidRPr="006C377D" w:rsidRDefault="006C377D">
      <w:pPr>
        <w:pStyle w:val="FootnoteText"/>
        <w:rPr>
          <w:lang w:val="en-US"/>
        </w:rPr>
      </w:pPr>
      <w:r>
        <w:rPr>
          <w:rStyle w:val="FootnoteReference"/>
        </w:rPr>
        <w:footnoteRef/>
      </w:r>
      <w:r>
        <w:t xml:space="preserve"> </w:t>
      </w:r>
      <w:r w:rsidRPr="006C377D">
        <w:t xml:space="preserve">Ammonius, </w:t>
      </w:r>
      <w:r w:rsidRPr="00654325">
        <w:rPr>
          <w:i/>
          <w:iCs/>
        </w:rPr>
        <w:t>Commentary on the Prior Analytics</w:t>
      </w:r>
      <w:r w:rsidRPr="006C377D">
        <w:t xml:space="preserve"> 6, 11–30.</w:t>
      </w:r>
    </w:p>
  </w:footnote>
  <w:footnote w:id="37">
    <w:p w14:paraId="67ADB7F4" w14:textId="624E88B3" w:rsidR="006C377D" w:rsidRPr="006C377D" w:rsidRDefault="006C377D">
      <w:pPr>
        <w:pStyle w:val="FootnoteText"/>
        <w:rPr>
          <w:lang w:val="en-US"/>
        </w:rPr>
      </w:pPr>
      <w:r>
        <w:rPr>
          <w:rStyle w:val="FootnoteReference"/>
        </w:rPr>
        <w:footnoteRef/>
      </w:r>
      <w:r>
        <w:t xml:space="preserve"> </w:t>
      </w:r>
      <w:r w:rsidRPr="006C377D">
        <w:t xml:space="preserve">Ammonius, </w:t>
      </w:r>
      <w:r w:rsidRPr="00654325">
        <w:rPr>
          <w:i/>
          <w:iCs/>
        </w:rPr>
        <w:t>Commentary on the Prior Analytics</w:t>
      </w:r>
      <w:r w:rsidRPr="006C377D">
        <w:t xml:space="preserve"> 7, 26–8, 14.</w:t>
      </w:r>
    </w:p>
  </w:footnote>
  <w:footnote w:id="38">
    <w:p w14:paraId="32300BF1" w14:textId="14400266" w:rsidR="006C377D" w:rsidRPr="006C377D" w:rsidRDefault="006C377D">
      <w:pPr>
        <w:pStyle w:val="FootnoteText"/>
        <w:rPr>
          <w:lang w:val="en-US"/>
        </w:rPr>
      </w:pPr>
      <w:r>
        <w:rPr>
          <w:rStyle w:val="FootnoteReference"/>
        </w:rPr>
        <w:footnoteRef/>
      </w:r>
      <w:r>
        <w:t xml:space="preserve"> </w:t>
      </w:r>
      <w:r w:rsidRPr="006C377D">
        <w:t xml:space="preserve">Alcinous, </w:t>
      </w:r>
      <w:r w:rsidRPr="00654325">
        <w:rPr>
          <w:i/>
          <w:iCs/>
        </w:rPr>
        <w:t>Didaskalikos</w:t>
      </w:r>
      <w:r w:rsidRPr="006C377D">
        <w:t xml:space="preserve"> ch. 5.1. See Dillon 1993, 72–77.</w:t>
      </w:r>
    </w:p>
  </w:footnote>
  <w:footnote w:id="39">
    <w:p w14:paraId="02E71F32" w14:textId="054E0571" w:rsidR="00020E6D" w:rsidRPr="00020E6D" w:rsidRDefault="00020E6D">
      <w:pPr>
        <w:pStyle w:val="FootnoteText"/>
        <w:rPr>
          <w:lang w:val="en-US"/>
        </w:rPr>
      </w:pPr>
      <w:r>
        <w:rPr>
          <w:rStyle w:val="FootnoteReference"/>
        </w:rPr>
        <w:footnoteRef/>
      </w:r>
      <w:r>
        <w:t xml:space="preserve"> </w:t>
      </w:r>
      <w:r w:rsidRPr="00020E6D">
        <w:t xml:space="preserve">Ammonius, </w:t>
      </w:r>
      <w:r w:rsidRPr="00654325">
        <w:rPr>
          <w:i/>
          <w:iCs/>
        </w:rPr>
        <w:t>Commentary on the Prior Analytics</w:t>
      </w:r>
      <w:r w:rsidRPr="00020E6D">
        <w:t xml:space="preserve"> 6, 30–7, 6.</w:t>
      </w:r>
    </w:p>
  </w:footnote>
  <w:footnote w:id="40">
    <w:p w14:paraId="0171B05A" w14:textId="6392E317" w:rsidR="00020E6D" w:rsidRPr="00020E6D" w:rsidRDefault="00020E6D">
      <w:pPr>
        <w:pStyle w:val="FootnoteText"/>
        <w:rPr>
          <w:lang w:val="en-US"/>
        </w:rPr>
      </w:pPr>
      <w:r>
        <w:rPr>
          <w:rStyle w:val="FootnoteReference"/>
        </w:rPr>
        <w:footnoteRef/>
      </w:r>
      <w:r>
        <w:t xml:space="preserve"> </w:t>
      </w:r>
      <w:r w:rsidRPr="00020E6D">
        <w:t xml:space="preserve">Philoponus, </w:t>
      </w:r>
      <w:r w:rsidRPr="00654325">
        <w:rPr>
          <w:i/>
          <w:iCs/>
        </w:rPr>
        <w:t>Commentary on the Prior Analytics</w:t>
      </w:r>
      <w:r w:rsidRPr="00020E6D">
        <w:t xml:space="preserve"> 5, 21–6, 1.</w:t>
      </w:r>
    </w:p>
  </w:footnote>
  <w:footnote w:id="41">
    <w:p w14:paraId="13E3AB15" w14:textId="72C1E828" w:rsidR="00020E6D" w:rsidRPr="00020E6D" w:rsidRDefault="00020E6D">
      <w:pPr>
        <w:pStyle w:val="FootnoteText"/>
        <w:rPr>
          <w:lang w:val="en-US"/>
        </w:rPr>
      </w:pPr>
      <w:r>
        <w:rPr>
          <w:rStyle w:val="FootnoteReference"/>
        </w:rPr>
        <w:footnoteRef/>
      </w:r>
      <w:r>
        <w:t xml:space="preserve"> </w:t>
      </w:r>
      <w:r w:rsidRPr="00020E6D">
        <w:t xml:space="preserve">David, </w:t>
      </w:r>
      <w:r w:rsidRPr="00654325">
        <w:rPr>
          <w:i/>
          <w:iCs/>
        </w:rPr>
        <w:t>Commentary on Porphyry’s Isagoge</w:t>
      </w:r>
      <w:r w:rsidRPr="00020E6D">
        <w:t xml:space="preserve"> 103, 34–104, 7.</w:t>
      </w:r>
    </w:p>
  </w:footnote>
  <w:footnote w:id="42">
    <w:p w14:paraId="13A2629C" w14:textId="25934192" w:rsidR="00147E85" w:rsidRPr="00147E85" w:rsidRDefault="00147E85">
      <w:pPr>
        <w:pStyle w:val="FootnoteText"/>
      </w:pPr>
      <w:r>
        <w:rPr>
          <w:rStyle w:val="FootnoteReference"/>
        </w:rPr>
        <w:footnoteRef/>
      </w:r>
      <w:r>
        <w:t xml:space="preserve"> </w:t>
      </w:r>
      <w:r w:rsidRPr="00147E85">
        <w:t xml:space="preserve">Philoponus, </w:t>
      </w:r>
      <w:r w:rsidRPr="00654325">
        <w:rPr>
          <w:i/>
          <w:iCs/>
        </w:rPr>
        <w:t>Commentary on the Prior Analytics</w:t>
      </w:r>
      <w:r w:rsidRPr="00147E85">
        <w:t xml:space="preserve"> 5, 15–6, 1.</w:t>
      </w:r>
    </w:p>
  </w:footnote>
  <w:footnote w:id="43">
    <w:p w14:paraId="63E529C0" w14:textId="2EAB25DB" w:rsidR="00020E6D" w:rsidRPr="00020E6D" w:rsidRDefault="00020E6D">
      <w:pPr>
        <w:pStyle w:val="FootnoteText"/>
        <w:rPr>
          <w:lang w:val="en-US"/>
        </w:rPr>
      </w:pPr>
      <w:r>
        <w:rPr>
          <w:rStyle w:val="FootnoteReference"/>
        </w:rPr>
        <w:footnoteRef/>
      </w:r>
      <w:r>
        <w:t xml:space="preserve"> </w:t>
      </w:r>
      <w:r w:rsidR="00147E85" w:rsidRPr="00147E85">
        <w:t>See Ierodiakonou–Agiotis 2019, 147–149.</w:t>
      </w:r>
    </w:p>
  </w:footnote>
  <w:footnote w:id="44">
    <w:p w14:paraId="1CEC58A3" w14:textId="780215D1" w:rsidR="00147E85" w:rsidRPr="00147E85" w:rsidRDefault="00147E85">
      <w:pPr>
        <w:pStyle w:val="FootnoteText"/>
        <w:rPr>
          <w:lang w:val="en-US"/>
        </w:rPr>
      </w:pPr>
      <w:r>
        <w:rPr>
          <w:rStyle w:val="FootnoteReference"/>
        </w:rPr>
        <w:footnoteRef/>
      </w:r>
      <w:r>
        <w:t xml:space="preserve"> </w:t>
      </w:r>
      <w:r w:rsidRPr="00147E85">
        <w:t xml:space="preserve">On the title “Analytics” as applied to the </w:t>
      </w:r>
      <w:r w:rsidRPr="00654325">
        <w:rPr>
          <w:i/>
          <w:iCs/>
        </w:rPr>
        <w:t>Posterior Analytics</w:t>
      </w:r>
      <w:r w:rsidRPr="00147E85">
        <w:t xml:space="preserve">, see Striker 2022, 99–101. On the use of syllogistic in the </w:t>
      </w:r>
      <w:r w:rsidRPr="00654325">
        <w:rPr>
          <w:i/>
          <w:iCs/>
        </w:rPr>
        <w:t>Posterior Analytics</w:t>
      </w:r>
      <w:r w:rsidRPr="00147E85">
        <w:t>, see Striker 1998.</w:t>
      </w:r>
    </w:p>
  </w:footnote>
  <w:footnote w:id="45">
    <w:p w14:paraId="7B1B90DD" w14:textId="32CEA63E" w:rsidR="00147E85" w:rsidRPr="00147E85" w:rsidRDefault="00147E85">
      <w:pPr>
        <w:pStyle w:val="FootnoteText"/>
        <w:rPr>
          <w:lang w:val="en-US"/>
        </w:rPr>
      </w:pPr>
      <w:r>
        <w:rPr>
          <w:rStyle w:val="FootnoteReference"/>
        </w:rPr>
        <w:footnoteRef/>
      </w:r>
      <w:r>
        <w:t xml:space="preserve"> </w:t>
      </w:r>
      <w:r w:rsidRPr="00147E85">
        <w:t>An excellent overview is provided by Ebert &amp; Nortmann, 116–176.</w:t>
      </w:r>
    </w:p>
  </w:footnote>
  <w:footnote w:id="46">
    <w:p w14:paraId="48A63AFD" w14:textId="0E535993" w:rsidR="00147E85" w:rsidRPr="00147E85" w:rsidRDefault="00147E85">
      <w:pPr>
        <w:pStyle w:val="FootnoteText"/>
        <w:rPr>
          <w:lang w:val="en-US"/>
        </w:rPr>
      </w:pPr>
      <w:r>
        <w:rPr>
          <w:rStyle w:val="FootnoteReference"/>
        </w:rPr>
        <w:footnoteRef/>
      </w:r>
      <w:r>
        <w:t xml:space="preserve"> </w:t>
      </w:r>
      <w:r w:rsidRPr="00147E85">
        <w:t>A foundational work in the history of logic is Kneale &amp; Kneale 1962.</w:t>
      </w:r>
    </w:p>
  </w:footnote>
  <w:footnote w:id="47">
    <w:p w14:paraId="24028D65" w14:textId="061D4DDD" w:rsidR="00147E85" w:rsidRPr="00147E85" w:rsidRDefault="00147E85">
      <w:pPr>
        <w:pStyle w:val="FootnoteText"/>
        <w:rPr>
          <w:lang w:val="en-US"/>
        </w:rPr>
      </w:pPr>
      <w:r>
        <w:rPr>
          <w:rStyle w:val="FootnoteReference"/>
        </w:rPr>
        <w:footnoteRef/>
      </w:r>
      <w:r>
        <w:t xml:space="preserve"> </w:t>
      </w:r>
      <w:r w:rsidRPr="00147E85">
        <w:t>Theophrastus’ views on syllogistic are summarized by Fait 2023, 52–54.</w:t>
      </w:r>
    </w:p>
  </w:footnote>
  <w:footnote w:id="48">
    <w:p w14:paraId="006A1014" w14:textId="41A5AF85" w:rsidR="00147E85" w:rsidRPr="00147E85" w:rsidRDefault="00147E85">
      <w:pPr>
        <w:pStyle w:val="FootnoteText"/>
        <w:rPr>
          <w:lang w:val="en-US"/>
        </w:rPr>
      </w:pPr>
      <w:r>
        <w:rPr>
          <w:rStyle w:val="FootnoteReference"/>
        </w:rPr>
        <w:footnoteRef/>
      </w:r>
      <w:r>
        <w:t xml:space="preserve"> </w:t>
      </w:r>
      <w:r w:rsidRPr="00147E85">
        <w:t xml:space="preserve">See Alexander, </w:t>
      </w:r>
      <w:r w:rsidRPr="00654325">
        <w:rPr>
          <w:i/>
          <w:iCs/>
        </w:rPr>
        <w:t>Commentary on the Prior Analytics</w:t>
      </w:r>
      <w:r w:rsidRPr="00147E85">
        <w:t xml:space="preserve"> 220, 9–16, and the comments of Ebert &amp; Nortmann, 116–117.</w:t>
      </w:r>
    </w:p>
  </w:footnote>
  <w:footnote w:id="49">
    <w:p w14:paraId="2185E30E" w14:textId="50A88C87" w:rsidR="00147E85" w:rsidRPr="00147E85" w:rsidRDefault="00147E85">
      <w:pPr>
        <w:pStyle w:val="FootnoteText"/>
        <w:rPr>
          <w:lang w:val="en-US"/>
        </w:rPr>
      </w:pPr>
      <w:r>
        <w:rPr>
          <w:rStyle w:val="FootnoteReference"/>
        </w:rPr>
        <w:footnoteRef/>
      </w:r>
      <w:r>
        <w:t xml:space="preserve"> </w:t>
      </w:r>
      <w:r w:rsidRPr="00147E85">
        <w:t xml:space="preserve">Apuleius, </w:t>
      </w:r>
      <w:r w:rsidRPr="00654325">
        <w:rPr>
          <w:i/>
          <w:iCs/>
        </w:rPr>
        <w:t>De interpretatione</w:t>
      </w:r>
      <w:r w:rsidRPr="00147E85">
        <w:t xml:space="preserve"> XII, 193.16–20, Thomas (fr. 4 Mariotti). See further the comments of Ebert &amp; Nortmann, 124–125.</w:t>
      </w:r>
    </w:p>
  </w:footnote>
  <w:footnote w:id="50">
    <w:p w14:paraId="28FF4F6D" w14:textId="02231574" w:rsidR="00147E85" w:rsidRPr="00147E85" w:rsidRDefault="00147E85">
      <w:pPr>
        <w:pStyle w:val="FootnoteText"/>
        <w:rPr>
          <w:lang w:val="en-US"/>
        </w:rPr>
      </w:pPr>
      <w:r>
        <w:rPr>
          <w:rStyle w:val="FootnoteReference"/>
        </w:rPr>
        <w:footnoteRef/>
      </w:r>
      <w:r w:rsidRPr="00147E85">
        <w:rPr>
          <w:lang w:val="en-US"/>
        </w:rPr>
        <w:t xml:space="preserve"> </w:t>
      </w:r>
      <w:r w:rsidRPr="00147E85">
        <w:t xml:space="preserve">See Ammonius, </w:t>
      </w:r>
      <w:r w:rsidRPr="00654325">
        <w:rPr>
          <w:i/>
          <w:iCs/>
        </w:rPr>
        <w:t>Commentary on the Prior Analytics</w:t>
      </w:r>
      <w:r w:rsidRPr="00147E85">
        <w:t xml:space="preserve"> 31, 11–25, and the comments of Moraux 1973, 164–170, and Ebert &amp; Nortmann, 128–129.</w:t>
      </w:r>
    </w:p>
  </w:footnote>
  <w:footnote w:id="51">
    <w:p w14:paraId="417F570C" w14:textId="4DB54EC1" w:rsidR="00147E85" w:rsidRPr="00147E85" w:rsidRDefault="00147E85">
      <w:pPr>
        <w:pStyle w:val="FootnoteText"/>
        <w:rPr>
          <w:lang w:val="en-US"/>
        </w:rPr>
      </w:pPr>
      <w:r>
        <w:rPr>
          <w:rStyle w:val="FootnoteReference"/>
        </w:rPr>
        <w:footnoteRef/>
      </w:r>
      <w:r w:rsidRPr="009C12D1">
        <w:rPr>
          <w:lang w:val="en-US"/>
        </w:rPr>
        <w:t xml:space="preserve"> </w:t>
      </w:r>
      <w:r w:rsidRPr="00147E85">
        <w:t>See Moraux 1984, 382–394; Ebert &amp; Nortmann, 128–129. On the commentary tradition on the Prior Analytics in late antiquity, see Lee 1984.</w:t>
      </w:r>
    </w:p>
  </w:footnote>
  <w:footnote w:id="52">
    <w:p w14:paraId="0BAF416E" w14:textId="736EDD78" w:rsidR="00147E85" w:rsidRPr="009C12D1" w:rsidRDefault="00147E85">
      <w:pPr>
        <w:pStyle w:val="FootnoteText"/>
        <w:rPr>
          <w:lang w:val="en-US"/>
        </w:rPr>
      </w:pPr>
      <w:r>
        <w:rPr>
          <w:rStyle w:val="FootnoteReference"/>
        </w:rPr>
        <w:footnoteRef/>
      </w:r>
      <w:r>
        <w:t xml:space="preserve"> </w:t>
      </w:r>
      <w:r w:rsidRPr="00147E85">
        <w:t>See Karamanolis 2006, 123–125.</w:t>
      </w:r>
    </w:p>
  </w:footnote>
  <w:footnote w:id="53">
    <w:p w14:paraId="40AD6E21" w14:textId="186F58B3" w:rsidR="00147E85" w:rsidRPr="009C12D1" w:rsidRDefault="00147E85">
      <w:pPr>
        <w:pStyle w:val="FootnoteText"/>
        <w:rPr>
          <w:lang w:val="en-US"/>
        </w:rPr>
      </w:pPr>
      <w:r>
        <w:rPr>
          <w:rStyle w:val="FootnoteReference"/>
        </w:rPr>
        <w:footnoteRef/>
      </w:r>
      <w:r>
        <w:t xml:space="preserve"> </w:t>
      </w:r>
      <w:r w:rsidRPr="00147E85">
        <w:t>Χρ</w:t>
      </w:r>
      <w:r w:rsidRPr="00147E85">
        <w:rPr>
          <w:rFonts w:ascii="Arial" w:hAnsi="Arial" w:cs="Arial"/>
        </w:rPr>
        <w:t>ῆ</w:t>
      </w:r>
      <w:r w:rsidRPr="00147E85">
        <w:t>ται δ</w:t>
      </w:r>
      <w:r w:rsidRPr="00147E85">
        <w:rPr>
          <w:rFonts w:ascii="Arial" w:hAnsi="Arial" w:cs="Arial"/>
        </w:rPr>
        <w:t>ὲ</w:t>
      </w:r>
      <w:r w:rsidRPr="00147E85">
        <w:t xml:space="preserve"> </w:t>
      </w:r>
      <w:r w:rsidRPr="00147E85">
        <w:rPr>
          <w:rFonts w:ascii="Arial" w:hAnsi="Arial" w:cs="Arial"/>
        </w:rPr>
        <w:t>ὁ</w:t>
      </w:r>
      <w:r w:rsidRPr="00147E85">
        <w:t xml:space="preserve"> Πλάτων κα</w:t>
      </w:r>
      <w:r w:rsidRPr="00147E85">
        <w:rPr>
          <w:rFonts w:ascii="Arial" w:hAnsi="Arial" w:cs="Arial"/>
        </w:rPr>
        <w:t>ὶ</w:t>
      </w:r>
      <w:r w:rsidRPr="00147E85">
        <w:t xml:space="preserve"> τ</w:t>
      </w:r>
      <w:r w:rsidRPr="00147E85">
        <w:rPr>
          <w:rFonts w:ascii="Arial" w:hAnsi="Arial" w:cs="Arial"/>
        </w:rPr>
        <w:t>ῇ</w:t>
      </w:r>
      <w:r w:rsidRPr="00147E85">
        <w:t xml:space="preserve"> τ</w:t>
      </w:r>
      <w:r w:rsidRPr="00147E85">
        <w:rPr>
          <w:rFonts w:ascii="Arial" w:hAnsi="Arial" w:cs="Arial"/>
        </w:rPr>
        <w:t>ῶ</w:t>
      </w:r>
      <w:r w:rsidRPr="00147E85">
        <w:t>ν συλλογισμ</w:t>
      </w:r>
      <w:r w:rsidRPr="00147E85">
        <w:rPr>
          <w:rFonts w:ascii="Arial" w:hAnsi="Arial" w:cs="Arial"/>
        </w:rPr>
        <w:t>ῶ</w:t>
      </w:r>
      <w:r w:rsidRPr="00147E85">
        <w:t>ν πραγματεί</w:t>
      </w:r>
      <w:r w:rsidRPr="00147E85">
        <w:rPr>
          <w:rFonts w:ascii="Arial" w:hAnsi="Arial" w:cs="Arial"/>
        </w:rPr>
        <w:t>ᾳ</w:t>
      </w:r>
      <w:r w:rsidRPr="00147E85">
        <w:t xml:space="preserve"> </w:t>
      </w:r>
      <w:r w:rsidRPr="00147E85">
        <w:rPr>
          <w:rFonts w:ascii="Arial" w:hAnsi="Arial" w:cs="Arial"/>
        </w:rPr>
        <w:t>ἐ</w:t>
      </w:r>
      <w:r w:rsidRPr="00147E85">
        <w:t>λέγχων τε κα</w:t>
      </w:r>
      <w:r w:rsidRPr="00147E85">
        <w:rPr>
          <w:rFonts w:ascii="Arial" w:hAnsi="Arial" w:cs="Arial"/>
        </w:rPr>
        <w:t>ὶ</w:t>
      </w:r>
      <w:r w:rsidRPr="00147E85">
        <w:t xml:space="preserve"> </w:t>
      </w:r>
      <w:r w:rsidRPr="00147E85">
        <w:rPr>
          <w:rFonts w:ascii="Arial" w:hAnsi="Arial" w:cs="Arial"/>
        </w:rPr>
        <w:t>ἀ</w:t>
      </w:r>
      <w:r w:rsidRPr="00147E85">
        <w:t xml:space="preserve">ποδεικνύων, </w:t>
      </w:r>
      <w:r w:rsidRPr="00147E85">
        <w:rPr>
          <w:rFonts w:ascii="Arial" w:hAnsi="Arial" w:cs="Arial"/>
        </w:rPr>
        <w:t>ἐ</w:t>
      </w:r>
      <w:r w:rsidRPr="00147E85">
        <w:t>λέγχων μ</w:t>
      </w:r>
      <w:r w:rsidRPr="00147E85">
        <w:rPr>
          <w:rFonts w:ascii="Arial" w:hAnsi="Arial" w:cs="Arial"/>
        </w:rPr>
        <w:t>ὲ</w:t>
      </w:r>
      <w:r w:rsidRPr="00147E85">
        <w:t>ν δι</w:t>
      </w:r>
      <w:r w:rsidRPr="00147E85">
        <w:rPr>
          <w:rFonts w:ascii="Arial" w:hAnsi="Arial" w:cs="Arial"/>
        </w:rPr>
        <w:t>ὰ</w:t>
      </w:r>
      <w:r w:rsidRPr="00147E85">
        <w:t xml:space="preserve"> ζητήσεως τ</w:t>
      </w:r>
      <w:r w:rsidRPr="00147E85">
        <w:rPr>
          <w:rFonts w:ascii="Arial" w:hAnsi="Arial" w:cs="Arial"/>
        </w:rPr>
        <w:t>ὰ</w:t>
      </w:r>
      <w:r w:rsidRPr="00147E85">
        <w:t xml:space="preserve"> ψευδ</w:t>
      </w:r>
      <w:r w:rsidRPr="00147E85">
        <w:rPr>
          <w:rFonts w:ascii="Arial" w:hAnsi="Arial" w:cs="Arial"/>
        </w:rPr>
        <w:t>ῆ</w:t>
      </w:r>
      <w:r w:rsidRPr="00147E85">
        <w:t xml:space="preserve">, </w:t>
      </w:r>
      <w:r w:rsidRPr="00147E85">
        <w:rPr>
          <w:rFonts w:ascii="Arial" w:hAnsi="Arial" w:cs="Arial"/>
        </w:rPr>
        <w:t>ἀ</w:t>
      </w:r>
      <w:r w:rsidRPr="00147E85">
        <w:t>ποδεικνύων δ</w:t>
      </w:r>
      <w:r w:rsidRPr="00147E85">
        <w:rPr>
          <w:rFonts w:ascii="Arial" w:hAnsi="Arial" w:cs="Arial"/>
        </w:rPr>
        <w:t>ὲ</w:t>
      </w:r>
      <w:r w:rsidRPr="00147E85">
        <w:t xml:space="preserve"> διά τινος διδασκαλίας τ</w:t>
      </w:r>
      <w:r w:rsidRPr="00147E85">
        <w:rPr>
          <w:rFonts w:ascii="Arial" w:hAnsi="Arial" w:cs="Arial"/>
        </w:rPr>
        <w:t>ἀ</w:t>
      </w:r>
      <w:r w:rsidRPr="00147E85">
        <w:t>ληθ</w:t>
      </w:r>
      <w:r w:rsidRPr="00147E85">
        <w:rPr>
          <w:rFonts w:ascii="Arial" w:hAnsi="Arial" w:cs="Arial"/>
        </w:rPr>
        <w:t>ῆ</w:t>
      </w:r>
      <w:r w:rsidRPr="00147E85">
        <w:t xml:space="preserve">. </w:t>
      </w:r>
      <w:r w:rsidRPr="00147E85">
        <w:rPr>
          <w:rFonts w:ascii="Arial" w:hAnsi="Arial" w:cs="Arial"/>
        </w:rPr>
        <w:t>Ἔ</w:t>
      </w:r>
      <w:r w:rsidRPr="00147E85">
        <w:t>στι δ</w:t>
      </w:r>
      <w:r w:rsidRPr="00147E85">
        <w:rPr>
          <w:rFonts w:ascii="Arial" w:hAnsi="Arial" w:cs="Arial"/>
        </w:rPr>
        <w:t>ὲ</w:t>
      </w:r>
      <w:r w:rsidRPr="00147E85">
        <w:t xml:space="preserve"> </w:t>
      </w:r>
      <w:r w:rsidRPr="00147E85">
        <w:rPr>
          <w:rFonts w:ascii="Arial" w:hAnsi="Arial" w:cs="Arial"/>
        </w:rPr>
        <w:t>ὁ</w:t>
      </w:r>
      <w:r w:rsidRPr="00147E85">
        <w:t xml:space="preserve"> συλλογισμ</w:t>
      </w:r>
      <w:r w:rsidRPr="00147E85">
        <w:rPr>
          <w:rFonts w:ascii="Arial" w:hAnsi="Arial" w:cs="Arial"/>
        </w:rPr>
        <w:t>ὸ</w:t>
      </w:r>
      <w:r w:rsidRPr="00147E85">
        <w:t xml:space="preserve">ς λόγος </w:t>
      </w:r>
      <w:r w:rsidRPr="00147E85">
        <w:rPr>
          <w:rFonts w:ascii="Arial" w:hAnsi="Arial" w:cs="Arial"/>
        </w:rPr>
        <w:t>ἐ</w:t>
      </w:r>
      <w:r w:rsidRPr="00147E85">
        <w:t xml:space="preserve">ν </w:t>
      </w:r>
      <w:r w:rsidRPr="00147E85">
        <w:rPr>
          <w:rFonts w:ascii="Arial" w:hAnsi="Arial" w:cs="Arial"/>
        </w:rPr>
        <w:t>ᾧ</w:t>
      </w:r>
      <w:r w:rsidRPr="00147E85">
        <w:t xml:space="preserve"> τεθέντων τιν</w:t>
      </w:r>
      <w:r w:rsidRPr="00147E85">
        <w:rPr>
          <w:rFonts w:ascii="Arial" w:hAnsi="Arial" w:cs="Arial"/>
        </w:rPr>
        <w:t>ῶ</w:t>
      </w:r>
      <w:r w:rsidRPr="00147E85">
        <w:t xml:space="preserve">ν </w:t>
      </w:r>
      <w:r w:rsidRPr="00147E85">
        <w:rPr>
          <w:rFonts w:ascii="Arial" w:hAnsi="Arial" w:cs="Arial"/>
        </w:rPr>
        <w:t>ἕ</w:t>
      </w:r>
      <w:r w:rsidRPr="00147E85">
        <w:t>τερόν τι τ</w:t>
      </w:r>
      <w:r w:rsidRPr="00147E85">
        <w:rPr>
          <w:rFonts w:ascii="Arial" w:hAnsi="Arial" w:cs="Arial"/>
        </w:rPr>
        <w:t>ῶ</w:t>
      </w:r>
      <w:r w:rsidRPr="00147E85">
        <w:t>ν κειμένων δι</w:t>
      </w:r>
      <w:r w:rsidRPr="00147E85">
        <w:rPr>
          <w:rFonts w:ascii="Arial" w:hAnsi="Arial" w:cs="Arial"/>
        </w:rPr>
        <w:t>᾽</w:t>
      </w:r>
      <w:r w:rsidRPr="00147E85">
        <w:t xml:space="preserve"> α</w:t>
      </w:r>
      <w:r w:rsidRPr="00147E85">
        <w:rPr>
          <w:rFonts w:ascii="Arial" w:hAnsi="Arial" w:cs="Arial"/>
        </w:rPr>
        <w:t>ὐ</w:t>
      </w:r>
      <w:r w:rsidRPr="00147E85">
        <w:t>τ</w:t>
      </w:r>
      <w:r w:rsidRPr="00147E85">
        <w:rPr>
          <w:rFonts w:ascii="Arial" w:hAnsi="Arial" w:cs="Arial"/>
        </w:rPr>
        <w:t>ῶ</w:t>
      </w:r>
      <w:r w:rsidRPr="00147E85">
        <w:t>ν τ</w:t>
      </w:r>
      <w:r w:rsidRPr="00147E85">
        <w:rPr>
          <w:rFonts w:ascii="Arial" w:hAnsi="Arial" w:cs="Arial"/>
        </w:rPr>
        <w:t>ῶ</w:t>
      </w:r>
      <w:r w:rsidRPr="00147E85">
        <w:t xml:space="preserve">ν τεθέντων </w:t>
      </w:r>
      <w:r w:rsidRPr="00147E85">
        <w:rPr>
          <w:rFonts w:ascii="Arial" w:hAnsi="Arial" w:cs="Arial"/>
        </w:rPr>
        <w:t>ἐ</w:t>
      </w:r>
      <w:r w:rsidRPr="00147E85">
        <w:t xml:space="preserve">ξ </w:t>
      </w:r>
      <w:r w:rsidRPr="00147E85">
        <w:rPr>
          <w:rFonts w:ascii="Arial" w:hAnsi="Arial" w:cs="Arial"/>
        </w:rPr>
        <w:t>ἀ</w:t>
      </w:r>
      <w:r w:rsidRPr="00147E85">
        <w:t xml:space="preserve">νάγκης συμβαίνει. (Alcinous, </w:t>
      </w:r>
      <w:r w:rsidRPr="00654325">
        <w:rPr>
          <w:i/>
          <w:iCs/>
        </w:rPr>
        <w:t>Didaskalikos</w:t>
      </w:r>
      <w:r w:rsidRPr="00147E85">
        <w:t xml:space="preserve"> ch. 6, 158, 17–22).</w:t>
      </w:r>
    </w:p>
  </w:footnote>
  <w:footnote w:id="54">
    <w:p w14:paraId="31002633" w14:textId="3FEE64E9" w:rsidR="006247E0" w:rsidRPr="006247E0" w:rsidRDefault="006247E0">
      <w:pPr>
        <w:pStyle w:val="FootnoteText"/>
        <w:rPr>
          <w:lang w:val="en-US"/>
        </w:rPr>
      </w:pPr>
      <w:r>
        <w:rPr>
          <w:rStyle w:val="FootnoteReference"/>
        </w:rPr>
        <w:footnoteRef/>
      </w:r>
      <w:r>
        <w:t xml:space="preserve"> </w:t>
      </w:r>
      <w:r w:rsidRPr="006247E0">
        <w:t xml:space="preserve">Plutarch, </w:t>
      </w:r>
      <w:r w:rsidRPr="00654325">
        <w:rPr>
          <w:i/>
          <w:iCs/>
        </w:rPr>
        <w:t>On the Generation of the Soul in the Timaeus</w:t>
      </w:r>
      <w:r w:rsidRPr="006247E0">
        <w:t xml:space="preserve"> 1023E; Anonymous </w:t>
      </w:r>
      <w:r w:rsidRPr="00654325">
        <w:rPr>
          <w:i/>
          <w:iCs/>
        </w:rPr>
        <w:t>on the Theaetetus</w:t>
      </w:r>
      <w:r w:rsidRPr="006247E0">
        <w:t xml:space="preserve"> 58, 35–48; and Alcinous, </w:t>
      </w:r>
      <w:r w:rsidRPr="00654325">
        <w:rPr>
          <w:i/>
          <w:iCs/>
        </w:rPr>
        <w:t>Didaskalikos</w:t>
      </w:r>
      <w:r w:rsidRPr="006247E0">
        <w:t xml:space="preserve"> ch. 6, 159, 42–44. See Karamanolis 2006, 123–125.</w:t>
      </w:r>
    </w:p>
  </w:footnote>
  <w:footnote w:id="55">
    <w:p w14:paraId="49357256" w14:textId="74ECFC04" w:rsidR="006247E0" w:rsidRPr="006247E0" w:rsidRDefault="006247E0">
      <w:pPr>
        <w:pStyle w:val="FootnoteText"/>
        <w:rPr>
          <w:lang w:val="en-US"/>
        </w:rPr>
      </w:pPr>
      <w:r>
        <w:rPr>
          <w:rStyle w:val="FootnoteReference"/>
        </w:rPr>
        <w:footnoteRef/>
      </w:r>
      <w:r>
        <w:t xml:space="preserve"> </w:t>
      </w:r>
      <w:r w:rsidRPr="006247E0">
        <w:t xml:space="preserve">On Alexander’s commentary, see the introduction by Barnes 1991, especially pp. 7–14. Only part of the commentary has survived, namely the portion commenting on the first book of the </w:t>
      </w:r>
      <w:r w:rsidRPr="00654325">
        <w:rPr>
          <w:i/>
          <w:iCs/>
        </w:rPr>
        <w:t>Prior Analytics</w:t>
      </w:r>
      <w:r w:rsidRPr="006247E0">
        <w:t>.</w:t>
      </w:r>
    </w:p>
  </w:footnote>
  <w:footnote w:id="56">
    <w:p w14:paraId="568A3090" w14:textId="6DCC88BE" w:rsidR="006247E0" w:rsidRPr="006247E0" w:rsidRDefault="006247E0">
      <w:pPr>
        <w:pStyle w:val="FootnoteText"/>
        <w:rPr>
          <w:lang w:val="en-US"/>
        </w:rPr>
      </w:pPr>
      <w:r>
        <w:rPr>
          <w:rStyle w:val="FootnoteReference"/>
        </w:rPr>
        <w:footnoteRef/>
      </w:r>
      <w:r>
        <w:t xml:space="preserve"> </w:t>
      </w:r>
      <w:r w:rsidRPr="006247E0">
        <w:t xml:space="preserve">Alexander, </w:t>
      </w:r>
      <w:r w:rsidRPr="00654325">
        <w:rPr>
          <w:i/>
          <w:iCs/>
        </w:rPr>
        <w:t>Commentary on the Prior Analytics</w:t>
      </w:r>
      <w:r w:rsidRPr="006247E0">
        <w:t xml:space="preserve"> 207, 35; 213, 26; 238, 37. See Moraux 2001, 94–125.</w:t>
      </w:r>
    </w:p>
  </w:footnote>
  <w:footnote w:id="57">
    <w:p w14:paraId="01956173" w14:textId="5B9FC469" w:rsidR="006247E0" w:rsidRPr="009C12D1" w:rsidRDefault="006247E0">
      <w:pPr>
        <w:pStyle w:val="FootnoteText"/>
        <w:rPr>
          <w:lang w:val="en-US"/>
        </w:rPr>
      </w:pPr>
      <w:r>
        <w:rPr>
          <w:rStyle w:val="FootnoteReference"/>
        </w:rPr>
        <w:footnoteRef/>
      </w:r>
      <w:r>
        <w:t xml:space="preserve"> </w:t>
      </w:r>
      <w:r w:rsidRPr="006247E0">
        <w:t>Ebert &amp; Nortmann, 132.</w:t>
      </w:r>
    </w:p>
  </w:footnote>
  <w:footnote w:id="58">
    <w:p w14:paraId="6C108333" w14:textId="6C7BD3F0" w:rsidR="006247E0" w:rsidRPr="009C12D1" w:rsidRDefault="006247E0">
      <w:pPr>
        <w:pStyle w:val="FootnoteText"/>
        <w:rPr>
          <w:lang w:val="en-US"/>
        </w:rPr>
      </w:pPr>
      <w:r>
        <w:rPr>
          <w:rStyle w:val="FootnoteReference"/>
        </w:rPr>
        <w:footnoteRef/>
      </w:r>
      <w:r>
        <w:t xml:space="preserve"> </w:t>
      </w:r>
      <w:r w:rsidRPr="006247E0">
        <w:t>See Topchyan 2010.</w:t>
      </w:r>
    </w:p>
  </w:footnote>
  <w:footnote w:id="59">
    <w:p w14:paraId="66D66DA0" w14:textId="164A57DD" w:rsidR="006247E0" w:rsidRPr="009C12D1" w:rsidRDefault="006247E0">
      <w:pPr>
        <w:pStyle w:val="FootnoteText"/>
        <w:rPr>
          <w:lang w:val="en-US"/>
        </w:rPr>
      </w:pPr>
      <w:r>
        <w:rPr>
          <w:rStyle w:val="FootnoteReference"/>
        </w:rPr>
        <w:footnoteRef/>
      </w:r>
      <w:r>
        <w:t xml:space="preserve"> </w:t>
      </w:r>
      <w:r w:rsidRPr="006247E0">
        <w:t>Ebert &amp; Nortmann, 131.</w:t>
      </w:r>
    </w:p>
  </w:footnote>
  <w:footnote w:id="60">
    <w:p w14:paraId="325F72AC" w14:textId="205B4A06" w:rsidR="006247E0" w:rsidRPr="009C12D1" w:rsidRDefault="006247E0">
      <w:pPr>
        <w:pStyle w:val="FootnoteText"/>
        <w:rPr>
          <w:lang w:val="en-US"/>
        </w:rPr>
      </w:pPr>
      <w:r>
        <w:rPr>
          <w:rStyle w:val="FootnoteReference"/>
        </w:rPr>
        <w:footnoteRef/>
      </w:r>
      <w:r>
        <w:t xml:space="preserve"> </w:t>
      </w:r>
      <w:r w:rsidRPr="006247E0">
        <w:t xml:space="preserve">See the testimony of Ammonius, </w:t>
      </w:r>
      <w:r w:rsidRPr="00654325">
        <w:rPr>
          <w:i/>
          <w:iCs/>
        </w:rPr>
        <w:t>Commentary on the Prior Analytics</w:t>
      </w:r>
      <w:r w:rsidRPr="006247E0">
        <w:t xml:space="preserve"> 31, 15–18. On the authenticity of this work, which concerns </w:t>
      </w:r>
      <w:r w:rsidRPr="00654325">
        <w:rPr>
          <w:i/>
          <w:iCs/>
        </w:rPr>
        <w:t>Prior Analytics</w:t>
      </w:r>
      <w:r w:rsidRPr="006247E0">
        <w:t xml:space="preserve"> I.9–46, see Ebert &amp; Nortmann, 130. Edition in CAG XXIII, 3.</w:t>
      </w:r>
    </w:p>
  </w:footnote>
  <w:footnote w:id="61">
    <w:p w14:paraId="7C80C657" w14:textId="74D5BBB5" w:rsidR="006247E0" w:rsidRPr="009C12D1" w:rsidRDefault="006247E0">
      <w:pPr>
        <w:pStyle w:val="FootnoteText"/>
        <w:rPr>
          <w:lang w:val="en-US"/>
        </w:rPr>
      </w:pPr>
      <w:r>
        <w:rPr>
          <w:rStyle w:val="FootnoteReference"/>
        </w:rPr>
        <w:footnoteRef/>
      </w:r>
      <w:r>
        <w:t xml:space="preserve"> </w:t>
      </w:r>
      <w:r w:rsidRPr="006247E0">
        <w:t xml:space="preserve">Written between 511 and 515. The relation between the two works is not clear. </w:t>
      </w:r>
      <w:r w:rsidRPr="00654325">
        <w:rPr>
          <w:i/>
          <w:iCs/>
        </w:rPr>
        <w:t>De syllogismo categorico</w:t>
      </w:r>
      <w:r w:rsidRPr="006247E0">
        <w:t xml:space="preserve"> discusses material from </w:t>
      </w:r>
      <w:r w:rsidRPr="00654325">
        <w:rPr>
          <w:i/>
          <w:iCs/>
        </w:rPr>
        <w:t>On Interpretation</w:t>
      </w:r>
      <w:r w:rsidRPr="006247E0">
        <w:t xml:space="preserve"> (in the first book) and from the </w:t>
      </w:r>
      <w:r w:rsidRPr="00654325">
        <w:rPr>
          <w:i/>
          <w:iCs/>
        </w:rPr>
        <w:t>Prior Analytics</w:t>
      </w:r>
      <w:r w:rsidRPr="006247E0">
        <w:t xml:space="preserve"> (in the second). See Ebbesen 1990 and Shiel 1958.</w:t>
      </w:r>
    </w:p>
  </w:footnote>
  <w:footnote w:id="62">
    <w:p w14:paraId="0BECFA89" w14:textId="57D819E9" w:rsidR="006247E0" w:rsidRPr="006247E0" w:rsidRDefault="006247E0">
      <w:pPr>
        <w:pStyle w:val="FootnoteText"/>
        <w:rPr>
          <w:lang w:val="en-US"/>
        </w:rPr>
      </w:pPr>
      <w:r>
        <w:rPr>
          <w:rStyle w:val="FootnoteReference"/>
        </w:rPr>
        <w:footnoteRef/>
      </w:r>
      <w:r>
        <w:t xml:space="preserve"> </w:t>
      </w:r>
      <w:r w:rsidRPr="006247E0">
        <w:t>See Asztalos 1993. On Abelard’s logic, see Kneale &amp; Kneale 1962, 203–224.</w:t>
      </w:r>
    </w:p>
  </w:footnote>
  <w:footnote w:id="63">
    <w:p w14:paraId="42853356" w14:textId="5FE9DDFA" w:rsidR="006247E0" w:rsidRPr="009C12D1" w:rsidRDefault="006247E0">
      <w:pPr>
        <w:pStyle w:val="FootnoteText"/>
        <w:rPr>
          <w:lang w:val="en-US"/>
        </w:rPr>
      </w:pPr>
      <w:r>
        <w:rPr>
          <w:rStyle w:val="FootnoteReference"/>
        </w:rPr>
        <w:footnoteRef/>
      </w:r>
      <w:r>
        <w:t xml:space="preserve"> </w:t>
      </w:r>
      <w:r w:rsidRPr="006247E0">
        <w:t>See Ebert &amp; Nortmann, 143–144.</w:t>
      </w:r>
    </w:p>
  </w:footnote>
  <w:footnote w:id="64">
    <w:p w14:paraId="3733A528" w14:textId="32C8DC8A" w:rsidR="006247E0" w:rsidRPr="006247E0" w:rsidRDefault="006247E0">
      <w:pPr>
        <w:pStyle w:val="FootnoteText"/>
        <w:rPr>
          <w:lang w:val="en-US"/>
        </w:rPr>
      </w:pPr>
      <w:r>
        <w:rPr>
          <w:rStyle w:val="FootnoteReference"/>
        </w:rPr>
        <w:footnoteRef/>
      </w:r>
      <w:r>
        <w:t xml:space="preserve"> </w:t>
      </w:r>
      <w:r w:rsidRPr="006247E0">
        <w:t>See Minio-Paluello 1957; Ebert &amp; Nortmann, 143–145.</w:t>
      </w:r>
    </w:p>
  </w:footnote>
  <w:footnote w:id="65">
    <w:p w14:paraId="6974F595" w14:textId="6C830C31" w:rsidR="006247E0" w:rsidRPr="009C12D1" w:rsidRDefault="006247E0">
      <w:pPr>
        <w:pStyle w:val="FootnoteText"/>
        <w:rPr>
          <w:lang w:val="en-US"/>
        </w:rPr>
      </w:pPr>
      <w:r>
        <w:rPr>
          <w:rStyle w:val="FootnoteReference"/>
        </w:rPr>
        <w:footnoteRef/>
      </w:r>
      <w:r>
        <w:t xml:space="preserve"> </w:t>
      </w:r>
      <w:r w:rsidRPr="006247E0">
        <w:t>See Ebbesen 1981; Ebbesen 2005; Thörnquist 2010.</w:t>
      </w:r>
    </w:p>
  </w:footnote>
  <w:footnote w:id="66">
    <w:p w14:paraId="7B21AD65" w14:textId="074D6F20" w:rsidR="006247E0" w:rsidRPr="009C12D1" w:rsidRDefault="006247E0">
      <w:pPr>
        <w:pStyle w:val="FootnoteText"/>
        <w:rPr>
          <w:lang w:val="en-US"/>
        </w:rPr>
      </w:pPr>
      <w:r>
        <w:rPr>
          <w:rStyle w:val="FootnoteReference"/>
        </w:rPr>
        <w:footnoteRef/>
      </w:r>
      <w:r>
        <w:t xml:space="preserve"> </w:t>
      </w:r>
      <w:r w:rsidRPr="006247E0">
        <w:t>See Benakis 1988.</w:t>
      </w:r>
    </w:p>
  </w:footnote>
  <w:footnote w:id="67">
    <w:p w14:paraId="0175F54B" w14:textId="7F64C18A" w:rsidR="00DE4057" w:rsidRPr="009C12D1" w:rsidRDefault="00DE4057">
      <w:pPr>
        <w:pStyle w:val="FootnoteText"/>
        <w:rPr>
          <w:lang w:val="en-US"/>
        </w:rPr>
      </w:pPr>
      <w:r>
        <w:rPr>
          <w:rStyle w:val="FootnoteReference"/>
        </w:rPr>
        <w:footnoteRef/>
      </w:r>
      <w:r>
        <w:t xml:space="preserve"> </w:t>
      </w:r>
      <w:r w:rsidRPr="00DE4057">
        <w:t>See Barnes 2002.</w:t>
      </w:r>
    </w:p>
  </w:footnote>
  <w:footnote w:id="68">
    <w:p w14:paraId="5D17ED86" w14:textId="648E775A" w:rsidR="00DE4057" w:rsidRPr="00DE4057" w:rsidRDefault="00DE4057">
      <w:pPr>
        <w:pStyle w:val="FootnoteText"/>
        <w:rPr>
          <w:lang w:val="en-US"/>
        </w:rPr>
      </w:pPr>
      <w:r>
        <w:rPr>
          <w:rStyle w:val="FootnoteReference"/>
        </w:rPr>
        <w:footnoteRef/>
      </w:r>
      <w:r>
        <w:t xml:space="preserve"> </w:t>
      </w:r>
      <w:r w:rsidRPr="00DE4057">
        <w:t>See Benakis 1988, 8.</w:t>
      </w:r>
    </w:p>
  </w:footnote>
  <w:footnote w:id="69">
    <w:p w14:paraId="5C61D81F" w14:textId="0598B040" w:rsidR="00DE4057" w:rsidRPr="00DE4057" w:rsidRDefault="00DE4057">
      <w:pPr>
        <w:pStyle w:val="FootnoteText"/>
        <w:rPr>
          <w:lang w:val="en-US"/>
        </w:rPr>
      </w:pPr>
      <w:r>
        <w:rPr>
          <w:rStyle w:val="FootnoteReference"/>
        </w:rPr>
        <w:footnoteRef/>
      </w:r>
      <w:r>
        <w:t xml:space="preserve"> </w:t>
      </w:r>
      <w:r w:rsidRPr="00DE4057">
        <w:t>Published in 1520 in Paris.</w:t>
      </w:r>
    </w:p>
  </w:footnote>
  <w:footnote w:id="70">
    <w:p w14:paraId="200ED1D3" w14:textId="6BFFB3B6" w:rsidR="00DE4057" w:rsidRPr="00DE4057" w:rsidRDefault="00DE4057">
      <w:pPr>
        <w:pStyle w:val="FootnoteText"/>
        <w:rPr>
          <w:lang w:val="en-US"/>
        </w:rPr>
      </w:pPr>
      <w:r>
        <w:rPr>
          <w:rStyle w:val="FootnoteReference"/>
        </w:rPr>
        <w:footnoteRef/>
      </w:r>
      <w:r>
        <w:t xml:space="preserve"> </w:t>
      </w:r>
      <w:r w:rsidRPr="00DE4057">
        <w:t>See Ebert &amp; Nortmann, 151–154.</w:t>
      </w:r>
    </w:p>
  </w:footnote>
  <w:footnote w:id="71">
    <w:p w14:paraId="7C7400F0" w14:textId="5314F9D3" w:rsidR="00DE4057" w:rsidRPr="00DE4057" w:rsidRDefault="00DE4057">
      <w:pPr>
        <w:pStyle w:val="FootnoteText"/>
        <w:rPr>
          <w:lang w:val="en-US"/>
        </w:rPr>
      </w:pPr>
      <w:r>
        <w:rPr>
          <w:rStyle w:val="FootnoteReference"/>
        </w:rPr>
        <w:footnoteRef/>
      </w:r>
      <w:r>
        <w:t xml:space="preserve"> </w:t>
      </w:r>
      <w:r w:rsidRPr="00DE4057">
        <w:t>See Kneale &amp; Kneale 1962, 306–307.</w:t>
      </w:r>
    </w:p>
  </w:footnote>
  <w:footnote w:id="72">
    <w:p w14:paraId="52B8D0AF" w14:textId="790F6575" w:rsidR="00DE4057" w:rsidRPr="00DE4057" w:rsidRDefault="00DE4057">
      <w:pPr>
        <w:pStyle w:val="FootnoteText"/>
        <w:rPr>
          <w:lang w:val="en-US"/>
        </w:rPr>
      </w:pPr>
      <w:r>
        <w:rPr>
          <w:rStyle w:val="FootnoteReference"/>
        </w:rPr>
        <w:footnoteRef/>
      </w:r>
      <w:r>
        <w:t xml:space="preserve"> </w:t>
      </w:r>
      <w:r w:rsidRPr="00DE4057">
        <w:t>See Ebert &amp; Nortmann 2007, 154–155.</w:t>
      </w:r>
    </w:p>
  </w:footnote>
  <w:footnote w:id="73">
    <w:p w14:paraId="7B508414" w14:textId="5220992B" w:rsidR="00DE4057" w:rsidRPr="00DE4057" w:rsidRDefault="00DE4057">
      <w:pPr>
        <w:pStyle w:val="FootnoteText"/>
        <w:rPr>
          <w:lang w:val="en-US"/>
        </w:rPr>
      </w:pPr>
      <w:r>
        <w:rPr>
          <w:rStyle w:val="FootnoteReference"/>
        </w:rPr>
        <w:footnoteRef/>
      </w:r>
      <w:r>
        <w:t xml:space="preserve"> </w:t>
      </w:r>
      <w:r w:rsidRPr="00DE4057">
        <w:t>Locke, Essay, IV, ch. 17.</w:t>
      </w:r>
    </w:p>
  </w:footnote>
  <w:footnote w:id="74">
    <w:p w14:paraId="76A53CF6" w14:textId="5D8F4E03" w:rsidR="00DE4057" w:rsidRPr="00DE4057" w:rsidRDefault="00DE4057">
      <w:pPr>
        <w:pStyle w:val="FootnoteText"/>
        <w:rPr>
          <w:lang w:val="en-US"/>
        </w:rPr>
      </w:pPr>
      <w:r>
        <w:rPr>
          <w:rStyle w:val="FootnoteReference"/>
        </w:rPr>
        <w:footnoteRef/>
      </w:r>
      <w:r>
        <w:t xml:space="preserve"> </w:t>
      </w:r>
      <w:r w:rsidRPr="00DE4057">
        <w:t>See Ebert &amp; Nortmann, 165–168.</w:t>
      </w:r>
    </w:p>
  </w:footnote>
  <w:footnote w:id="75">
    <w:p w14:paraId="4AD85A48" w14:textId="31EA4537" w:rsidR="00760D5E" w:rsidRPr="00760D5E" w:rsidRDefault="00760D5E">
      <w:pPr>
        <w:pStyle w:val="FootnoteText"/>
        <w:rPr>
          <w:lang w:val="en-US"/>
        </w:rPr>
      </w:pPr>
      <w:r>
        <w:rPr>
          <w:rStyle w:val="FootnoteReference"/>
        </w:rPr>
        <w:footnoteRef/>
      </w:r>
      <w:r>
        <w:t xml:space="preserve"> </w:t>
      </w:r>
      <w:r w:rsidRPr="00760D5E">
        <w:t xml:space="preserve">Hegel accepts Aristotelian syllogistic and presents it in his </w:t>
      </w:r>
      <w:r w:rsidRPr="00654325">
        <w:rPr>
          <w:i/>
          <w:iCs/>
        </w:rPr>
        <w:t>Wissenschaft der Logik</w:t>
      </w:r>
      <w:r w:rsidRPr="00760D5E">
        <w:t>. See Ebert &amp; Nortmann, 169–176.</w:t>
      </w:r>
    </w:p>
  </w:footnote>
  <w:footnote w:id="76">
    <w:p w14:paraId="25C6CABF" w14:textId="79BF5C94" w:rsidR="00760D5E" w:rsidRPr="00760D5E" w:rsidRDefault="00760D5E">
      <w:pPr>
        <w:pStyle w:val="FootnoteText"/>
        <w:rPr>
          <w:lang w:val="en-US"/>
        </w:rPr>
      </w:pPr>
      <w:r>
        <w:rPr>
          <w:rStyle w:val="FootnoteReference"/>
        </w:rPr>
        <w:footnoteRef/>
      </w:r>
      <w:r>
        <w:t xml:space="preserve"> </w:t>
      </w:r>
      <w:r w:rsidRPr="00760D5E">
        <w:t>See the articles in the volume Verburgt – Cosci 2023.</w:t>
      </w:r>
    </w:p>
  </w:footnote>
  <w:footnote w:id="77">
    <w:p w14:paraId="295B36BF" w14:textId="7A37AFDA" w:rsidR="00760D5E" w:rsidRPr="00760D5E" w:rsidRDefault="00760D5E">
      <w:pPr>
        <w:pStyle w:val="FootnoteText"/>
        <w:rPr>
          <w:lang w:val="en-US"/>
        </w:rPr>
      </w:pPr>
      <w:r>
        <w:rPr>
          <w:rStyle w:val="FootnoteReference"/>
        </w:rPr>
        <w:footnoteRef/>
      </w:r>
      <w:r>
        <w:t xml:space="preserve"> </w:t>
      </w:r>
      <w:r w:rsidRPr="00760D5E">
        <w:t>That is, for Łukasiewicz, a syllogism of the Barbara type constitutes a hypothetical proposition of the form: “If AaB and BaΓ, then AaΓ.” This view was criticized by Corcoran and Smiley.</w:t>
      </w:r>
    </w:p>
  </w:footnote>
  <w:footnote w:id="78">
    <w:p w14:paraId="419A43D5" w14:textId="62C368D1" w:rsidR="00760D5E" w:rsidRPr="00760D5E" w:rsidRDefault="00760D5E">
      <w:pPr>
        <w:pStyle w:val="FootnoteText"/>
        <w:rPr>
          <w:lang w:val="en-US"/>
        </w:rPr>
      </w:pPr>
      <w:r>
        <w:rPr>
          <w:rStyle w:val="FootnoteReference"/>
        </w:rPr>
        <w:footnoteRef/>
      </w:r>
      <w:r>
        <w:t xml:space="preserve"> </w:t>
      </w:r>
      <w:r w:rsidRPr="00760D5E">
        <w:t>See Frede 1974; Striker 1979, 1985, 1994, 1996, 2009, 2022.</w:t>
      </w:r>
    </w:p>
  </w:footnote>
  <w:footnote w:id="79">
    <w:p w14:paraId="5A2F0C41" w14:textId="38D215CF" w:rsidR="00760D5E" w:rsidRPr="00760D5E" w:rsidRDefault="00760D5E">
      <w:pPr>
        <w:pStyle w:val="FootnoteText"/>
        <w:rPr>
          <w:lang w:val="en-US"/>
        </w:rPr>
      </w:pPr>
      <w:r>
        <w:rPr>
          <w:rStyle w:val="FootnoteReference"/>
        </w:rPr>
        <w:footnoteRef/>
      </w:r>
      <w:r>
        <w:t xml:space="preserve"> </w:t>
      </w:r>
      <w:r w:rsidRPr="00760D5E">
        <w:t>See in particular Malink 2013a and the review by J. Rosen in the Notre Dame Philosophical Review (2014), available online.</w:t>
      </w:r>
    </w:p>
  </w:footnote>
  <w:footnote w:id="80">
    <w:p w14:paraId="18190657" w14:textId="1924AE20" w:rsidR="00760D5E" w:rsidRPr="00B22C13" w:rsidRDefault="00760D5E">
      <w:pPr>
        <w:pStyle w:val="FootnoteText"/>
      </w:pPr>
      <w:r>
        <w:rPr>
          <w:rStyle w:val="FootnoteReference"/>
        </w:rPr>
        <w:footnoteRef/>
      </w:r>
      <w:r>
        <w:t xml:space="preserve"> </w:t>
      </w:r>
      <w:r w:rsidR="00B22C13" w:rsidRPr="00B22C13">
        <w:t>See Williams 1984; cf. also Ebert &amp; Nortmann, 176–179.</w:t>
      </w:r>
    </w:p>
  </w:footnote>
  <w:footnote w:id="81">
    <w:p w14:paraId="59CD9B2B" w14:textId="0CF38063" w:rsidR="00760D5E" w:rsidRPr="00760D5E" w:rsidRDefault="00760D5E">
      <w:pPr>
        <w:pStyle w:val="FootnoteText"/>
        <w:rPr>
          <w:lang w:val="en-US"/>
        </w:rPr>
      </w:pPr>
      <w:r>
        <w:rPr>
          <w:rStyle w:val="FootnoteReference"/>
        </w:rPr>
        <w:footnoteRef/>
      </w:r>
      <w:r>
        <w:t xml:space="preserve"> </w:t>
      </w:r>
      <w:r w:rsidRPr="00760D5E">
        <w:t>See Harlfinger 1980, which also provides a general survey of the manuscript tradition of Aristotelian works.</w:t>
      </w:r>
    </w:p>
  </w:footnote>
  <w:footnote w:id="82">
    <w:p w14:paraId="1BE5358E" w14:textId="7608E825" w:rsidR="00B22C13" w:rsidRPr="00B22C13" w:rsidRDefault="00B22C13">
      <w:pPr>
        <w:pStyle w:val="FootnoteText"/>
        <w:rPr>
          <w:lang w:val="en-US"/>
        </w:rPr>
      </w:pPr>
      <w:r>
        <w:rPr>
          <w:rStyle w:val="FootnoteReference"/>
        </w:rPr>
        <w:footnoteRef/>
      </w:r>
      <w:r>
        <w:t xml:space="preserve"> </w:t>
      </w:r>
      <w:r w:rsidRPr="00B22C13">
        <w:t>Williams 1984</w:t>
      </w:r>
      <w:r>
        <w:t>.</w:t>
      </w:r>
    </w:p>
  </w:footnote>
  <w:footnote w:id="83">
    <w:p w14:paraId="2D8FDEE9" w14:textId="4DA2C432" w:rsidR="00B22C13" w:rsidRPr="00B22C13" w:rsidRDefault="00B22C13">
      <w:pPr>
        <w:pStyle w:val="FootnoteText"/>
        <w:rPr>
          <w:lang w:val="en-US"/>
        </w:rPr>
      </w:pPr>
      <w:r>
        <w:rPr>
          <w:rStyle w:val="FootnoteReference"/>
        </w:rPr>
        <w:footnoteRef/>
      </w:r>
      <w:r>
        <w:t xml:space="preserve"> </w:t>
      </w:r>
      <w:r w:rsidRPr="00B22C13">
        <w:t>See Strobach-Malink 2015, 54–58.</w:t>
      </w:r>
    </w:p>
  </w:footnote>
  <w:footnote w:id="84">
    <w:p w14:paraId="23C9ECE7" w14:textId="4122230A" w:rsidR="00B22C13" w:rsidRPr="00B22C13" w:rsidRDefault="00B22C13">
      <w:pPr>
        <w:pStyle w:val="FootnoteText"/>
        <w:rPr>
          <w:lang w:val="en-US"/>
        </w:rPr>
      </w:pPr>
      <w:r>
        <w:rPr>
          <w:rStyle w:val="FootnoteReference"/>
        </w:rPr>
        <w:footnoteRef/>
      </w:r>
      <w:r>
        <w:t xml:space="preserve"> </w:t>
      </w:r>
      <w:r w:rsidRPr="00B22C13">
        <w:t>On this issue, see Malink 2008.</w:t>
      </w:r>
    </w:p>
  </w:footnote>
  <w:footnote w:id="85">
    <w:p w14:paraId="065441BA" w14:textId="04DAE258" w:rsidR="00B22C13" w:rsidRPr="00B22C13" w:rsidRDefault="00B22C13">
      <w:pPr>
        <w:pStyle w:val="FootnoteText"/>
        <w:rPr>
          <w:lang w:val="en-US"/>
        </w:rPr>
      </w:pPr>
      <w:r>
        <w:rPr>
          <w:rStyle w:val="FootnoteReference"/>
        </w:rPr>
        <w:footnoteRef/>
      </w:r>
      <w:r>
        <w:t xml:space="preserve"> </w:t>
      </w:r>
      <w:r w:rsidR="00E41C9B" w:rsidRPr="00E41C9B">
        <w:t>See Ross 1957, 89–90, and especially Minio-Paluello 1957; cf. Burnett 1993.</w:t>
      </w:r>
    </w:p>
  </w:footnote>
  <w:footnote w:id="86">
    <w:p w14:paraId="37D326BD" w14:textId="746270D7" w:rsidR="00E41C9B" w:rsidRPr="00E41C9B" w:rsidRDefault="00E41C9B">
      <w:pPr>
        <w:pStyle w:val="FootnoteText"/>
        <w:rPr>
          <w:lang w:val="en-US"/>
        </w:rPr>
      </w:pPr>
      <w:r>
        <w:rPr>
          <w:rStyle w:val="FootnoteReference"/>
        </w:rPr>
        <w:footnoteRef/>
      </w:r>
      <w:r>
        <w:t xml:space="preserve"> </w:t>
      </w:r>
      <w:r w:rsidRPr="00E41C9B">
        <w:t xml:space="preserve">Cicero is the first to use the term, evidently translating πρότασις, in </w:t>
      </w:r>
      <w:r w:rsidRPr="00654325">
        <w:rPr>
          <w:i/>
          <w:iCs/>
        </w:rPr>
        <w:t>De inventione</w:t>
      </w:r>
      <w:r w:rsidRPr="00E41C9B">
        <w:t xml:space="preserve"> I.57. On the term πρότασις in the </w:t>
      </w:r>
      <w:r w:rsidRPr="00654325">
        <w:rPr>
          <w:i/>
          <w:iCs/>
        </w:rPr>
        <w:t>Prior Analytics</w:t>
      </w:r>
      <w:r w:rsidRPr="00E41C9B">
        <w:t>, see Crivelli – Charles 2011.</w:t>
      </w:r>
    </w:p>
  </w:footnote>
  <w:footnote w:id="87">
    <w:p w14:paraId="762E115F" w14:textId="3C17E100" w:rsidR="00E41C9B" w:rsidRPr="00E41C9B" w:rsidRDefault="00E41C9B">
      <w:pPr>
        <w:pStyle w:val="FootnoteText"/>
        <w:rPr>
          <w:lang w:val="en-US"/>
        </w:rPr>
      </w:pPr>
      <w:r>
        <w:rPr>
          <w:rStyle w:val="FootnoteReference"/>
        </w:rPr>
        <w:footnoteRef/>
      </w:r>
      <w:r>
        <w:t xml:space="preserve"> </w:t>
      </w:r>
      <w:r w:rsidRPr="00E41C9B">
        <w:t xml:space="preserve">Boethius translates </w:t>
      </w:r>
      <w:r w:rsidRPr="00E41C9B">
        <w:rPr>
          <w:rFonts w:ascii="Arial" w:hAnsi="Arial" w:cs="Arial"/>
        </w:rPr>
        <w:t>ἀ</w:t>
      </w:r>
      <w:r w:rsidRPr="00E41C9B">
        <w:t>διόριστος πρότασις as propositio indefinita. For a concise overview of Boethius’ translations of Aristotelian logical terminology, see Strobach-Malink 2015, 79.</w:t>
      </w:r>
    </w:p>
  </w:footnote>
  <w:footnote w:id="88">
    <w:p w14:paraId="18BAF1F8" w14:textId="053B5A05" w:rsidR="00E41C9B" w:rsidRPr="00E41C9B" w:rsidRDefault="00E41C9B">
      <w:pPr>
        <w:pStyle w:val="FootnoteText"/>
        <w:rPr>
          <w:lang w:val="en-US"/>
        </w:rPr>
      </w:pPr>
      <w:r>
        <w:rPr>
          <w:rStyle w:val="FootnoteReference"/>
        </w:rPr>
        <w:footnoteRef/>
      </w:r>
      <w:r>
        <w:t xml:space="preserve"> </w:t>
      </w:r>
      <w:r w:rsidRPr="00E41C9B">
        <w:t>Τ</w:t>
      </w:r>
      <w:r w:rsidRPr="00E41C9B">
        <w:rPr>
          <w:rFonts w:ascii="Arial" w:hAnsi="Arial" w:cs="Arial"/>
        </w:rPr>
        <w:t>ὸ</w:t>
      </w:r>
      <w:r w:rsidRPr="00E41C9B">
        <w:t xml:space="preserve"> δ</w:t>
      </w:r>
      <w:r w:rsidRPr="00E41C9B">
        <w:rPr>
          <w:rFonts w:ascii="Arial" w:hAnsi="Arial" w:cs="Arial"/>
        </w:rPr>
        <w:t>ὲ</w:t>
      </w:r>
      <w:r w:rsidRPr="00E41C9B">
        <w:t xml:space="preserve"> </w:t>
      </w:r>
      <w:r w:rsidRPr="00E41C9B">
        <w:rPr>
          <w:rFonts w:ascii="Arial" w:hAnsi="Arial" w:cs="Arial"/>
        </w:rPr>
        <w:t>ὑ</w:t>
      </w:r>
      <w:r w:rsidRPr="00E41C9B">
        <w:t>πάρχειν τ</w:t>
      </w:r>
      <w:r w:rsidRPr="00E41C9B">
        <w:rPr>
          <w:rFonts w:ascii="Arial" w:hAnsi="Arial" w:cs="Arial"/>
        </w:rPr>
        <w:t>ὸ</w:t>
      </w:r>
      <w:r w:rsidRPr="00E41C9B">
        <w:t xml:space="preserve"> πρ</w:t>
      </w:r>
      <w:r w:rsidRPr="00E41C9B">
        <w:rPr>
          <w:rFonts w:ascii="Arial" w:hAnsi="Arial" w:cs="Arial"/>
        </w:rPr>
        <w:t>ῶ</w:t>
      </w:r>
      <w:r w:rsidRPr="00E41C9B">
        <w:t>τον τ</w:t>
      </w:r>
      <w:r w:rsidRPr="00E41C9B">
        <w:rPr>
          <w:rFonts w:ascii="Arial" w:hAnsi="Arial" w:cs="Arial"/>
        </w:rPr>
        <w:t>ῷ</w:t>
      </w:r>
      <w:r w:rsidRPr="00E41C9B">
        <w:t xml:space="preserve"> μέσ</w:t>
      </w:r>
      <w:r w:rsidRPr="00E41C9B">
        <w:rPr>
          <w:rFonts w:ascii="Arial" w:hAnsi="Arial" w:cs="Arial"/>
        </w:rPr>
        <w:t>ῳ</w:t>
      </w:r>
      <w:r w:rsidRPr="00E41C9B">
        <w:t xml:space="preserve"> κα</w:t>
      </w:r>
      <w:r w:rsidRPr="00E41C9B">
        <w:rPr>
          <w:rFonts w:ascii="Arial" w:hAnsi="Arial" w:cs="Arial"/>
        </w:rPr>
        <w:t>ὶ</w:t>
      </w:r>
      <w:r w:rsidRPr="00E41C9B">
        <w:t xml:space="preserve"> το</w:t>
      </w:r>
      <w:r w:rsidRPr="00E41C9B">
        <w:rPr>
          <w:rFonts w:ascii="Arial" w:hAnsi="Arial" w:cs="Arial"/>
        </w:rPr>
        <w:t>ῦ</w:t>
      </w:r>
      <w:r w:rsidRPr="00E41C9B">
        <w:t>το τ</w:t>
      </w:r>
      <w:r w:rsidRPr="00E41C9B">
        <w:rPr>
          <w:rFonts w:ascii="Arial" w:hAnsi="Arial" w:cs="Arial"/>
        </w:rPr>
        <w:t>ῷ</w:t>
      </w:r>
      <w:r w:rsidRPr="00E41C9B">
        <w:t xml:space="preserve"> </w:t>
      </w:r>
      <w:r w:rsidRPr="00E41C9B">
        <w:rPr>
          <w:rFonts w:ascii="Arial" w:hAnsi="Arial" w:cs="Arial"/>
        </w:rPr>
        <w:t>ἄ</w:t>
      </w:r>
      <w:r w:rsidRPr="00E41C9B">
        <w:t>κρ</w:t>
      </w:r>
      <w:r w:rsidRPr="00E41C9B">
        <w:rPr>
          <w:rFonts w:ascii="Arial" w:hAnsi="Arial" w:cs="Arial"/>
        </w:rPr>
        <w:t>ῳ</w:t>
      </w:r>
      <w:r w:rsidRPr="00E41C9B">
        <w:t xml:space="preserve"> ο</w:t>
      </w:r>
      <w:r w:rsidRPr="00E41C9B">
        <w:rPr>
          <w:rFonts w:ascii="Arial" w:hAnsi="Arial" w:cs="Arial"/>
        </w:rPr>
        <w:t>ὐ</w:t>
      </w:r>
      <w:r w:rsidRPr="00E41C9B">
        <w:t xml:space="preserve"> δε</w:t>
      </w:r>
      <w:r w:rsidRPr="00E41C9B">
        <w:rPr>
          <w:rFonts w:ascii="Arial" w:hAnsi="Arial" w:cs="Arial"/>
        </w:rPr>
        <w:t>ῖ</w:t>
      </w:r>
      <w:r w:rsidRPr="00E41C9B">
        <w:t xml:space="preserve"> λαμβάνειν </w:t>
      </w:r>
      <w:r w:rsidRPr="00E41C9B">
        <w:rPr>
          <w:rFonts w:ascii="Arial" w:hAnsi="Arial" w:cs="Arial"/>
        </w:rPr>
        <w:t>ὡ</w:t>
      </w:r>
      <w:r w:rsidRPr="00E41C9B">
        <w:t>ς α</w:t>
      </w:r>
      <w:r w:rsidRPr="00E41C9B">
        <w:rPr>
          <w:rFonts w:ascii="Arial" w:hAnsi="Arial" w:cs="Arial"/>
        </w:rPr>
        <w:t>ἰ</w:t>
      </w:r>
      <w:r w:rsidRPr="00E41C9B">
        <w:t>ε</w:t>
      </w:r>
      <w:r w:rsidRPr="00E41C9B">
        <w:rPr>
          <w:rFonts w:ascii="Arial" w:hAnsi="Arial" w:cs="Arial"/>
        </w:rPr>
        <w:t>ὶ</w:t>
      </w:r>
      <w:r w:rsidRPr="00E41C9B">
        <w:t xml:space="preserve"> κατηγορηθησομένων </w:t>
      </w:r>
      <w:r w:rsidRPr="00E41C9B">
        <w:rPr>
          <w:rFonts w:ascii="Arial" w:hAnsi="Arial" w:cs="Arial"/>
        </w:rPr>
        <w:t>ἀ</w:t>
      </w:r>
      <w:r w:rsidRPr="00E41C9B">
        <w:t xml:space="preserve">λλήλων </w:t>
      </w:r>
      <w:r w:rsidRPr="00E41C9B">
        <w:rPr>
          <w:rFonts w:ascii="Arial" w:hAnsi="Arial" w:cs="Arial"/>
        </w:rPr>
        <w:t>ἢ</w:t>
      </w:r>
      <w:r w:rsidRPr="00E41C9B">
        <w:t xml:space="preserve"> </w:t>
      </w:r>
      <w:r w:rsidRPr="00E41C9B">
        <w:rPr>
          <w:rFonts w:ascii="Arial" w:hAnsi="Arial" w:cs="Arial"/>
        </w:rPr>
        <w:t>ὁ</w:t>
      </w:r>
      <w:r w:rsidRPr="00E41C9B">
        <w:t>μοίως τό τε πρ</w:t>
      </w:r>
      <w:r w:rsidRPr="00E41C9B">
        <w:rPr>
          <w:rFonts w:ascii="Arial" w:hAnsi="Arial" w:cs="Arial"/>
        </w:rPr>
        <w:t>ῶ</w:t>
      </w:r>
      <w:r w:rsidRPr="00E41C9B">
        <w:t>τον το</w:t>
      </w:r>
      <w:r w:rsidRPr="00E41C9B">
        <w:rPr>
          <w:rFonts w:ascii="Arial" w:hAnsi="Arial" w:cs="Arial"/>
        </w:rPr>
        <w:t>ῦ</w:t>
      </w:r>
      <w:r w:rsidRPr="00E41C9B">
        <w:t xml:space="preserve"> μέσου κα</w:t>
      </w:r>
      <w:r w:rsidRPr="00E41C9B">
        <w:rPr>
          <w:rFonts w:ascii="Arial" w:hAnsi="Arial" w:cs="Arial"/>
        </w:rPr>
        <w:t>ὶ</w:t>
      </w:r>
      <w:r w:rsidRPr="00E41C9B">
        <w:t xml:space="preserve"> το</w:t>
      </w:r>
      <w:r w:rsidRPr="00E41C9B">
        <w:rPr>
          <w:rFonts w:ascii="Arial" w:hAnsi="Arial" w:cs="Arial"/>
        </w:rPr>
        <w:t>ῦ</w:t>
      </w:r>
      <w:r w:rsidRPr="00E41C9B">
        <w:t>το το</w:t>
      </w:r>
      <w:r w:rsidRPr="00E41C9B">
        <w:rPr>
          <w:rFonts w:ascii="Arial" w:hAnsi="Arial" w:cs="Arial"/>
        </w:rPr>
        <w:t>ῦ</w:t>
      </w:r>
      <w:r w:rsidRPr="00E41C9B">
        <w:t xml:space="preserve"> </w:t>
      </w:r>
      <w:r w:rsidRPr="00E41C9B">
        <w:rPr>
          <w:rFonts w:ascii="Arial" w:hAnsi="Arial" w:cs="Arial"/>
        </w:rPr>
        <w:t>ἐ</w:t>
      </w:r>
      <w:r w:rsidRPr="00E41C9B">
        <w:t>σχάτου. κα</w:t>
      </w:r>
      <w:r w:rsidRPr="00E41C9B">
        <w:rPr>
          <w:rFonts w:ascii="Arial" w:hAnsi="Arial" w:cs="Arial"/>
        </w:rPr>
        <w:t>ὶ</w:t>
      </w:r>
      <w:r w:rsidRPr="00E41C9B">
        <w:t xml:space="preserve"> </w:t>
      </w:r>
      <w:r w:rsidRPr="00E41C9B">
        <w:rPr>
          <w:rFonts w:ascii="Arial" w:hAnsi="Arial" w:cs="Arial"/>
        </w:rPr>
        <w:t>ἐ</w:t>
      </w:r>
      <w:r w:rsidRPr="00E41C9B">
        <w:t>π</w:t>
      </w:r>
      <w:r w:rsidRPr="00E41C9B">
        <w:rPr>
          <w:rFonts w:ascii="Arial" w:hAnsi="Arial" w:cs="Arial"/>
        </w:rPr>
        <w:t>ὶ</w:t>
      </w:r>
      <w:r w:rsidRPr="00E41C9B">
        <w:t xml:space="preserve"> το</w:t>
      </w:r>
      <w:r w:rsidRPr="00E41C9B">
        <w:rPr>
          <w:rFonts w:ascii="Arial" w:hAnsi="Arial" w:cs="Arial"/>
        </w:rPr>
        <w:t>ῦ</w:t>
      </w:r>
      <w:r w:rsidRPr="00E41C9B">
        <w:t xml:space="preserve"> μ</w:t>
      </w:r>
      <w:r w:rsidRPr="00E41C9B">
        <w:rPr>
          <w:rFonts w:ascii="Arial" w:hAnsi="Arial" w:cs="Arial"/>
        </w:rPr>
        <w:t>ὴ</w:t>
      </w:r>
      <w:r w:rsidRPr="00E41C9B">
        <w:t xml:space="preserve"> </w:t>
      </w:r>
      <w:r w:rsidRPr="00E41C9B">
        <w:rPr>
          <w:rFonts w:ascii="Arial" w:hAnsi="Arial" w:cs="Arial"/>
        </w:rPr>
        <w:t>ὑ</w:t>
      </w:r>
      <w:r w:rsidRPr="00E41C9B">
        <w:t>πάρχειν δ</w:t>
      </w:r>
      <w:r w:rsidRPr="00E41C9B">
        <w:rPr>
          <w:rFonts w:ascii="Arial" w:hAnsi="Arial" w:cs="Arial"/>
        </w:rPr>
        <w:t>᾽</w:t>
      </w:r>
      <w:r w:rsidRPr="00E41C9B">
        <w:t xml:space="preserve"> </w:t>
      </w:r>
      <w:r w:rsidRPr="00E41C9B">
        <w:rPr>
          <w:rFonts w:ascii="Arial" w:hAnsi="Arial" w:cs="Arial"/>
        </w:rPr>
        <w:t>ὡ</w:t>
      </w:r>
      <w:r w:rsidRPr="00E41C9B">
        <w:t xml:space="preserve">σαύτως.(48a40–b2). On </w:t>
      </w:r>
      <w:r w:rsidRPr="00E41C9B">
        <w:rPr>
          <w:rFonts w:ascii="Arial" w:hAnsi="Arial" w:cs="Arial"/>
        </w:rPr>
        <w:t>ὑ</w:t>
      </w:r>
      <w:r w:rsidRPr="00E41C9B">
        <w:t>πάρχειν, see Striker 2022, 92–93.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3182E"/>
    <w:multiLevelType w:val="multilevel"/>
    <w:tmpl w:val="A27C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A53E09"/>
    <w:multiLevelType w:val="multilevel"/>
    <w:tmpl w:val="497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296896">
    <w:abstractNumId w:val="1"/>
  </w:num>
  <w:num w:numId="2" w16cid:durableId="20725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BA"/>
    <w:rsid w:val="00020E6D"/>
    <w:rsid w:val="00147E85"/>
    <w:rsid w:val="00304420"/>
    <w:rsid w:val="0041172A"/>
    <w:rsid w:val="00482C18"/>
    <w:rsid w:val="004F337F"/>
    <w:rsid w:val="00523936"/>
    <w:rsid w:val="005700E9"/>
    <w:rsid w:val="005B7E45"/>
    <w:rsid w:val="006247E0"/>
    <w:rsid w:val="00654325"/>
    <w:rsid w:val="006741BA"/>
    <w:rsid w:val="00687287"/>
    <w:rsid w:val="006C377D"/>
    <w:rsid w:val="00760D5E"/>
    <w:rsid w:val="00761F8C"/>
    <w:rsid w:val="007C6417"/>
    <w:rsid w:val="00823B38"/>
    <w:rsid w:val="008F2E9F"/>
    <w:rsid w:val="0094796F"/>
    <w:rsid w:val="009C12D1"/>
    <w:rsid w:val="009E6126"/>
    <w:rsid w:val="00B07C7B"/>
    <w:rsid w:val="00B22C13"/>
    <w:rsid w:val="00D64CAF"/>
    <w:rsid w:val="00DE4057"/>
    <w:rsid w:val="00E3087D"/>
    <w:rsid w:val="00E41C9B"/>
    <w:rsid w:val="00E60BB7"/>
    <w:rsid w:val="00EF5B0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9920"/>
  <w15:chartTrackingRefBased/>
  <w15:docId w15:val="{1094B1FF-D7B7-B444-B68C-03D443A2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4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1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1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1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1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4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1BA"/>
    <w:rPr>
      <w:rFonts w:eastAsiaTheme="majorEastAsia" w:cstheme="majorBidi"/>
      <w:color w:val="272727" w:themeColor="text1" w:themeTint="D8"/>
    </w:rPr>
  </w:style>
  <w:style w:type="paragraph" w:styleId="Title">
    <w:name w:val="Title"/>
    <w:basedOn w:val="Normal"/>
    <w:next w:val="Normal"/>
    <w:link w:val="TitleChar"/>
    <w:uiPriority w:val="10"/>
    <w:qFormat/>
    <w:rsid w:val="006741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1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1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1BA"/>
    <w:rPr>
      <w:i/>
      <w:iCs/>
      <w:color w:val="404040" w:themeColor="text1" w:themeTint="BF"/>
    </w:rPr>
  </w:style>
  <w:style w:type="paragraph" w:styleId="ListParagraph">
    <w:name w:val="List Paragraph"/>
    <w:basedOn w:val="Normal"/>
    <w:uiPriority w:val="34"/>
    <w:qFormat/>
    <w:rsid w:val="006741BA"/>
    <w:pPr>
      <w:ind w:left="720"/>
      <w:contextualSpacing/>
    </w:pPr>
  </w:style>
  <w:style w:type="character" w:styleId="IntenseEmphasis">
    <w:name w:val="Intense Emphasis"/>
    <w:basedOn w:val="DefaultParagraphFont"/>
    <w:uiPriority w:val="21"/>
    <w:qFormat/>
    <w:rsid w:val="006741BA"/>
    <w:rPr>
      <w:i/>
      <w:iCs/>
      <w:color w:val="0F4761" w:themeColor="accent1" w:themeShade="BF"/>
    </w:rPr>
  </w:style>
  <w:style w:type="paragraph" w:styleId="IntenseQuote">
    <w:name w:val="Intense Quote"/>
    <w:basedOn w:val="Normal"/>
    <w:next w:val="Normal"/>
    <w:link w:val="IntenseQuoteChar"/>
    <w:uiPriority w:val="30"/>
    <w:qFormat/>
    <w:rsid w:val="00674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1BA"/>
    <w:rPr>
      <w:i/>
      <w:iCs/>
      <w:color w:val="0F4761" w:themeColor="accent1" w:themeShade="BF"/>
    </w:rPr>
  </w:style>
  <w:style w:type="character" w:styleId="IntenseReference">
    <w:name w:val="Intense Reference"/>
    <w:basedOn w:val="DefaultParagraphFont"/>
    <w:uiPriority w:val="32"/>
    <w:qFormat/>
    <w:rsid w:val="006741BA"/>
    <w:rPr>
      <w:b/>
      <w:bCs/>
      <w:smallCaps/>
      <w:color w:val="0F4761" w:themeColor="accent1" w:themeShade="BF"/>
      <w:spacing w:val="5"/>
    </w:rPr>
  </w:style>
  <w:style w:type="paragraph" w:styleId="NormalWeb">
    <w:name w:val="Normal (Web)"/>
    <w:basedOn w:val="Normal"/>
    <w:uiPriority w:val="99"/>
    <w:unhideWhenUsed/>
    <w:rsid w:val="006741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741BA"/>
  </w:style>
  <w:style w:type="character" w:styleId="Emphasis">
    <w:name w:val="Emphasis"/>
    <w:basedOn w:val="DefaultParagraphFont"/>
    <w:uiPriority w:val="20"/>
    <w:qFormat/>
    <w:rsid w:val="006741BA"/>
    <w:rPr>
      <w:i/>
      <w:iCs/>
    </w:rPr>
  </w:style>
  <w:style w:type="character" w:styleId="Strong">
    <w:name w:val="Strong"/>
    <w:basedOn w:val="DefaultParagraphFont"/>
    <w:uiPriority w:val="22"/>
    <w:qFormat/>
    <w:rsid w:val="00304420"/>
    <w:rPr>
      <w:b/>
      <w:bCs/>
    </w:rPr>
  </w:style>
  <w:style w:type="paragraph" w:styleId="Footer">
    <w:name w:val="footer"/>
    <w:basedOn w:val="Normal"/>
    <w:link w:val="FooterChar"/>
    <w:uiPriority w:val="99"/>
    <w:unhideWhenUsed/>
    <w:rsid w:val="00304420"/>
    <w:pPr>
      <w:tabs>
        <w:tab w:val="center" w:pos="4513"/>
        <w:tab w:val="right" w:pos="9026"/>
      </w:tabs>
    </w:pPr>
  </w:style>
  <w:style w:type="character" w:customStyle="1" w:styleId="FooterChar">
    <w:name w:val="Footer Char"/>
    <w:basedOn w:val="DefaultParagraphFont"/>
    <w:link w:val="Footer"/>
    <w:uiPriority w:val="99"/>
    <w:rsid w:val="00304420"/>
  </w:style>
  <w:style w:type="character" w:styleId="PageNumber">
    <w:name w:val="page number"/>
    <w:basedOn w:val="DefaultParagraphFont"/>
    <w:uiPriority w:val="99"/>
    <w:semiHidden/>
    <w:unhideWhenUsed/>
    <w:rsid w:val="00304420"/>
  </w:style>
  <w:style w:type="paragraph" w:styleId="FootnoteText">
    <w:name w:val="footnote text"/>
    <w:basedOn w:val="Normal"/>
    <w:link w:val="FootnoteTextChar"/>
    <w:uiPriority w:val="99"/>
    <w:semiHidden/>
    <w:unhideWhenUsed/>
    <w:rsid w:val="00D64CAF"/>
    <w:rPr>
      <w:sz w:val="20"/>
      <w:szCs w:val="20"/>
    </w:rPr>
  </w:style>
  <w:style w:type="character" w:customStyle="1" w:styleId="FootnoteTextChar">
    <w:name w:val="Footnote Text Char"/>
    <w:basedOn w:val="DefaultParagraphFont"/>
    <w:link w:val="FootnoteText"/>
    <w:uiPriority w:val="99"/>
    <w:semiHidden/>
    <w:rsid w:val="00D64CAF"/>
    <w:rPr>
      <w:sz w:val="20"/>
      <w:szCs w:val="20"/>
    </w:rPr>
  </w:style>
  <w:style w:type="character" w:styleId="FootnoteReference">
    <w:name w:val="footnote reference"/>
    <w:basedOn w:val="DefaultParagraphFont"/>
    <w:uiPriority w:val="99"/>
    <w:semiHidden/>
    <w:unhideWhenUsed/>
    <w:rsid w:val="00D64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D121-76C0-654F-AA8A-6CC2CD93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8390</Words>
  <Characters>47826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Kapantais Doukas</dc:creator>
  <cp:keywords/>
  <dc:description/>
  <cp:lastModifiedBy>Kapantais Doukas</cp:lastModifiedBy>
  <cp:revision>3</cp:revision>
  <dcterms:created xsi:type="dcterms:W3CDTF">2026-01-17T14:13:00Z</dcterms:created>
  <dcterms:modified xsi:type="dcterms:W3CDTF">2026-01-17T14:31:00Z</dcterms:modified>
</cp:coreProperties>
</file>