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B1" w:rsidRPr="00A455B1" w:rsidRDefault="00A455B1" w:rsidP="00A455B1">
      <w:pPr>
        <w:spacing w:line="210" w:lineRule="atLeast"/>
        <w:jc w:val="center"/>
        <w:rPr>
          <w:rFonts w:ascii="Courier New" w:eastAsia="Times New Roman" w:hAnsi="Courier New" w:cs="Courier New"/>
          <w:caps/>
          <w:color w:val="E7131A"/>
          <w:spacing w:val="14"/>
          <w:kern w:val="0"/>
          <w:sz w:val="20"/>
          <w:szCs w:val="20"/>
          <w:lang w:val="en-US" w:eastAsia="el-GR"/>
          <w14:ligatures w14:val="none"/>
        </w:rPr>
      </w:pPr>
      <w:r w:rsidRPr="00A455B1">
        <w:rPr>
          <w:rFonts w:ascii="Courier New" w:eastAsia="Times New Roman" w:hAnsi="Courier New" w:cs="Courier New"/>
          <w:caps/>
          <w:color w:val="E7131A"/>
          <w:spacing w:val="14"/>
          <w:kern w:val="0"/>
          <w:sz w:val="20"/>
          <w:szCs w:val="20"/>
          <w:lang w:eastAsia="el-GR"/>
          <w14:ligatures w14:val="none"/>
        </w:rPr>
        <w:fldChar w:fldCharType="begin"/>
      </w:r>
      <w:r w:rsidRPr="00A455B1">
        <w:rPr>
          <w:rFonts w:ascii="Courier New" w:eastAsia="Times New Roman" w:hAnsi="Courier New" w:cs="Courier New"/>
          <w:caps/>
          <w:color w:val="E7131A"/>
          <w:spacing w:val="14"/>
          <w:kern w:val="0"/>
          <w:sz w:val="20"/>
          <w:szCs w:val="20"/>
          <w:lang w:val="en-US" w:eastAsia="el-GR"/>
          <w14:ligatures w14:val="none"/>
        </w:rPr>
        <w:instrText xml:space="preserve"> HYPERLINK "https://www.theatlantic.com/ideas/" </w:instrText>
      </w:r>
      <w:r w:rsidRPr="00A455B1">
        <w:rPr>
          <w:rFonts w:ascii="Courier New" w:eastAsia="Times New Roman" w:hAnsi="Courier New" w:cs="Courier New"/>
          <w:caps/>
          <w:color w:val="E7131A"/>
          <w:spacing w:val="14"/>
          <w:kern w:val="0"/>
          <w:sz w:val="20"/>
          <w:szCs w:val="20"/>
          <w:lang w:eastAsia="el-GR"/>
          <w14:ligatures w14:val="none"/>
        </w:rPr>
        <w:fldChar w:fldCharType="separate"/>
      </w:r>
      <w:r w:rsidRPr="00A455B1">
        <w:rPr>
          <w:rFonts w:ascii="Courier New" w:eastAsia="Times New Roman" w:hAnsi="Courier New" w:cs="Courier New"/>
          <w:caps/>
          <w:color w:val="E7131A"/>
          <w:spacing w:val="14"/>
          <w:kern w:val="0"/>
          <w:sz w:val="20"/>
          <w:szCs w:val="20"/>
          <w:lang w:val="en-US" w:eastAsia="el-GR"/>
          <w14:ligatures w14:val="none"/>
        </w:rPr>
        <w:t>eas</w:t>
      </w:r>
      <w:r w:rsidRPr="00A455B1">
        <w:rPr>
          <w:rFonts w:ascii="Courier New" w:eastAsia="Times New Roman" w:hAnsi="Courier New" w:cs="Courier New"/>
          <w:caps/>
          <w:color w:val="E7131A"/>
          <w:spacing w:val="14"/>
          <w:kern w:val="0"/>
          <w:sz w:val="20"/>
          <w:szCs w:val="20"/>
          <w:lang w:eastAsia="el-GR"/>
          <w14:ligatures w14:val="none"/>
        </w:rPr>
        <w:fldChar w:fldCharType="end"/>
      </w:r>
    </w:p>
    <w:p w:rsidR="00A455B1" w:rsidRPr="00A455B1" w:rsidRDefault="00A455B1" w:rsidP="00A455B1">
      <w:pPr>
        <w:spacing w:before="0" w:line="720" w:lineRule="atLeast"/>
        <w:jc w:val="center"/>
        <w:outlineLvl w:val="0"/>
        <w:rPr>
          <w:rFonts w:ascii="Garamond" w:eastAsia="Times New Roman" w:hAnsi="Garamond" w:cs="Times New Roman"/>
          <w:caps/>
          <w:color w:val="000000"/>
          <w:spacing w:val="30"/>
          <w:kern w:val="36"/>
          <w:sz w:val="66"/>
          <w:szCs w:val="66"/>
          <w:lang w:val="en-US" w:eastAsia="el-GR"/>
          <w14:ligatures w14:val="none"/>
        </w:rPr>
      </w:pPr>
      <w:r w:rsidRPr="00A455B1">
        <w:rPr>
          <w:rFonts w:ascii="Garamond" w:eastAsia="Times New Roman" w:hAnsi="Garamond" w:cs="Times New Roman"/>
          <w:caps/>
          <w:color w:val="000000"/>
          <w:spacing w:val="30"/>
          <w:kern w:val="36"/>
          <w:sz w:val="66"/>
          <w:szCs w:val="66"/>
          <w:lang w:val="en-US" w:eastAsia="el-GR"/>
          <w14:ligatures w14:val="none"/>
        </w:rPr>
        <w:t>The Logical End Point of Trump’s Higher-Education Agenda</w:t>
      </w:r>
    </w:p>
    <w:p w:rsidR="00A455B1" w:rsidRPr="00A455B1" w:rsidRDefault="00A455B1" w:rsidP="00A455B1">
      <w:pPr>
        <w:spacing w:before="0" w:line="480" w:lineRule="atLeast"/>
        <w:jc w:val="center"/>
        <w:rPr>
          <w:rFonts w:ascii="Garamond" w:eastAsia="Times New Roman" w:hAnsi="Garamond" w:cs="Times New Roman"/>
          <w:color w:val="000000"/>
          <w:kern w:val="0"/>
          <w:sz w:val="36"/>
          <w:szCs w:val="36"/>
          <w:lang w:val="en-US" w:eastAsia="el-GR"/>
          <w14:ligatures w14:val="none"/>
        </w:rPr>
      </w:pPr>
      <w:r w:rsidRPr="00A455B1">
        <w:rPr>
          <w:rFonts w:ascii="Garamond" w:eastAsia="Times New Roman" w:hAnsi="Garamond" w:cs="Times New Roman"/>
          <w:color w:val="000000"/>
          <w:kern w:val="0"/>
          <w:sz w:val="36"/>
          <w:szCs w:val="36"/>
          <w:lang w:val="en-US" w:eastAsia="el-GR"/>
          <w14:ligatures w14:val="none"/>
        </w:rPr>
        <w:t>A “compact” offered by the administration could devastate racial diversity at elite universities.</w:t>
      </w:r>
    </w:p>
    <w:p w:rsidR="00A455B1" w:rsidRPr="00A455B1" w:rsidRDefault="00A455B1" w:rsidP="00A455B1">
      <w:pPr>
        <w:spacing w:before="0" w:line="480" w:lineRule="atLeast"/>
        <w:jc w:val="center"/>
        <w:rPr>
          <w:rFonts w:ascii="Garamond" w:eastAsia="Times New Roman" w:hAnsi="Garamond" w:cs="Times New Roman"/>
          <w:color w:val="000000"/>
          <w:kern w:val="0"/>
          <w:sz w:val="36"/>
          <w:szCs w:val="36"/>
          <w:lang w:eastAsia="el-GR"/>
          <w14:ligatures w14:val="none"/>
        </w:rPr>
      </w:pPr>
      <w:proofErr w:type="spellStart"/>
      <w:r w:rsidRPr="00A455B1">
        <w:rPr>
          <w:rFonts w:ascii="Garamond" w:eastAsia="Times New Roman" w:hAnsi="Garamond" w:cs="Times New Roman"/>
          <w:color w:val="000000"/>
          <w:kern w:val="0"/>
          <w:sz w:val="36"/>
          <w:szCs w:val="36"/>
          <w:lang w:eastAsia="el-GR"/>
          <w14:ligatures w14:val="none"/>
        </w:rPr>
        <w:t>By</w:t>
      </w:r>
      <w:proofErr w:type="spellEnd"/>
      <w:r w:rsidRPr="00A455B1">
        <w:rPr>
          <w:rFonts w:ascii="Garamond" w:eastAsia="Times New Roman" w:hAnsi="Garamond" w:cs="Times New Roman"/>
          <w:color w:val="000000"/>
          <w:kern w:val="0"/>
          <w:sz w:val="36"/>
          <w:szCs w:val="36"/>
          <w:lang w:eastAsia="el-GR"/>
          <w14:ligatures w14:val="none"/>
        </w:rPr>
        <w:t> </w:t>
      </w:r>
      <w:proofErr w:type="spellStart"/>
      <w:r w:rsidRPr="00A455B1">
        <w:rPr>
          <w:rFonts w:ascii="Garamond" w:eastAsia="Times New Roman" w:hAnsi="Garamond" w:cs="Times New Roman"/>
          <w:color w:val="000000"/>
          <w:kern w:val="0"/>
          <w:sz w:val="36"/>
          <w:szCs w:val="36"/>
          <w:lang w:eastAsia="el-GR"/>
          <w14:ligatures w14:val="none"/>
        </w:rPr>
        <w:fldChar w:fldCharType="begin"/>
      </w:r>
      <w:r w:rsidRPr="00A455B1">
        <w:rPr>
          <w:rFonts w:ascii="Garamond" w:eastAsia="Times New Roman" w:hAnsi="Garamond" w:cs="Times New Roman"/>
          <w:color w:val="000000"/>
          <w:kern w:val="0"/>
          <w:sz w:val="36"/>
          <w:szCs w:val="36"/>
          <w:lang w:eastAsia="el-GR"/>
          <w14:ligatures w14:val="none"/>
        </w:rPr>
        <w:instrText xml:space="preserve"> HYPERLINK "https://www.theatlantic.com/author/kevin-carey/" </w:instrText>
      </w:r>
      <w:r w:rsidRPr="00A455B1">
        <w:rPr>
          <w:rFonts w:ascii="Garamond" w:eastAsia="Times New Roman" w:hAnsi="Garamond" w:cs="Times New Roman"/>
          <w:color w:val="000000"/>
          <w:kern w:val="0"/>
          <w:sz w:val="36"/>
          <w:szCs w:val="36"/>
          <w:lang w:eastAsia="el-GR"/>
          <w14:ligatures w14:val="none"/>
        </w:rPr>
        <w:fldChar w:fldCharType="separate"/>
      </w:r>
      <w:r w:rsidRPr="00A455B1">
        <w:rPr>
          <w:rFonts w:ascii="Garamond" w:eastAsia="Times New Roman" w:hAnsi="Garamond" w:cs="Times New Roman"/>
          <w:color w:val="000000"/>
          <w:kern w:val="0"/>
          <w:sz w:val="36"/>
          <w:szCs w:val="36"/>
          <w:lang w:eastAsia="el-GR"/>
          <w14:ligatures w14:val="none"/>
        </w:rPr>
        <w:t>Kevin</w:t>
      </w:r>
      <w:proofErr w:type="spellEnd"/>
      <w:r w:rsidRPr="00A455B1">
        <w:rPr>
          <w:rFonts w:ascii="Garamond" w:eastAsia="Times New Roman" w:hAnsi="Garamond" w:cs="Times New Roman"/>
          <w:color w:val="000000"/>
          <w:kern w:val="0"/>
          <w:sz w:val="36"/>
          <w:szCs w:val="36"/>
          <w:lang w:eastAsia="el-GR"/>
          <w14:ligatures w14:val="none"/>
        </w:rPr>
        <w:t xml:space="preserve"> </w:t>
      </w:r>
      <w:proofErr w:type="spellStart"/>
      <w:r w:rsidRPr="00A455B1">
        <w:rPr>
          <w:rFonts w:ascii="Garamond" w:eastAsia="Times New Roman" w:hAnsi="Garamond" w:cs="Times New Roman"/>
          <w:color w:val="000000"/>
          <w:kern w:val="0"/>
          <w:sz w:val="36"/>
          <w:szCs w:val="36"/>
          <w:lang w:eastAsia="el-GR"/>
          <w14:ligatures w14:val="none"/>
        </w:rPr>
        <w:t>Carey</w:t>
      </w:r>
      <w:proofErr w:type="spellEnd"/>
      <w:r w:rsidRPr="00A455B1">
        <w:rPr>
          <w:rFonts w:ascii="Garamond" w:eastAsia="Times New Roman" w:hAnsi="Garamond" w:cs="Times New Roman"/>
          <w:color w:val="000000"/>
          <w:kern w:val="0"/>
          <w:sz w:val="36"/>
          <w:szCs w:val="36"/>
          <w:lang w:eastAsia="el-GR"/>
          <w14:ligatures w14:val="none"/>
        </w:rPr>
        <w:fldChar w:fldCharType="end"/>
      </w:r>
    </w:p>
    <w:p w:rsidR="00A455B1" w:rsidRPr="00A455B1" w:rsidRDefault="00A455B1" w:rsidP="00A455B1">
      <w:pPr>
        <w:spacing w:before="0" w:line="240" w:lineRule="auto"/>
        <w:jc w:val="left"/>
        <w:rPr>
          <w:rFonts w:ascii="Courier New" w:eastAsia="Times New Roman" w:hAnsi="Courier New" w:cs="Courier New"/>
          <w:color w:val="5E6A74"/>
          <w:kern w:val="0"/>
          <w:sz w:val="17"/>
          <w:szCs w:val="17"/>
          <w:lang w:eastAsia="el-GR"/>
          <w14:ligatures w14:val="none"/>
        </w:rPr>
      </w:pPr>
      <w:r w:rsidRPr="00A455B1">
        <w:rPr>
          <w:rFonts w:ascii="Courier New" w:eastAsia="Times New Roman" w:hAnsi="Courier New" w:cs="Courier New"/>
          <w:noProof/>
          <w:color w:val="5E6A74"/>
          <w:kern w:val="0"/>
          <w:sz w:val="17"/>
          <w:szCs w:val="17"/>
          <w:lang w:eastAsia="el-GR"/>
          <w14:ligatures w14:val="none"/>
        </w:rPr>
        <w:drawing>
          <wp:inline distT="0" distB="0" distL="0" distR="0" wp14:anchorId="09883F99" wp14:editId="1BF6E7A2">
            <wp:extent cx="2811780" cy="3514725"/>
            <wp:effectExtent l="0" t="0" r="7620" b="9525"/>
            <wp:docPr id="3" name="article-lead-image" descr="Illustration of a student made of standardized-test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lead-image" descr="Illustration of a student made of standardized-test bub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1780" cy="3514725"/>
                    </a:xfrm>
                    <a:prstGeom prst="rect">
                      <a:avLst/>
                    </a:prstGeom>
                    <a:noFill/>
                    <a:ln>
                      <a:noFill/>
                    </a:ln>
                  </pic:spPr>
                </pic:pic>
              </a:graphicData>
            </a:graphic>
          </wp:inline>
        </w:drawing>
      </w:r>
    </w:p>
    <w:p w:rsidR="00A455B1" w:rsidRPr="00A455B1" w:rsidRDefault="00A455B1" w:rsidP="00A455B1">
      <w:pPr>
        <w:spacing w:before="0" w:after="0" w:line="240" w:lineRule="auto"/>
        <w:jc w:val="left"/>
        <w:rPr>
          <w:rFonts w:ascii="Courier New" w:eastAsia="Times New Roman" w:hAnsi="Courier New" w:cs="Courier New"/>
          <w:color w:val="5E6A74"/>
          <w:kern w:val="0"/>
          <w:sz w:val="17"/>
          <w:szCs w:val="17"/>
          <w:lang w:eastAsia="el-GR"/>
          <w14:ligatures w14:val="none"/>
        </w:rPr>
      </w:pPr>
    </w:p>
    <w:p w:rsidR="00A455B1" w:rsidRPr="00A455B1" w:rsidRDefault="00A455B1" w:rsidP="00A455B1">
      <w:pPr>
        <w:spacing w:before="0" w:line="240" w:lineRule="auto"/>
        <w:jc w:val="left"/>
        <w:rPr>
          <w:rFonts w:ascii="Courier New" w:eastAsia="Times New Roman" w:hAnsi="Courier New" w:cs="Courier New"/>
          <w:color w:val="5E6A74"/>
          <w:kern w:val="0"/>
          <w:sz w:val="17"/>
          <w:szCs w:val="17"/>
          <w:lang w:val="en-US" w:eastAsia="el-GR"/>
          <w14:ligatures w14:val="none"/>
        </w:rPr>
      </w:pPr>
      <w:r w:rsidRPr="00A455B1">
        <w:rPr>
          <w:rFonts w:ascii="Courier New" w:eastAsia="Times New Roman" w:hAnsi="Courier New" w:cs="Courier New"/>
          <w:color w:val="5E6A74"/>
          <w:kern w:val="0"/>
          <w:sz w:val="17"/>
          <w:szCs w:val="17"/>
          <w:lang w:val="en-US" w:eastAsia="el-GR"/>
          <w14:ligatures w14:val="none"/>
        </w:rPr>
        <w:t xml:space="preserve">Illustration by Ben </w:t>
      </w:r>
      <w:proofErr w:type="spellStart"/>
      <w:r w:rsidRPr="00A455B1">
        <w:rPr>
          <w:rFonts w:ascii="Courier New" w:eastAsia="Times New Roman" w:hAnsi="Courier New" w:cs="Courier New"/>
          <w:color w:val="5E6A74"/>
          <w:kern w:val="0"/>
          <w:sz w:val="17"/>
          <w:szCs w:val="17"/>
          <w:lang w:val="en-US" w:eastAsia="el-GR"/>
          <w14:ligatures w14:val="none"/>
        </w:rPr>
        <w:t>Kothe</w:t>
      </w:r>
      <w:proofErr w:type="spellEnd"/>
      <w:r w:rsidRPr="00A455B1">
        <w:rPr>
          <w:rFonts w:ascii="Courier New" w:eastAsia="Times New Roman" w:hAnsi="Courier New" w:cs="Courier New"/>
          <w:color w:val="5E6A74"/>
          <w:kern w:val="0"/>
          <w:sz w:val="17"/>
          <w:szCs w:val="17"/>
          <w:lang w:val="en-US" w:eastAsia="el-GR"/>
          <w14:ligatures w14:val="none"/>
        </w:rPr>
        <w:t xml:space="preserve"> / The Atlantic</w:t>
      </w:r>
    </w:p>
    <w:p w:rsidR="00A455B1" w:rsidRPr="00A455B1" w:rsidRDefault="00A455B1" w:rsidP="00A455B1">
      <w:pPr>
        <w:spacing w:before="0" w:after="0" w:line="240" w:lineRule="auto"/>
        <w:jc w:val="left"/>
        <w:rPr>
          <w:rFonts w:eastAsia="Times New Roman" w:cs="Times New Roman"/>
          <w:kern w:val="0"/>
          <w:szCs w:val="24"/>
          <w:lang w:val="en-US" w:eastAsia="el-GR"/>
          <w14:ligatures w14:val="none"/>
        </w:rPr>
      </w:pPr>
      <w:r w:rsidRPr="00A455B1">
        <w:rPr>
          <w:rFonts w:eastAsia="Times New Roman" w:cs="Times New Roman"/>
          <w:kern w:val="0"/>
          <w:szCs w:val="24"/>
          <w:lang w:val="en-US" w:eastAsia="el-GR"/>
          <w14:ligatures w14:val="none"/>
        </w:rPr>
        <w:t>October 15, 2025, 7:30 AM ET</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 xml:space="preserve">Since taking office, President Donald Trump has attacked colleges and universities using such a bewildering range of tools—civil-rights investigations, research-funding </w:t>
      </w:r>
      <w:proofErr w:type="spellStart"/>
      <w:r w:rsidRPr="00A455B1">
        <w:rPr>
          <w:rFonts w:ascii="Garamond" w:eastAsia="Times New Roman" w:hAnsi="Garamond" w:cs="Times New Roman"/>
          <w:color w:val="000000"/>
          <w:kern w:val="0"/>
          <w:sz w:val="33"/>
          <w:szCs w:val="33"/>
          <w:lang w:val="en-US" w:eastAsia="el-GR"/>
          <w14:ligatures w14:val="none"/>
        </w:rPr>
        <w:t>recissions</w:t>
      </w:r>
      <w:proofErr w:type="spellEnd"/>
      <w:r w:rsidRPr="00A455B1">
        <w:rPr>
          <w:rFonts w:ascii="Garamond" w:eastAsia="Times New Roman" w:hAnsi="Garamond" w:cs="Times New Roman"/>
          <w:color w:val="000000"/>
          <w:kern w:val="0"/>
          <w:sz w:val="33"/>
          <w:szCs w:val="33"/>
          <w:lang w:val="en-US" w:eastAsia="el-GR"/>
          <w14:ligatures w14:val="none"/>
        </w:rPr>
        <w:t>, student-loan cuts, visa bans—that it’s hard to keep track of what the White House is trying to reform or destroy. But the new higher-education compact </w:t>
      </w:r>
      <w:hyperlink r:id="rId5" w:history="1">
        <w:r w:rsidRPr="00A455B1">
          <w:rPr>
            <w:rFonts w:ascii="Garamond" w:eastAsia="Times New Roman" w:hAnsi="Garamond" w:cs="Times New Roman"/>
            <w:color w:val="000000"/>
            <w:kern w:val="0"/>
            <w:sz w:val="33"/>
            <w:szCs w:val="33"/>
            <w:u w:val="single"/>
            <w:lang w:val="en-US" w:eastAsia="el-GR"/>
            <w14:ligatures w14:val="none"/>
          </w:rPr>
          <w:t>offered</w:t>
        </w:r>
      </w:hyperlink>
      <w:r w:rsidRPr="00A455B1">
        <w:rPr>
          <w:rFonts w:ascii="Garamond" w:eastAsia="Times New Roman" w:hAnsi="Garamond" w:cs="Times New Roman"/>
          <w:color w:val="000000"/>
          <w:kern w:val="0"/>
          <w:sz w:val="33"/>
          <w:szCs w:val="33"/>
          <w:lang w:val="en-US" w:eastAsia="el-GR"/>
          <w14:ligatures w14:val="none"/>
        </w:rPr>
        <w:t xml:space="preserve"> to universities by the administration </w:t>
      </w:r>
      <w:r w:rsidRPr="00A455B1">
        <w:rPr>
          <w:rFonts w:ascii="Garamond" w:eastAsia="Times New Roman" w:hAnsi="Garamond" w:cs="Times New Roman"/>
          <w:color w:val="000000"/>
          <w:kern w:val="0"/>
          <w:sz w:val="33"/>
          <w:szCs w:val="33"/>
          <w:lang w:val="en-US" w:eastAsia="el-GR"/>
          <w14:ligatures w14:val="none"/>
        </w:rPr>
        <w:lastRenderedPageBreak/>
        <w:t>strongly suggests that Trump’s higher-education agenda, if successful, will result in a far less diverse academy, with fewer Black and Latino students. It will do this by demanding that colleges adopt an admissions system based purely on test scores and GPA—and accusing any institution that resists of illegal racial preferences.</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Trump’s fixation on the racial makeup of selective colleges was evident during his first term, when the Justice Department </w:t>
      </w:r>
      <w:hyperlink r:id="rId6" w:history="1">
        <w:r w:rsidRPr="00A455B1">
          <w:rPr>
            <w:rFonts w:ascii="Garamond" w:eastAsia="Times New Roman" w:hAnsi="Garamond" w:cs="Times New Roman"/>
            <w:color w:val="000000"/>
            <w:kern w:val="0"/>
            <w:sz w:val="33"/>
            <w:szCs w:val="33"/>
            <w:u w:val="single"/>
            <w:lang w:val="en-US" w:eastAsia="el-GR"/>
            <w14:ligatures w14:val="none"/>
          </w:rPr>
          <w:t>sued</w:t>
        </w:r>
      </w:hyperlink>
      <w:r w:rsidRPr="00A455B1">
        <w:rPr>
          <w:rFonts w:ascii="Garamond" w:eastAsia="Times New Roman" w:hAnsi="Garamond" w:cs="Times New Roman"/>
          <w:color w:val="000000"/>
          <w:kern w:val="0"/>
          <w:sz w:val="33"/>
          <w:szCs w:val="33"/>
          <w:lang w:val="en-US" w:eastAsia="el-GR"/>
          <w14:ligatures w14:val="none"/>
        </w:rPr>
        <w:t> Yale for racial bias. To back its claim, the DOJ included a table comparing Yale’s admissions rate for students of different races and ethnicities with an “Academic Index,” a measure that combines high-school grades and SAT or ACT scores. The admissions rates weren’t identical: 35 percent of Hispanic students in the top decile of the Academic Index were admitted, for example, compared with 20 percent of white students. The government argued that this showed “significant discrimination on the ground of race.”</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The Biden administration withdrew the lawsuit, which seemingly became moot in 2023, when the Supreme Court outlawed affirmative action in </w:t>
      </w:r>
      <w:r w:rsidRPr="00A455B1">
        <w:rPr>
          <w:rFonts w:ascii="Garamond" w:eastAsia="Times New Roman" w:hAnsi="Garamond" w:cs="Times New Roman"/>
          <w:i/>
          <w:iCs/>
          <w:color w:val="000000"/>
          <w:kern w:val="0"/>
          <w:sz w:val="33"/>
          <w:szCs w:val="33"/>
          <w:lang w:val="en-US" w:eastAsia="el-GR"/>
          <w14:ligatures w14:val="none"/>
        </w:rPr>
        <w:t>Students for Fair Admissions v. Harvard</w:t>
      </w:r>
      <w:r w:rsidRPr="00A455B1">
        <w:rPr>
          <w:rFonts w:ascii="Garamond" w:eastAsia="Times New Roman" w:hAnsi="Garamond" w:cs="Times New Roman"/>
          <w:color w:val="000000"/>
          <w:kern w:val="0"/>
          <w:sz w:val="33"/>
          <w:szCs w:val="33"/>
          <w:lang w:val="en-US" w:eastAsia="el-GR"/>
          <w14:ligatures w14:val="none"/>
        </w:rPr>
        <w:t>. But after that ruling, the racial makeup of elite universities didn’t shift as much as the winning litigants might have hoped. Although the percentage of Black students enrolling at Harvard </w:t>
      </w:r>
      <w:hyperlink r:id="rId7" w:history="1">
        <w:r w:rsidRPr="00A455B1">
          <w:rPr>
            <w:rFonts w:ascii="Garamond" w:eastAsia="Times New Roman" w:hAnsi="Garamond" w:cs="Times New Roman"/>
            <w:color w:val="000000"/>
            <w:kern w:val="0"/>
            <w:sz w:val="33"/>
            <w:szCs w:val="33"/>
            <w:u w:val="single"/>
            <w:lang w:val="en-US" w:eastAsia="el-GR"/>
            <w14:ligatures w14:val="none"/>
          </w:rPr>
          <w:t>fell</w:t>
        </w:r>
      </w:hyperlink>
      <w:r w:rsidRPr="00A455B1">
        <w:rPr>
          <w:rFonts w:ascii="Garamond" w:eastAsia="Times New Roman" w:hAnsi="Garamond" w:cs="Times New Roman"/>
          <w:color w:val="000000"/>
          <w:kern w:val="0"/>
          <w:sz w:val="33"/>
          <w:szCs w:val="33"/>
          <w:lang w:val="en-US" w:eastAsia="el-GR"/>
          <w14:ligatures w14:val="none"/>
        </w:rPr>
        <w:t> after the decision, just as the university had warned, it stayed the same at Yale. Meanwhile, the percentage of Asian students enrolling at Yale declined—even though the stated aim of the </w:t>
      </w:r>
      <w:r w:rsidRPr="00A455B1">
        <w:rPr>
          <w:rFonts w:ascii="Garamond" w:eastAsia="Times New Roman" w:hAnsi="Garamond" w:cs="Times New Roman"/>
          <w:i/>
          <w:iCs/>
          <w:color w:val="000000"/>
          <w:kern w:val="0"/>
          <w:sz w:val="33"/>
          <w:szCs w:val="33"/>
          <w:lang w:val="en-US" w:eastAsia="el-GR"/>
          <w14:ligatures w14:val="none"/>
        </w:rPr>
        <w:t>SFFA </w:t>
      </w:r>
      <w:r w:rsidRPr="00A455B1">
        <w:rPr>
          <w:rFonts w:ascii="Garamond" w:eastAsia="Times New Roman" w:hAnsi="Garamond" w:cs="Times New Roman"/>
          <w:color w:val="000000"/>
          <w:kern w:val="0"/>
          <w:sz w:val="33"/>
          <w:szCs w:val="33"/>
          <w:lang w:val="en-US" w:eastAsia="el-GR"/>
          <w14:ligatures w14:val="none"/>
        </w:rPr>
        <w:t>lawsuit was to eliminate anti-Asian discrimination.</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Trump’s second administration seems to be treating </w:t>
      </w:r>
      <w:r w:rsidRPr="00A455B1">
        <w:rPr>
          <w:rFonts w:ascii="Garamond" w:eastAsia="Times New Roman" w:hAnsi="Garamond" w:cs="Times New Roman"/>
          <w:i/>
          <w:iCs/>
          <w:color w:val="000000"/>
          <w:kern w:val="0"/>
          <w:sz w:val="33"/>
          <w:szCs w:val="33"/>
          <w:lang w:val="en-US" w:eastAsia="el-GR"/>
          <w14:ligatures w14:val="none"/>
        </w:rPr>
        <w:t>SFFA </w:t>
      </w:r>
      <w:r w:rsidRPr="00A455B1">
        <w:rPr>
          <w:rFonts w:ascii="Garamond" w:eastAsia="Times New Roman" w:hAnsi="Garamond" w:cs="Times New Roman"/>
          <w:color w:val="000000"/>
          <w:kern w:val="0"/>
          <w:sz w:val="33"/>
          <w:szCs w:val="33"/>
          <w:lang w:val="en-US" w:eastAsia="el-GR"/>
          <w14:ligatures w14:val="none"/>
        </w:rPr>
        <w:t>not as the end of the affirmative-action wars but more as the beginning, even as it has sought to eliminate “DEI” from government, business, and higher education. In February, the Department of Education sent a </w:t>
      </w:r>
      <w:hyperlink r:id="rId8" w:history="1">
        <w:r w:rsidRPr="00A455B1">
          <w:rPr>
            <w:rFonts w:ascii="Garamond" w:eastAsia="Times New Roman" w:hAnsi="Garamond" w:cs="Times New Roman"/>
            <w:color w:val="000000"/>
            <w:kern w:val="0"/>
            <w:sz w:val="33"/>
            <w:szCs w:val="33"/>
            <w:u w:val="single"/>
            <w:lang w:val="en-US" w:eastAsia="el-GR"/>
            <w14:ligatures w14:val="none"/>
          </w:rPr>
          <w:t>letter</w:t>
        </w:r>
      </w:hyperlink>
      <w:r w:rsidRPr="00A455B1">
        <w:rPr>
          <w:rFonts w:ascii="Garamond" w:eastAsia="Times New Roman" w:hAnsi="Garamond" w:cs="Times New Roman"/>
          <w:color w:val="000000"/>
          <w:kern w:val="0"/>
          <w:sz w:val="33"/>
          <w:szCs w:val="33"/>
          <w:lang w:val="en-US" w:eastAsia="el-GR"/>
          <w14:ligatures w14:val="none"/>
        </w:rPr>
        <w:t xml:space="preserve"> to every college and university denouncing “pervasive and repugnant race-based preferences” and claiming </w:t>
      </w:r>
      <w:r w:rsidRPr="00A455B1">
        <w:rPr>
          <w:rFonts w:ascii="Garamond" w:eastAsia="Times New Roman" w:hAnsi="Garamond" w:cs="Times New Roman"/>
          <w:color w:val="000000"/>
          <w:kern w:val="0"/>
          <w:sz w:val="33"/>
          <w:szCs w:val="33"/>
          <w:lang w:val="en-US" w:eastAsia="el-GR"/>
          <w14:ligatures w14:val="none"/>
        </w:rPr>
        <w:lastRenderedPageBreak/>
        <w:t>that </w:t>
      </w:r>
      <w:r w:rsidRPr="00A455B1">
        <w:rPr>
          <w:rFonts w:ascii="Garamond" w:eastAsia="Times New Roman" w:hAnsi="Garamond" w:cs="Times New Roman"/>
          <w:i/>
          <w:iCs/>
          <w:color w:val="000000"/>
          <w:kern w:val="0"/>
          <w:sz w:val="33"/>
          <w:szCs w:val="33"/>
          <w:lang w:val="en-US" w:eastAsia="el-GR"/>
          <w14:ligatures w14:val="none"/>
        </w:rPr>
        <w:t>SFFA </w:t>
      </w:r>
      <w:r w:rsidRPr="00A455B1">
        <w:rPr>
          <w:rFonts w:ascii="Garamond" w:eastAsia="Times New Roman" w:hAnsi="Garamond" w:cs="Times New Roman"/>
          <w:color w:val="000000"/>
          <w:kern w:val="0"/>
          <w:sz w:val="33"/>
          <w:szCs w:val="33"/>
          <w:lang w:val="en-US" w:eastAsia="el-GR"/>
          <w14:ligatures w14:val="none"/>
        </w:rPr>
        <w:t>prohibits universities from considering race in any way, including “admissions, hiring, promotion, compensation, financial aid, scholarships, prizes, administrative support, discipline, housing, graduation ceremonies, and all other aspects of student, academic, and campus life.” It was forced to withdraw the letter in April after a federal judge </w:t>
      </w:r>
      <w:hyperlink r:id="rId9" w:history="1">
        <w:r w:rsidRPr="00A455B1">
          <w:rPr>
            <w:rFonts w:ascii="Garamond" w:eastAsia="Times New Roman" w:hAnsi="Garamond" w:cs="Times New Roman"/>
            <w:color w:val="000000"/>
            <w:kern w:val="0"/>
            <w:sz w:val="33"/>
            <w:szCs w:val="33"/>
            <w:u w:val="single"/>
            <w:lang w:val="en-US" w:eastAsia="el-GR"/>
            <w14:ligatures w14:val="none"/>
          </w:rPr>
          <w:t>noted</w:t>
        </w:r>
      </w:hyperlink>
      <w:r w:rsidRPr="00A455B1">
        <w:rPr>
          <w:rFonts w:ascii="Garamond" w:eastAsia="Times New Roman" w:hAnsi="Garamond" w:cs="Times New Roman"/>
          <w:color w:val="000000"/>
          <w:kern w:val="0"/>
          <w:sz w:val="33"/>
          <w:szCs w:val="33"/>
          <w:lang w:val="en-US" w:eastAsia="el-GR"/>
          <w14:ligatures w14:val="none"/>
        </w:rPr>
        <w:t> that the </w:t>
      </w:r>
      <w:r w:rsidRPr="00A455B1">
        <w:rPr>
          <w:rFonts w:ascii="Garamond" w:eastAsia="Times New Roman" w:hAnsi="Garamond" w:cs="Times New Roman"/>
          <w:i/>
          <w:iCs/>
          <w:color w:val="000000"/>
          <w:kern w:val="0"/>
          <w:sz w:val="33"/>
          <w:szCs w:val="33"/>
          <w:lang w:val="en-US" w:eastAsia="el-GR"/>
          <w14:ligatures w14:val="none"/>
        </w:rPr>
        <w:t>SFFA</w:t>
      </w:r>
      <w:r w:rsidRPr="00A455B1">
        <w:rPr>
          <w:rFonts w:ascii="Garamond" w:eastAsia="Times New Roman" w:hAnsi="Garamond" w:cs="Times New Roman"/>
          <w:color w:val="000000"/>
          <w:kern w:val="0"/>
          <w:sz w:val="33"/>
          <w:szCs w:val="33"/>
          <w:lang w:val="en-US" w:eastAsia="el-GR"/>
          <w14:ligatures w14:val="none"/>
        </w:rPr>
        <w:t> ruling applied only to admissions.</w:t>
      </w:r>
    </w:p>
    <w:p w:rsidR="00A455B1" w:rsidRPr="00A455B1" w:rsidRDefault="008D327B" w:rsidP="00A455B1">
      <w:pPr>
        <w:spacing w:before="0" w:after="600" w:line="240" w:lineRule="auto"/>
        <w:rPr>
          <w:rFonts w:ascii="Courier New" w:eastAsia="Times New Roman" w:hAnsi="Courier New" w:cs="Courier New"/>
          <w:color w:val="000000"/>
          <w:kern w:val="0"/>
          <w:szCs w:val="24"/>
          <w:lang w:val="en-US" w:eastAsia="el-GR"/>
          <w14:ligatures w14:val="none"/>
        </w:rPr>
      </w:pPr>
      <w:hyperlink r:id="rId10" w:history="1">
        <w:r w:rsidR="00A455B1" w:rsidRPr="00A455B1">
          <w:rPr>
            <w:rFonts w:ascii="Courier New" w:eastAsia="Times New Roman" w:hAnsi="Courier New" w:cs="Courier New"/>
            <w:color w:val="000000"/>
            <w:kern w:val="0"/>
            <w:szCs w:val="24"/>
            <w:u w:val="single"/>
            <w:lang w:val="en-US" w:eastAsia="el-GR"/>
            <w14:ligatures w14:val="none"/>
          </w:rPr>
          <w:t xml:space="preserve">Rose </w:t>
        </w:r>
        <w:proofErr w:type="spellStart"/>
        <w:r w:rsidR="00A455B1" w:rsidRPr="00A455B1">
          <w:rPr>
            <w:rFonts w:ascii="Courier New" w:eastAsia="Times New Roman" w:hAnsi="Courier New" w:cs="Courier New"/>
            <w:color w:val="000000"/>
            <w:kern w:val="0"/>
            <w:szCs w:val="24"/>
            <w:u w:val="single"/>
            <w:lang w:val="en-US" w:eastAsia="el-GR"/>
            <w14:ligatures w14:val="none"/>
          </w:rPr>
          <w:t>Horowitch</w:t>
        </w:r>
        <w:proofErr w:type="spellEnd"/>
        <w:r w:rsidR="00A455B1" w:rsidRPr="00A455B1">
          <w:rPr>
            <w:rFonts w:ascii="Courier New" w:eastAsia="Times New Roman" w:hAnsi="Courier New" w:cs="Courier New"/>
            <w:color w:val="000000"/>
            <w:kern w:val="0"/>
            <w:szCs w:val="24"/>
            <w:u w:val="single"/>
            <w:lang w:val="en-US" w:eastAsia="el-GR"/>
            <w14:ligatures w14:val="none"/>
          </w:rPr>
          <w:t>: The race-blind college-admissions era is off to a weird start</w:t>
        </w:r>
      </w:hyperlink>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The administration tried to impose its expansive view of the law again in July, when it cut a </w:t>
      </w:r>
      <w:hyperlink r:id="rId11" w:history="1">
        <w:r w:rsidRPr="00A455B1">
          <w:rPr>
            <w:rFonts w:ascii="Garamond" w:eastAsia="Times New Roman" w:hAnsi="Garamond" w:cs="Times New Roman"/>
            <w:color w:val="000000"/>
            <w:kern w:val="0"/>
            <w:sz w:val="33"/>
            <w:szCs w:val="33"/>
            <w:u w:val="single"/>
            <w:lang w:val="en-US" w:eastAsia="el-GR"/>
            <w14:ligatures w14:val="none"/>
          </w:rPr>
          <w:t>deal</w:t>
        </w:r>
      </w:hyperlink>
      <w:r w:rsidRPr="00A455B1">
        <w:rPr>
          <w:rFonts w:ascii="Garamond" w:eastAsia="Times New Roman" w:hAnsi="Garamond" w:cs="Times New Roman"/>
          <w:color w:val="000000"/>
          <w:kern w:val="0"/>
          <w:sz w:val="33"/>
          <w:szCs w:val="33"/>
          <w:lang w:val="en-US" w:eastAsia="el-GR"/>
          <w14:ligatures w14:val="none"/>
        </w:rPr>
        <w:t> with Columbia to restore hundreds of millions of dollars in grants that were being withheld ostensibly on the grounds that the university had violated the rights of Jewish students. Under the agreement, Columbia “may not, by any means, unlawfully preference applicants based on race, color, or national origin in admissions throughout its programs. No proxy for racial admission will be implemented or maintained.” Brown University </w:t>
      </w:r>
      <w:hyperlink r:id="rId12" w:history="1">
        <w:r w:rsidRPr="00A455B1">
          <w:rPr>
            <w:rFonts w:ascii="Garamond" w:eastAsia="Times New Roman" w:hAnsi="Garamond" w:cs="Times New Roman"/>
            <w:color w:val="000000"/>
            <w:kern w:val="0"/>
            <w:sz w:val="33"/>
            <w:szCs w:val="33"/>
            <w:u w:val="single"/>
            <w:lang w:val="en-US" w:eastAsia="el-GR"/>
            <w14:ligatures w14:val="none"/>
          </w:rPr>
          <w:t>struck a deal</w:t>
        </w:r>
      </w:hyperlink>
      <w:r w:rsidRPr="00A455B1">
        <w:rPr>
          <w:rFonts w:ascii="Garamond" w:eastAsia="Times New Roman" w:hAnsi="Garamond" w:cs="Times New Roman"/>
          <w:color w:val="000000"/>
          <w:kern w:val="0"/>
          <w:sz w:val="33"/>
          <w:szCs w:val="33"/>
          <w:lang w:val="en-US" w:eastAsia="el-GR"/>
          <w14:ligatures w14:val="none"/>
        </w:rPr>
        <w:t> a week later. Its agreement had identical language, minus the word </w:t>
      </w:r>
      <w:r w:rsidRPr="00A455B1">
        <w:rPr>
          <w:rFonts w:ascii="Garamond" w:eastAsia="Times New Roman" w:hAnsi="Garamond" w:cs="Times New Roman"/>
          <w:i/>
          <w:iCs/>
          <w:color w:val="000000"/>
          <w:kern w:val="0"/>
          <w:sz w:val="33"/>
          <w:szCs w:val="33"/>
          <w:lang w:val="en-US" w:eastAsia="el-GR"/>
          <w14:ligatures w14:val="none"/>
        </w:rPr>
        <w:t>unlawfully</w:t>
      </w:r>
      <w:r w:rsidRPr="00A455B1">
        <w:rPr>
          <w:rFonts w:ascii="Garamond" w:eastAsia="Times New Roman" w:hAnsi="Garamond" w:cs="Times New Roman"/>
          <w:color w:val="000000"/>
          <w:kern w:val="0"/>
          <w:sz w:val="33"/>
          <w:szCs w:val="33"/>
          <w:lang w:val="en-US" w:eastAsia="el-GR"/>
          <w14:ligatures w14:val="none"/>
        </w:rPr>
        <w:t>. The universities also agreed to provide the government with admissions data “broken down by race, color, grade point average, and performance on standardized tests,” and to maintain “merit-based admissions.” The deals being negotiated with other elite schools, including Harvard and UCLA, likely include the same terms.</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 xml:space="preserve">“Merit-based admissions” is not a defined legal concept. Traditionally, colleges consider a wide range of criteria when evaluating an applicant: not only raw academic numbers, but also extracurricular factors such as artistic or athletic ability, and the potential to attract parental donations. But the administration’s focus on GPA and standardized-test scores suggests that it plans to use the new stream of admissions data to re-create the chart it used in the Yale lawsuit, showing different admissions rates by race and ethnicity. It could then portray the chart as definitive evidence that Columbia and Brown have broken their promise to </w:t>
      </w:r>
      <w:r w:rsidRPr="00A455B1">
        <w:rPr>
          <w:rFonts w:ascii="Garamond" w:eastAsia="Times New Roman" w:hAnsi="Garamond" w:cs="Times New Roman"/>
          <w:color w:val="000000"/>
          <w:kern w:val="0"/>
          <w:sz w:val="33"/>
          <w:szCs w:val="33"/>
          <w:lang w:val="en-US" w:eastAsia="el-GR"/>
          <w14:ligatures w14:val="none"/>
        </w:rPr>
        <w:lastRenderedPageBreak/>
        <w:t>implement merit-based admissions, and once again withhold federal funding. In this scenario, the universities might be able to get their money only by radically reducing the number of Black and Latino students who enroll.</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This would be a victory for the MAGA agenda, but only at two institutions. The White House, however, is also moving to get the data it wants for </w:t>
      </w:r>
      <w:r w:rsidRPr="00A455B1">
        <w:rPr>
          <w:rFonts w:ascii="Garamond" w:eastAsia="Times New Roman" w:hAnsi="Garamond" w:cs="Times New Roman"/>
          <w:i/>
          <w:iCs/>
          <w:color w:val="000000"/>
          <w:kern w:val="0"/>
          <w:sz w:val="33"/>
          <w:szCs w:val="33"/>
          <w:lang w:val="en-US" w:eastAsia="el-GR"/>
          <w14:ligatures w14:val="none"/>
        </w:rPr>
        <w:t>all </w:t>
      </w:r>
      <w:r w:rsidRPr="00A455B1">
        <w:rPr>
          <w:rFonts w:ascii="Garamond" w:eastAsia="Times New Roman" w:hAnsi="Garamond" w:cs="Times New Roman"/>
          <w:color w:val="000000"/>
          <w:kern w:val="0"/>
          <w:sz w:val="33"/>
          <w:szCs w:val="33"/>
          <w:lang w:val="en-US" w:eastAsia="el-GR"/>
          <w14:ligatures w14:val="none"/>
        </w:rPr>
        <w:t>selective universities. In August, Trump </w:t>
      </w:r>
      <w:hyperlink r:id="rId13" w:history="1">
        <w:r w:rsidRPr="00A455B1">
          <w:rPr>
            <w:rFonts w:ascii="Garamond" w:eastAsia="Times New Roman" w:hAnsi="Garamond" w:cs="Times New Roman"/>
            <w:color w:val="000000"/>
            <w:kern w:val="0"/>
            <w:sz w:val="33"/>
            <w:szCs w:val="33"/>
            <w:u w:val="single"/>
            <w:lang w:val="en-US" w:eastAsia="el-GR"/>
            <w14:ligatures w14:val="none"/>
          </w:rPr>
          <w:t>directed</w:t>
        </w:r>
      </w:hyperlink>
      <w:r w:rsidRPr="00A455B1">
        <w:rPr>
          <w:rFonts w:ascii="Garamond" w:eastAsia="Times New Roman" w:hAnsi="Garamond" w:cs="Times New Roman"/>
          <w:color w:val="000000"/>
          <w:kern w:val="0"/>
          <w:sz w:val="33"/>
          <w:szCs w:val="33"/>
          <w:lang w:val="en-US" w:eastAsia="el-GR"/>
          <w14:ligatures w14:val="none"/>
        </w:rPr>
        <w:t> Secretary of Education Linda McMahon to “expand the scope of required reporting to provide adequate transparency into admissions.” A week later, the Department of Education published a </w:t>
      </w:r>
      <w:hyperlink r:id="rId14" w:history="1">
        <w:r w:rsidRPr="00A455B1">
          <w:rPr>
            <w:rFonts w:ascii="Garamond" w:eastAsia="Times New Roman" w:hAnsi="Garamond" w:cs="Times New Roman"/>
            <w:color w:val="000000"/>
            <w:kern w:val="0"/>
            <w:sz w:val="33"/>
            <w:szCs w:val="33"/>
            <w:u w:val="single"/>
            <w:lang w:val="en-US" w:eastAsia="el-GR"/>
            <w14:ligatures w14:val="none"/>
          </w:rPr>
          <w:t>notice</w:t>
        </w:r>
      </w:hyperlink>
      <w:r w:rsidRPr="00A455B1">
        <w:rPr>
          <w:rFonts w:ascii="Garamond" w:eastAsia="Times New Roman" w:hAnsi="Garamond" w:cs="Times New Roman"/>
          <w:color w:val="000000"/>
          <w:kern w:val="0"/>
          <w:sz w:val="33"/>
          <w:szCs w:val="33"/>
          <w:lang w:val="en-US" w:eastAsia="el-GR"/>
          <w14:ligatures w14:val="none"/>
        </w:rPr>
        <w:t> in the </w:t>
      </w:r>
      <w:r w:rsidRPr="00A455B1">
        <w:rPr>
          <w:rFonts w:ascii="Garamond" w:eastAsia="Times New Roman" w:hAnsi="Garamond" w:cs="Times New Roman"/>
          <w:i/>
          <w:iCs/>
          <w:color w:val="000000"/>
          <w:kern w:val="0"/>
          <w:sz w:val="33"/>
          <w:szCs w:val="33"/>
          <w:lang w:val="en-US" w:eastAsia="el-GR"/>
          <w14:ligatures w14:val="none"/>
        </w:rPr>
        <w:t>Federal Register</w:t>
      </w:r>
      <w:r w:rsidRPr="00A455B1">
        <w:rPr>
          <w:rFonts w:ascii="Garamond" w:eastAsia="Times New Roman" w:hAnsi="Garamond" w:cs="Times New Roman"/>
          <w:color w:val="000000"/>
          <w:kern w:val="0"/>
          <w:sz w:val="33"/>
          <w:szCs w:val="33"/>
          <w:lang w:val="en-US" w:eastAsia="el-GR"/>
          <w14:ligatures w14:val="none"/>
        </w:rPr>
        <w:t>, normally a repository for some of the most mind-numbing bureaucratic prose imaginable. This one had more spice:</w:t>
      </w:r>
    </w:p>
    <w:p w:rsidR="00A455B1" w:rsidRPr="00A455B1" w:rsidRDefault="00A455B1" w:rsidP="00A455B1">
      <w:pPr>
        <w:spacing w:before="100" w:beforeAutospacing="1" w:after="100" w:afterAutospacing="1" w:line="240" w:lineRule="auto"/>
        <w:rPr>
          <w:rFonts w:eastAsia="Times New Roman" w:cs="Times New Roman"/>
          <w:color w:val="000000"/>
          <w:kern w:val="0"/>
          <w:sz w:val="27"/>
          <w:szCs w:val="27"/>
          <w:lang w:val="en-US" w:eastAsia="el-GR"/>
          <w14:ligatures w14:val="none"/>
        </w:rPr>
      </w:pPr>
      <w:r w:rsidRPr="00A455B1">
        <w:rPr>
          <w:rFonts w:eastAsia="Times New Roman" w:cs="Times New Roman"/>
          <w:color w:val="000000"/>
          <w:kern w:val="0"/>
          <w:sz w:val="27"/>
          <w:szCs w:val="27"/>
          <w:lang w:val="en-US" w:eastAsia="el-GR"/>
          <w14:ligatures w14:val="none"/>
        </w:rPr>
        <w:t>Despite the ruling in </w:t>
      </w:r>
      <w:r w:rsidRPr="00A455B1">
        <w:rPr>
          <w:rFonts w:eastAsia="Times New Roman" w:cs="Times New Roman"/>
          <w:i/>
          <w:iCs/>
          <w:color w:val="000000"/>
          <w:kern w:val="0"/>
          <w:sz w:val="27"/>
          <w:szCs w:val="27"/>
          <w:lang w:val="en-US" w:eastAsia="el-GR"/>
          <w14:ligatures w14:val="none"/>
        </w:rPr>
        <w:t>SFFA</w:t>
      </w:r>
      <w:r w:rsidRPr="00A455B1">
        <w:rPr>
          <w:rFonts w:eastAsia="Times New Roman" w:cs="Times New Roman"/>
          <w:color w:val="000000"/>
          <w:kern w:val="0"/>
          <w:sz w:val="27"/>
          <w:szCs w:val="27"/>
          <w:lang w:val="en-US" w:eastAsia="el-GR"/>
          <w14:ligatures w14:val="none"/>
        </w:rPr>
        <w:t xml:space="preserve">, the continued widespread emphasis on “diversity, equity, and inclusion” (DEI) in higher education causes concerns that unlawful practices may persist because DEI has been used as a pretext to advance overt and insidious racial discrimination. The federal government does not currently collect racial data on admissions and scholarships and has limited tools to ensure </w:t>
      </w:r>
      <w:proofErr w:type="spellStart"/>
      <w:r w:rsidRPr="00A455B1">
        <w:rPr>
          <w:rFonts w:eastAsia="Times New Roman" w:cs="Times New Roman"/>
          <w:color w:val="000000"/>
          <w:kern w:val="0"/>
          <w:sz w:val="27"/>
          <w:szCs w:val="27"/>
          <w:lang w:val="en-US" w:eastAsia="el-GR"/>
          <w14:ligatures w14:val="none"/>
        </w:rPr>
        <w:t>widescale</w:t>
      </w:r>
      <w:proofErr w:type="spellEnd"/>
      <w:r w:rsidRPr="00A455B1">
        <w:rPr>
          <w:rFonts w:eastAsia="Times New Roman" w:cs="Times New Roman"/>
          <w:color w:val="000000"/>
          <w:kern w:val="0"/>
          <w:sz w:val="27"/>
          <w:szCs w:val="27"/>
          <w:lang w:val="en-US" w:eastAsia="el-GR"/>
          <w14:ligatures w14:val="none"/>
        </w:rPr>
        <w:t xml:space="preserve"> compliance with Title VI. Greater transparency through the collection of this type of information will help to expose unlawful practices, enable the Department to better </w:t>
      </w:r>
      <w:proofErr w:type="spellStart"/>
      <w:r w:rsidRPr="00A455B1">
        <w:rPr>
          <w:rFonts w:eastAsia="Times New Roman" w:cs="Times New Roman"/>
          <w:color w:val="000000"/>
          <w:kern w:val="0"/>
          <w:sz w:val="27"/>
          <w:szCs w:val="27"/>
          <w:lang w:val="en-US" w:eastAsia="el-GR"/>
          <w14:ligatures w14:val="none"/>
        </w:rPr>
        <w:t>enforece</w:t>
      </w:r>
      <w:proofErr w:type="spellEnd"/>
      <w:r w:rsidRPr="00A455B1">
        <w:rPr>
          <w:rFonts w:eastAsia="Times New Roman" w:cs="Times New Roman"/>
          <w:color w:val="000000"/>
          <w:kern w:val="0"/>
          <w:sz w:val="27"/>
          <w:szCs w:val="27"/>
          <w:lang w:val="en-US" w:eastAsia="el-GR"/>
          <w14:ligatures w14:val="none"/>
        </w:rPr>
        <w:t xml:space="preserve"> [</w:t>
      </w:r>
      <w:r w:rsidRPr="00A455B1">
        <w:rPr>
          <w:rFonts w:eastAsia="Times New Roman" w:cs="Times New Roman"/>
          <w:i/>
          <w:iCs/>
          <w:color w:val="000000"/>
          <w:kern w:val="0"/>
          <w:sz w:val="27"/>
          <w:szCs w:val="27"/>
          <w:lang w:val="en-US" w:eastAsia="el-GR"/>
          <w14:ligatures w14:val="none"/>
        </w:rPr>
        <w:t>sic</w:t>
      </w:r>
      <w:r w:rsidRPr="00A455B1">
        <w:rPr>
          <w:rFonts w:eastAsia="Times New Roman" w:cs="Times New Roman"/>
          <w:color w:val="000000"/>
          <w:kern w:val="0"/>
          <w:sz w:val="27"/>
          <w:szCs w:val="27"/>
          <w:lang w:val="en-US" w:eastAsia="el-GR"/>
          <w14:ligatures w14:val="none"/>
        </w:rPr>
        <w:t>] Title VI, and create good incentives for voluntary compliance.</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The regulation would direct the department to:</w:t>
      </w:r>
    </w:p>
    <w:p w:rsidR="00A455B1" w:rsidRPr="00A455B1" w:rsidRDefault="00A455B1" w:rsidP="00A455B1">
      <w:pPr>
        <w:spacing w:before="100" w:beforeAutospacing="1" w:after="100" w:afterAutospacing="1" w:line="240" w:lineRule="auto"/>
        <w:rPr>
          <w:rFonts w:eastAsia="Times New Roman" w:cs="Times New Roman"/>
          <w:color w:val="000000"/>
          <w:kern w:val="0"/>
          <w:sz w:val="27"/>
          <w:szCs w:val="27"/>
          <w:lang w:val="en-US" w:eastAsia="el-GR"/>
          <w14:ligatures w14:val="none"/>
        </w:rPr>
      </w:pPr>
      <w:r w:rsidRPr="00A455B1">
        <w:rPr>
          <w:rFonts w:eastAsia="Times New Roman" w:cs="Times New Roman"/>
          <w:color w:val="000000"/>
          <w:kern w:val="0"/>
          <w:sz w:val="27"/>
          <w:szCs w:val="27"/>
          <w:lang w:val="en-US" w:eastAsia="el-GR"/>
          <w14:ligatures w14:val="none"/>
        </w:rPr>
        <w:t>Collect data by race-sex pair on: (1) the count of institutions’ applied, admitted, and enrolled cohorts, both overall and further disaggregated by admission test score quintiles, GPA quintiles, ranges of family income, Pell Grant eligibility, and parental education; (2) the average high school grade point average and admission test score quintiles for institutions’ applied, admitted, and enrolled cohorts; (3) the count of students admitted via early action, early decision, or regular admissions.</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 xml:space="preserve">Once the notice of a new regulation is posted, it enters a “public comment” phase. The government is legally obligated to consider all comments. Hundreds of identical submissions have been filed about the new admissions rule. “As a concerned citizen, I am worried about the appearance of continued racial discrimination </w:t>
      </w:r>
      <w:r w:rsidRPr="00A455B1">
        <w:rPr>
          <w:rFonts w:ascii="Garamond" w:eastAsia="Times New Roman" w:hAnsi="Garamond" w:cs="Times New Roman"/>
          <w:color w:val="000000"/>
          <w:kern w:val="0"/>
          <w:sz w:val="33"/>
          <w:szCs w:val="33"/>
          <w:lang w:val="en-US" w:eastAsia="el-GR"/>
          <w14:ligatures w14:val="none"/>
        </w:rPr>
        <w:lastRenderedPageBreak/>
        <w:t>in college admissions,” they say, before citing research from Defending Education, a Virginia-based advocacy organization whose trustees include Edward Blum, the founder of Students for Fair Admissions.</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In theory, the new data being sought by the Education Department would allow the administration to re-create the Yale chart hundreds of times over. But the administration faces another obstacle: Over the past decade, and particularly since the pandemic, many selective universities have gone test-optional, meaning applicants don’t have to submit SAT or ACT scores. Columbia, Duke, Vanderbilt, and Amherst are among those that no longer require a standardized test. (Other elite schools have since brought back standardized-test requirements.) Proving that admissions aren’t “merit based” is hard if you lack reliable data about your preferred measure of “merit.”</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This difficulty might help explain certain demands in the administration’s higher-</w:t>
      </w:r>
      <w:proofErr w:type="spellStart"/>
      <w:r w:rsidRPr="00A455B1">
        <w:rPr>
          <w:rFonts w:ascii="Garamond" w:eastAsia="Times New Roman" w:hAnsi="Garamond" w:cs="Times New Roman"/>
          <w:color w:val="000000"/>
          <w:kern w:val="0"/>
          <w:sz w:val="33"/>
          <w:szCs w:val="33"/>
          <w:lang w:val="en-US" w:eastAsia="el-GR"/>
          <w14:ligatures w14:val="none"/>
        </w:rPr>
        <w:t>ed</w:t>
      </w:r>
      <w:proofErr w:type="spellEnd"/>
      <w:r w:rsidRPr="00A455B1">
        <w:rPr>
          <w:rFonts w:ascii="Garamond" w:eastAsia="Times New Roman" w:hAnsi="Garamond" w:cs="Times New Roman"/>
          <w:color w:val="000000"/>
          <w:kern w:val="0"/>
          <w:sz w:val="33"/>
          <w:szCs w:val="33"/>
          <w:lang w:val="en-US" w:eastAsia="el-GR"/>
          <w14:ligatures w14:val="none"/>
        </w:rPr>
        <w:t xml:space="preserve"> compact, which offers hazy promises of preferred access to funding if the schools in question adopt Trump’s higher-education agenda wholesale, and less vague threats of financial ruin if they don’t. (Last week, MIT became the first institution to </w:t>
      </w:r>
      <w:hyperlink r:id="rId15" w:history="1">
        <w:r w:rsidRPr="00A455B1">
          <w:rPr>
            <w:rFonts w:ascii="Garamond" w:eastAsia="Times New Roman" w:hAnsi="Garamond" w:cs="Times New Roman"/>
            <w:color w:val="000000"/>
            <w:kern w:val="0"/>
            <w:sz w:val="33"/>
            <w:szCs w:val="33"/>
            <w:u w:val="single"/>
            <w:lang w:val="en-US" w:eastAsia="el-GR"/>
            <w14:ligatures w14:val="none"/>
          </w:rPr>
          <w:t>reject</w:t>
        </w:r>
      </w:hyperlink>
      <w:r w:rsidRPr="00A455B1">
        <w:rPr>
          <w:rFonts w:ascii="Garamond" w:eastAsia="Times New Roman" w:hAnsi="Garamond" w:cs="Times New Roman"/>
          <w:color w:val="000000"/>
          <w:kern w:val="0"/>
          <w:sz w:val="33"/>
          <w:szCs w:val="33"/>
          <w:lang w:val="en-US" w:eastAsia="el-GR"/>
          <w14:ligatures w14:val="none"/>
        </w:rPr>
        <w:t> the deal.) Signatories, the compact explains, must not only promise not to use any “proxies” for race during admissions; among other requirements, they must “have all undergraduate applicants take a widely-used standardized test (i.e. SAT, ACT, or CLT) or program-specific measures of accomplishment in the case of music, art, and other specialized programs of study.”</w:t>
      </w:r>
    </w:p>
    <w:p w:rsidR="00A455B1" w:rsidRPr="00A455B1" w:rsidRDefault="008D327B" w:rsidP="00A455B1">
      <w:pPr>
        <w:spacing w:before="0" w:after="600" w:line="240" w:lineRule="auto"/>
        <w:rPr>
          <w:rFonts w:ascii="Courier New" w:eastAsia="Times New Roman" w:hAnsi="Courier New" w:cs="Courier New"/>
          <w:color w:val="000000"/>
          <w:kern w:val="0"/>
          <w:szCs w:val="24"/>
          <w:lang w:val="en-US" w:eastAsia="el-GR"/>
          <w14:ligatures w14:val="none"/>
        </w:rPr>
      </w:pPr>
      <w:hyperlink r:id="rId16" w:history="1">
        <w:r w:rsidR="00A455B1" w:rsidRPr="00A455B1">
          <w:rPr>
            <w:rFonts w:ascii="Courier New" w:eastAsia="Times New Roman" w:hAnsi="Courier New" w:cs="Courier New"/>
            <w:color w:val="000000"/>
            <w:kern w:val="0"/>
            <w:szCs w:val="24"/>
            <w:u w:val="single"/>
            <w:lang w:val="en-US" w:eastAsia="el-GR"/>
            <w14:ligatures w14:val="none"/>
          </w:rPr>
          <w:t xml:space="preserve">Rose </w:t>
        </w:r>
        <w:proofErr w:type="spellStart"/>
        <w:r w:rsidR="00A455B1" w:rsidRPr="00A455B1">
          <w:rPr>
            <w:rFonts w:ascii="Courier New" w:eastAsia="Times New Roman" w:hAnsi="Courier New" w:cs="Courier New"/>
            <w:color w:val="000000"/>
            <w:kern w:val="0"/>
            <w:szCs w:val="24"/>
            <w:u w:val="single"/>
            <w:lang w:val="en-US" w:eastAsia="el-GR"/>
            <w14:ligatures w14:val="none"/>
          </w:rPr>
          <w:t>Horowitch</w:t>
        </w:r>
        <w:proofErr w:type="spellEnd"/>
        <w:r w:rsidR="00A455B1" w:rsidRPr="00A455B1">
          <w:rPr>
            <w:rFonts w:ascii="Courier New" w:eastAsia="Times New Roman" w:hAnsi="Courier New" w:cs="Courier New"/>
            <w:color w:val="000000"/>
            <w:kern w:val="0"/>
            <w:szCs w:val="24"/>
            <w:u w:val="single"/>
            <w:lang w:val="en-US" w:eastAsia="el-GR"/>
            <w14:ligatures w14:val="none"/>
          </w:rPr>
          <w:t>: So much for class-based affirmative action</w:t>
        </w:r>
      </w:hyperlink>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 xml:space="preserve">In the Columbia and Brown settlements, the administration suggested that it will use the admissions data it gathers to conduct “appropriate statistical analyses.” This appears to be a euphemism for creating a new version of the Yale chart and declaring that any </w:t>
      </w:r>
      <w:r w:rsidRPr="00A455B1">
        <w:rPr>
          <w:rFonts w:ascii="Garamond" w:eastAsia="Times New Roman" w:hAnsi="Garamond" w:cs="Times New Roman"/>
          <w:color w:val="000000"/>
          <w:kern w:val="0"/>
          <w:sz w:val="33"/>
          <w:szCs w:val="33"/>
          <w:lang w:val="en-US" w:eastAsia="el-GR"/>
          <w14:ligatures w14:val="none"/>
        </w:rPr>
        <w:lastRenderedPageBreak/>
        <w:t>overrepresentation of minority students relative to their scores is evidence of illegal preferences. In fact, there is no statistically valid way to conclusively prove racial bias in an incredibly complex process like college admissions just by calculating average SAT scores. The </w:t>
      </w:r>
      <w:r w:rsidRPr="00A455B1">
        <w:rPr>
          <w:rFonts w:ascii="Garamond" w:eastAsia="Times New Roman" w:hAnsi="Garamond" w:cs="Times New Roman"/>
          <w:i/>
          <w:iCs/>
          <w:color w:val="000000"/>
          <w:kern w:val="0"/>
          <w:sz w:val="33"/>
          <w:szCs w:val="33"/>
          <w:lang w:val="en-US" w:eastAsia="el-GR"/>
          <w14:ligatures w14:val="none"/>
        </w:rPr>
        <w:t>SFFA </w:t>
      </w:r>
      <w:r w:rsidRPr="00A455B1">
        <w:rPr>
          <w:rFonts w:ascii="Garamond" w:eastAsia="Times New Roman" w:hAnsi="Garamond" w:cs="Times New Roman"/>
          <w:color w:val="000000"/>
          <w:kern w:val="0"/>
          <w:sz w:val="33"/>
          <w:szCs w:val="33"/>
          <w:lang w:val="en-US" w:eastAsia="el-GR"/>
          <w14:ligatures w14:val="none"/>
        </w:rPr>
        <w:t>case itself showed how difficult such determinations can be when done in good faith. Highly </w:t>
      </w:r>
      <w:hyperlink r:id="rId17" w:history="1">
        <w:r w:rsidRPr="00A455B1">
          <w:rPr>
            <w:rFonts w:ascii="Garamond" w:eastAsia="Times New Roman" w:hAnsi="Garamond" w:cs="Times New Roman"/>
            <w:color w:val="000000"/>
            <w:kern w:val="0"/>
            <w:sz w:val="33"/>
            <w:szCs w:val="33"/>
            <w:u w:val="single"/>
            <w:lang w:val="en-US" w:eastAsia="el-GR"/>
            <w14:ligatures w14:val="none"/>
          </w:rPr>
          <w:t>respected</w:t>
        </w:r>
      </w:hyperlink>
      <w:r w:rsidRPr="00A455B1">
        <w:rPr>
          <w:rFonts w:ascii="Garamond" w:eastAsia="Times New Roman" w:hAnsi="Garamond" w:cs="Times New Roman"/>
          <w:color w:val="000000"/>
          <w:kern w:val="0"/>
          <w:sz w:val="33"/>
          <w:szCs w:val="33"/>
          <w:lang w:val="en-US" w:eastAsia="el-GR"/>
          <w14:ligatures w14:val="none"/>
        </w:rPr>
        <w:t> </w:t>
      </w:r>
      <w:hyperlink r:id="rId18" w:history="1">
        <w:r w:rsidRPr="00A455B1">
          <w:rPr>
            <w:rFonts w:ascii="Garamond" w:eastAsia="Times New Roman" w:hAnsi="Garamond" w:cs="Times New Roman"/>
            <w:color w:val="000000"/>
            <w:kern w:val="0"/>
            <w:sz w:val="33"/>
            <w:szCs w:val="33"/>
            <w:u w:val="single"/>
            <w:lang w:val="en-US" w:eastAsia="el-GR"/>
            <w14:ligatures w14:val="none"/>
          </w:rPr>
          <w:t>economists</w:t>
        </w:r>
      </w:hyperlink>
      <w:r w:rsidRPr="00A455B1">
        <w:rPr>
          <w:rFonts w:ascii="Garamond" w:eastAsia="Times New Roman" w:hAnsi="Garamond" w:cs="Times New Roman"/>
          <w:color w:val="000000"/>
          <w:kern w:val="0"/>
          <w:sz w:val="33"/>
          <w:szCs w:val="33"/>
          <w:lang w:val="en-US" w:eastAsia="el-GR"/>
          <w14:ligatures w14:val="none"/>
        </w:rPr>
        <w:t> testified for both sides on the question of whether Harvard had discriminated against Asian students—and arrived at opposite conclusions. The divergence came down to subtle choices in which variables to include and how to model the highly complicated and, in certain respects, inherently unquantifiable admissions process. (Ultimately, the Supreme Court did not pick a side, focusing instead on the question of whether the Fourteenth Amendment prohibits colleges from considering race as an admissions factor to promote educational diversity.)</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Elite universities have never had a “merit based” admissions process based solely on high-school grades and test scores. Nor should they. These institutions are spoiled for choice among applicants with perfect GPAs and 1600 SATs. They look for unusual talents and leadership potential, and these are not merely ways to achieve racial diversity by other means. In fact, Peter Arcidiacono, </w:t>
      </w:r>
      <w:r w:rsidRPr="00A455B1">
        <w:rPr>
          <w:rFonts w:ascii="Garamond" w:eastAsia="Times New Roman" w:hAnsi="Garamond" w:cs="Times New Roman"/>
          <w:i/>
          <w:iCs/>
          <w:color w:val="000000"/>
          <w:kern w:val="0"/>
          <w:sz w:val="33"/>
          <w:szCs w:val="33"/>
          <w:lang w:val="en-US" w:eastAsia="el-GR"/>
          <w14:ligatures w14:val="none"/>
        </w:rPr>
        <w:t>SFFA</w:t>
      </w:r>
      <w:r w:rsidRPr="00A455B1">
        <w:rPr>
          <w:rFonts w:ascii="Garamond" w:eastAsia="Times New Roman" w:hAnsi="Garamond" w:cs="Times New Roman"/>
          <w:color w:val="000000"/>
          <w:kern w:val="0"/>
          <w:sz w:val="33"/>
          <w:szCs w:val="33"/>
          <w:lang w:val="en-US" w:eastAsia="el-GR"/>
          <w14:ligatures w14:val="none"/>
        </w:rPr>
        <w:t>’s expert witness, found that at Harvard, getting an admissions bump for sports was statistically correlated with being white.</w:t>
      </w:r>
    </w:p>
    <w:p w:rsidR="00A455B1" w:rsidRPr="00A455B1" w:rsidRDefault="00A455B1" w:rsidP="00A455B1">
      <w:pPr>
        <w:spacing w:before="0" w:after="450" w:line="240" w:lineRule="auto"/>
        <w:rPr>
          <w:rFonts w:ascii="Garamond" w:eastAsia="Times New Roman" w:hAnsi="Garamond" w:cs="Times New Roman"/>
          <w:color w:val="000000"/>
          <w:kern w:val="0"/>
          <w:sz w:val="33"/>
          <w:szCs w:val="33"/>
          <w:lang w:val="en-US" w:eastAsia="el-GR"/>
          <w14:ligatures w14:val="none"/>
        </w:rPr>
      </w:pPr>
      <w:r w:rsidRPr="00A455B1">
        <w:rPr>
          <w:rFonts w:ascii="Garamond" w:eastAsia="Times New Roman" w:hAnsi="Garamond" w:cs="Times New Roman"/>
          <w:color w:val="000000"/>
          <w:kern w:val="0"/>
          <w:sz w:val="33"/>
          <w:szCs w:val="33"/>
          <w:lang w:val="en-US" w:eastAsia="el-GR"/>
          <w14:ligatures w14:val="none"/>
        </w:rPr>
        <w:t xml:space="preserve">And yet the Department of Education seems unlikely to declare admissions preferences for athletes an illegal racial proxy. The Trump administration appears to have already made its conclusions about higher education, and is </w:t>
      </w:r>
      <w:proofErr w:type="gramStart"/>
      <w:r w:rsidRPr="00A455B1">
        <w:rPr>
          <w:rFonts w:ascii="Garamond" w:eastAsia="Times New Roman" w:hAnsi="Garamond" w:cs="Times New Roman"/>
          <w:color w:val="000000"/>
          <w:kern w:val="0"/>
          <w:sz w:val="33"/>
          <w:szCs w:val="33"/>
          <w:lang w:val="en-US" w:eastAsia="el-GR"/>
          <w14:ligatures w14:val="none"/>
        </w:rPr>
        <w:t>now</w:t>
      </w:r>
      <w:r w:rsidR="008D327B">
        <w:rPr>
          <w:rFonts w:ascii="Garamond" w:eastAsia="Times New Roman" w:hAnsi="Garamond" w:cs="Times New Roman"/>
          <w:color w:val="000000"/>
          <w:kern w:val="0"/>
          <w:sz w:val="33"/>
          <w:szCs w:val="33"/>
          <w:lang w:val="en-US" w:eastAsia="el-GR"/>
          <w14:ligatures w14:val="none"/>
        </w:rPr>
        <w:t>.hvkvfhjvjh</w:t>
      </w:r>
      <w:bookmarkStart w:id="0" w:name="_GoBack"/>
      <w:bookmarkEnd w:id="0"/>
      <w:proofErr w:type="gramEnd"/>
      <w:r w:rsidRPr="00A455B1">
        <w:rPr>
          <w:rFonts w:ascii="Garamond" w:eastAsia="Times New Roman" w:hAnsi="Garamond" w:cs="Times New Roman"/>
          <w:color w:val="000000"/>
          <w:kern w:val="0"/>
          <w:sz w:val="33"/>
          <w:szCs w:val="33"/>
          <w:lang w:val="en-US" w:eastAsia="el-GR"/>
          <w14:ligatures w14:val="none"/>
        </w:rPr>
        <w:t xml:space="preserve"> seeking to backfill the data that will justify them. Trump’s precise vision for elite academia remains ill-defined, but it does not seem to make much room for nonwhite faces. It’s another step toward what </w:t>
      </w:r>
      <w:r w:rsidRPr="00A455B1">
        <w:rPr>
          <w:rFonts w:ascii="Garamond" w:eastAsia="Times New Roman" w:hAnsi="Garamond" w:cs="Times New Roman"/>
          <w:i/>
          <w:iCs/>
          <w:color w:val="000000"/>
          <w:kern w:val="0"/>
          <w:sz w:val="33"/>
          <w:szCs w:val="33"/>
          <w:lang w:val="en-US" w:eastAsia="el-GR"/>
          <w14:ligatures w14:val="none"/>
        </w:rPr>
        <w:t>The Atlantic</w:t>
      </w:r>
      <w:r w:rsidRPr="00A455B1">
        <w:rPr>
          <w:rFonts w:ascii="Garamond" w:eastAsia="Times New Roman" w:hAnsi="Garamond" w:cs="Times New Roman"/>
          <w:color w:val="000000"/>
          <w:kern w:val="0"/>
          <w:sz w:val="33"/>
          <w:szCs w:val="33"/>
          <w:lang w:val="en-US" w:eastAsia="el-GR"/>
          <w14:ligatures w14:val="none"/>
        </w:rPr>
        <w:t xml:space="preserve">’s Adam </w:t>
      </w:r>
      <w:proofErr w:type="spellStart"/>
      <w:r w:rsidRPr="00A455B1">
        <w:rPr>
          <w:rFonts w:ascii="Garamond" w:eastAsia="Times New Roman" w:hAnsi="Garamond" w:cs="Times New Roman"/>
          <w:color w:val="000000"/>
          <w:kern w:val="0"/>
          <w:sz w:val="33"/>
          <w:szCs w:val="33"/>
          <w:lang w:val="en-US" w:eastAsia="el-GR"/>
          <w14:ligatures w14:val="none"/>
        </w:rPr>
        <w:t>Serwer</w:t>
      </w:r>
      <w:proofErr w:type="spellEnd"/>
      <w:r w:rsidRPr="00A455B1">
        <w:rPr>
          <w:rFonts w:ascii="Garamond" w:eastAsia="Times New Roman" w:hAnsi="Garamond" w:cs="Times New Roman"/>
          <w:color w:val="000000"/>
          <w:kern w:val="0"/>
          <w:sz w:val="33"/>
          <w:szCs w:val="33"/>
          <w:lang w:val="en-US" w:eastAsia="el-GR"/>
          <w14:ligatures w14:val="none"/>
        </w:rPr>
        <w:t xml:space="preserve"> has called the “</w:t>
      </w:r>
      <w:hyperlink r:id="rId19" w:history="1">
        <w:r w:rsidRPr="00A455B1">
          <w:rPr>
            <w:rFonts w:ascii="Garamond" w:eastAsia="Times New Roman" w:hAnsi="Garamond" w:cs="Times New Roman"/>
            <w:color w:val="000000"/>
            <w:kern w:val="0"/>
            <w:sz w:val="33"/>
            <w:szCs w:val="33"/>
            <w:u w:val="single"/>
            <w:lang w:val="en-US" w:eastAsia="el-GR"/>
            <w14:ligatures w14:val="none"/>
          </w:rPr>
          <w:t xml:space="preserve">Great </w:t>
        </w:r>
        <w:proofErr w:type="spellStart"/>
        <w:r w:rsidRPr="00A455B1">
          <w:rPr>
            <w:rFonts w:ascii="Garamond" w:eastAsia="Times New Roman" w:hAnsi="Garamond" w:cs="Times New Roman"/>
            <w:color w:val="000000"/>
            <w:kern w:val="0"/>
            <w:sz w:val="33"/>
            <w:szCs w:val="33"/>
            <w:u w:val="single"/>
            <w:lang w:val="en-US" w:eastAsia="el-GR"/>
            <w14:ligatures w14:val="none"/>
          </w:rPr>
          <w:t>Resegregation</w:t>
        </w:r>
        <w:proofErr w:type="spellEnd"/>
      </w:hyperlink>
      <w:r w:rsidRPr="00A455B1">
        <w:rPr>
          <w:rFonts w:ascii="Garamond" w:eastAsia="Times New Roman" w:hAnsi="Garamond" w:cs="Times New Roman"/>
          <w:color w:val="000000"/>
          <w:kern w:val="0"/>
          <w:sz w:val="33"/>
          <w:szCs w:val="33"/>
          <w:lang w:val="en-US" w:eastAsia="el-GR"/>
          <w14:ligatures w14:val="none"/>
        </w:rPr>
        <w:t>.” The administration has been </w:t>
      </w:r>
      <w:hyperlink r:id="rId20" w:history="1">
        <w:r w:rsidRPr="00A455B1">
          <w:rPr>
            <w:rFonts w:ascii="Garamond" w:eastAsia="Times New Roman" w:hAnsi="Garamond" w:cs="Times New Roman"/>
            <w:color w:val="000000"/>
            <w:kern w:val="0"/>
            <w:sz w:val="33"/>
            <w:szCs w:val="33"/>
            <w:u w:val="single"/>
            <w:lang w:val="en-US" w:eastAsia="el-GR"/>
            <w14:ligatures w14:val="none"/>
          </w:rPr>
          <w:t>systematically removing</w:t>
        </w:r>
      </w:hyperlink>
      <w:r w:rsidRPr="00A455B1">
        <w:rPr>
          <w:rFonts w:ascii="Garamond" w:eastAsia="Times New Roman" w:hAnsi="Garamond" w:cs="Times New Roman"/>
          <w:color w:val="000000"/>
          <w:kern w:val="0"/>
          <w:sz w:val="33"/>
          <w:szCs w:val="33"/>
          <w:lang w:val="en-US" w:eastAsia="el-GR"/>
          <w14:ligatures w14:val="none"/>
        </w:rPr>
        <w:t xml:space="preserve"> Black people from senior government positions. Its </w:t>
      </w:r>
      <w:r w:rsidRPr="00A455B1">
        <w:rPr>
          <w:rFonts w:ascii="Garamond" w:eastAsia="Times New Roman" w:hAnsi="Garamond" w:cs="Times New Roman"/>
          <w:color w:val="000000"/>
          <w:kern w:val="0"/>
          <w:sz w:val="33"/>
          <w:szCs w:val="33"/>
          <w:lang w:val="en-US" w:eastAsia="el-GR"/>
          <w14:ligatures w14:val="none"/>
        </w:rPr>
        <w:lastRenderedPageBreak/>
        <w:t>college-admissions policy might ensure that the next generation of diverse leadership is stopped before it begins.</w:t>
      </w:r>
    </w:p>
    <w:p w:rsidR="00A455B1" w:rsidRPr="00A455B1" w:rsidRDefault="00A455B1" w:rsidP="00A455B1">
      <w:pPr>
        <w:spacing w:after="0" w:line="510" w:lineRule="atLeast"/>
        <w:outlineLvl w:val="2"/>
        <w:rPr>
          <w:rFonts w:ascii="Times" w:eastAsia="Times New Roman" w:hAnsi="Times" w:cs="Times"/>
          <w:caps/>
          <w:color w:val="000000"/>
          <w:spacing w:val="15"/>
          <w:kern w:val="0"/>
          <w:sz w:val="48"/>
          <w:szCs w:val="48"/>
          <w:lang w:val="en-US" w:eastAsia="el-GR"/>
          <w14:ligatures w14:val="none"/>
        </w:rPr>
      </w:pPr>
      <w:r w:rsidRPr="00A455B1">
        <w:rPr>
          <w:rFonts w:ascii="Times" w:eastAsia="Times New Roman" w:hAnsi="Times" w:cs="Times"/>
          <w:caps/>
          <w:color w:val="000000"/>
          <w:spacing w:val="15"/>
          <w:kern w:val="0"/>
          <w:sz w:val="48"/>
          <w:szCs w:val="48"/>
          <w:lang w:val="en-US" w:eastAsia="el-GR"/>
          <w14:ligatures w14:val="none"/>
        </w:rPr>
        <w:t>About the Author</w:t>
      </w:r>
    </w:p>
    <w:p w:rsidR="00A455B1" w:rsidRPr="00A455B1" w:rsidRDefault="008D327B" w:rsidP="00A455B1">
      <w:pPr>
        <w:spacing w:line="240" w:lineRule="auto"/>
        <w:rPr>
          <w:rFonts w:ascii="Garamond" w:eastAsia="Times New Roman" w:hAnsi="Garamond" w:cs="Times New Roman"/>
          <w:b/>
          <w:bCs/>
          <w:color w:val="000000"/>
          <w:kern w:val="0"/>
          <w:sz w:val="30"/>
          <w:szCs w:val="30"/>
          <w:lang w:val="en-US" w:eastAsia="el-GR"/>
          <w14:ligatures w14:val="none"/>
        </w:rPr>
      </w:pPr>
      <w:hyperlink r:id="rId21" w:history="1">
        <w:r w:rsidR="00A455B1" w:rsidRPr="00A455B1">
          <w:rPr>
            <w:rFonts w:ascii="Garamond" w:eastAsia="Times New Roman" w:hAnsi="Garamond" w:cs="Times New Roman"/>
            <w:b/>
            <w:bCs/>
            <w:color w:val="000000"/>
            <w:kern w:val="0"/>
            <w:sz w:val="30"/>
            <w:szCs w:val="30"/>
            <w:lang w:val="en-US" w:eastAsia="el-GR"/>
            <w14:ligatures w14:val="none"/>
          </w:rPr>
          <w:t>Kevin Carey</w:t>
        </w:r>
      </w:hyperlink>
    </w:p>
    <w:p w:rsidR="00A455B1" w:rsidRPr="00A455B1" w:rsidRDefault="008D327B" w:rsidP="00A455B1">
      <w:pPr>
        <w:spacing w:before="0" w:line="390" w:lineRule="atLeast"/>
        <w:rPr>
          <w:rFonts w:ascii="Garamond" w:eastAsia="Times New Roman" w:hAnsi="Garamond" w:cs="Times New Roman"/>
          <w:color w:val="000000"/>
          <w:kern w:val="0"/>
          <w:sz w:val="30"/>
          <w:szCs w:val="30"/>
          <w:lang w:val="en-US" w:eastAsia="el-GR"/>
          <w14:ligatures w14:val="none"/>
        </w:rPr>
      </w:pPr>
      <w:hyperlink r:id="rId22" w:history="1">
        <w:r w:rsidR="00A455B1" w:rsidRPr="00A455B1">
          <w:rPr>
            <w:rFonts w:ascii="Garamond" w:eastAsia="Times New Roman" w:hAnsi="Garamond" w:cs="Times New Roman"/>
            <w:color w:val="0000FF"/>
            <w:kern w:val="0"/>
            <w:sz w:val="30"/>
            <w:szCs w:val="30"/>
            <w:u w:val="single"/>
            <w:lang w:val="en-US" w:eastAsia="el-GR"/>
            <w14:ligatures w14:val="none"/>
          </w:rPr>
          <w:t>Kevin Carey</w:t>
        </w:r>
      </w:hyperlink>
      <w:r w:rsidR="00A455B1" w:rsidRPr="00A455B1">
        <w:rPr>
          <w:rFonts w:ascii="Garamond" w:eastAsia="Times New Roman" w:hAnsi="Garamond" w:cs="Times New Roman"/>
          <w:color w:val="000000"/>
          <w:kern w:val="0"/>
          <w:sz w:val="30"/>
          <w:szCs w:val="30"/>
          <w:lang w:val="en-US" w:eastAsia="el-GR"/>
          <w14:ligatures w14:val="none"/>
        </w:rPr>
        <w:t> directs the education policy program at New America.</w:t>
      </w:r>
    </w:p>
    <w:p w:rsidR="00A455B1" w:rsidRPr="00A455B1" w:rsidRDefault="00A455B1" w:rsidP="00A455B1">
      <w:pPr>
        <w:rPr>
          <w:lang w:val="en-US"/>
        </w:rPr>
      </w:pPr>
    </w:p>
    <w:p w:rsidR="00A455B1" w:rsidRPr="00A455B1" w:rsidRDefault="00A455B1" w:rsidP="00A455B1">
      <w:pPr>
        <w:rPr>
          <w:lang w:val="en-US"/>
        </w:rPr>
      </w:pPr>
    </w:p>
    <w:sectPr w:rsidR="00A455B1" w:rsidRPr="00A455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B1"/>
    <w:rsid w:val="001F3581"/>
    <w:rsid w:val="008D327B"/>
    <w:rsid w:val="00A455B1"/>
    <w:rsid w:val="00C87F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3399"/>
  <w15:chartTrackingRefBased/>
  <w15:docId w15:val="{34E244B0-1934-4FA3-A56E-1A3D24E7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F32"/>
    <w:pPr>
      <w:spacing w:before="120" w:after="120" w:line="360" w:lineRule="auto"/>
      <w:jc w:val="both"/>
    </w:pPr>
    <w:rPr>
      <w:rFonts w:ascii="Times New Roman" w:hAnsi="Times New Roman"/>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463841">
      <w:bodyDiv w:val="1"/>
      <w:marLeft w:val="0"/>
      <w:marRight w:val="0"/>
      <w:marTop w:val="0"/>
      <w:marBottom w:val="0"/>
      <w:divBdr>
        <w:top w:val="none" w:sz="0" w:space="0" w:color="auto"/>
        <w:left w:val="none" w:sz="0" w:space="0" w:color="auto"/>
        <w:bottom w:val="none" w:sz="0" w:space="0" w:color="auto"/>
        <w:right w:val="none" w:sz="0" w:space="0" w:color="auto"/>
      </w:divBdr>
      <w:divsChild>
        <w:div w:id="613053830">
          <w:marLeft w:val="0"/>
          <w:marRight w:val="0"/>
          <w:marTop w:val="960"/>
          <w:marBottom w:val="0"/>
          <w:divBdr>
            <w:top w:val="none" w:sz="0" w:space="0" w:color="auto"/>
            <w:left w:val="none" w:sz="0" w:space="0" w:color="auto"/>
            <w:bottom w:val="none" w:sz="0" w:space="0" w:color="auto"/>
            <w:right w:val="none" w:sz="0" w:space="0" w:color="auto"/>
          </w:divBdr>
          <w:divsChild>
            <w:div w:id="978264268">
              <w:marLeft w:val="0"/>
              <w:marRight w:val="0"/>
              <w:marTop w:val="0"/>
              <w:marBottom w:val="420"/>
              <w:divBdr>
                <w:top w:val="none" w:sz="0" w:space="0" w:color="auto"/>
                <w:left w:val="none" w:sz="0" w:space="0" w:color="auto"/>
                <w:bottom w:val="none" w:sz="0" w:space="0" w:color="auto"/>
                <w:right w:val="none" w:sz="0" w:space="0" w:color="auto"/>
              </w:divBdr>
              <w:divsChild>
                <w:div w:id="123743397">
                  <w:marLeft w:val="0"/>
                  <w:marRight w:val="0"/>
                  <w:marTop w:val="0"/>
                  <w:marBottom w:val="0"/>
                  <w:divBdr>
                    <w:top w:val="none" w:sz="0" w:space="0" w:color="auto"/>
                    <w:left w:val="none" w:sz="0" w:space="0" w:color="auto"/>
                    <w:bottom w:val="none" w:sz="0" w:space="0" w:color="auto"/>
                    <w:right w:val="none" w:sz="0" w:space="0" w:color="auto"/>
                  </w:divBdr>
                </w:div>
              </w:divsChild>
            </w:div>
            <w:div w:id="1237125961">
              <w:marLeft w:val="0"/>
              <w:marRight w:val="0"/>
              <w:marTop w:val="0"/>
              <w:marBottom w:val="270"/>
              <w:divBdr>
                <w:top w:val="none" w:sz="0" w:space="0" w:color="auto"/>
                <w:left w:val="none" w:sz="0" w:space="0" w:color="auto"/>
                <w:bottom w:val="none" w:sz="0" w:space="0" w:color="auto"/>
                <w:right w:val="none" w:sz="0" w:space="0" w:color="auto"/>
              </w:divBdr>
            </w:div>
            <w:div w:id="163936826">
              <w:marLeft w:val="0"/>
              <w:marRight w:val="0"/>
              <w:marTop w:val="0"/>
              <w:marBottom w:val="270"/>
              <w:divBdr>
                <w:top w:val="none" w:sz="0" w:space="0" w:color="auto"/>
                <w:left w:val="none" w:sz="0" w:space="0" w:color="auto"/>
                <w:bottom w:val="none" w:sz="0" w:space="0" w:color="auto"/>
                <w:right w:val="none" w:sz="0" w:space="0" w:color="auto"/>
              </w:divBdr>
            </w:div>
            <w:div w:id="1311591073">
              <w:marLeft w:val="0"/>
              <w:marRight w:val="0"/>
              <w:marTop w:val="0"/>
              <w:marBottom w:val="1680"/>
              <w:divBdr>
                <w:top w:val="none" w:sz="0" w:space="0" w:color="auto"/>
                <w:left w:val="none" w:sz="0" w:space="0" w:color="auto"/>
                <w:bottom w:val="none" w:sz="0" w:space="0" w:color="auto"/>
                <w:right w:val="none" w:sz="0" w:space="0" w:color="auto"/>
              </w:divBdr>
              <w:divsChild>
                <w:div w:id="9974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9609">
          <w:marLeft w:val="0"/>
          <w:marRight w:val="0"/>
          <w:marTop w:val="0"/>
          <w:marBottom w:val="690"/>
          <w:divBdr>
            <w:top w:val="none" w:sz="0" w:space="0" w:color="auto"/>
            <w:left w:val="none" w:sz="0" w:space="0" w:color="auto"/>
            <w:bottom w:val="none" w:sz="0" w:space="0" w:color="auto"/>
            <w:right w:val="none" w:sz="0" w:space="0" w:color="auto"/>
          </w:divBdr>
          <w:divsChild>
            <w:div w:id="10808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00053">
      <w:bodyDiv w:val="1"/>
      <w:marLeft w:val="0"/>
      <w:marRight w:val="0"/>
      <w:marTop w:val="0"/>
      <w:marBottom w:val="0"/>
      <w:divBdr>
        <w:top w:val="none" w:sz="0" w:space="0" w:color="auto"/>
        <w:left w:val="none" w:sz="0" w:space="0" w:color="auto"/>
        <w:bottom w:val="none" w:sz="0" w:space="0" w:color="auto"/>
        <w:right w:val="none" w:sz="0" w:space="0" w:color="auto"/>
      </w:divBdr>
      <w:divsChild>
        <w:div w:id="2010517268">
          <w:marLeft w:val="0"/>
          <w:marRight w:val="0"/>
          <w:marTop w:val="975"/>
          <w:marBottom w:val="405"/>
          <w:divBdr>
            <w:top w:val="none" w:sz="0" w:space="0" w:color="auto"/>
            <w:left w:val="none" w:sz="0" w:space="0" w:color="auto"/>
            <w:bottom w:val="none" w:sz="0" w:space="0" w:color="auto"/>
            <w:right w:val="none" w:sz="0" w:space="0" w:color="auto"/>
          </w:divBdr>
          <w:divsChild>
            <w:div w:id="1817068551">
              <w:marLeft w:val="0"/>
              <w:marRight w:val="0"/>
              <w:marTop w:val="960"/>
              <w:marBottom w:val="0"/>
              <w:divBdr>
                <w:top w:val="none" w:sz="0" w:space="0" w:color="auto"/>
                <w:left w:val="none" w:sz="0" w:space="0" w:color="auto"/>
                <w:bottom w:val="none" w:sz="0" w:space="0" w:color="auto"/>
                <w:right w:val="none" w:sz="0" w:space="0" w:color="auto"/>
              </w:divBdr>
              <w:divsChild>
                <w:div w:id="200676064">
                  <w:marLeft w:val="0"/>
                  <w:marRight w:val="0"/>
                  <w:marTop w:val="0"/>
                  <w:marBottom w:val="270"/>
                  <w:divBdr>
                    <w:top w:val="none" w:sz="0" w:space="0" w:color="auto"/>
                    <w:left w:val="none" w:sz="0" w:space="0" w:color="auto"/>
                    <w:bottom w:val="none" w:sz="0" w:space="0" w:color="auto"/>
                    <w:right w:val="none" w:sz="0" w:space="0" w:color="auto"/>
                  </w:divBdr>
                </w:div>
                <w:div w:id="786657187">
                  <w:marLeft w:val="0"/>
                  <w:marRight w:val="0"/>
                  <w:marTop w:val="0"/>
                  <w:marBottom w:val="270"/>
                  <w:divBdr>
                    <w:top w:val="none" w:sz="0" w:space="0" w:color="auto"/>
                    <w:left w:val="none" w:sz="0" w:space="0" w:color="auto"/>
                    <w:bottom w:val="none" w:sz="0" w:space="0" w:color="auto"/>
                    <w:right w:val="none" w:sz="0" w:space="0" w:color="auto"/>
                  </w:divBdr>
                </w:div>
                <w:div w:id="1826819152">
                  <w:marLeft w:val="0"/>
                  <w:marRight w:val="0"/>
                  <w:marTop w:val="0"/>
                  <w:marBottom w:val="1680"/>
                  <w:divBdr>
                    <w:top w:val="none" w:sz="0" w:space="0" w:color="auto"/>
                    <w:left w:val="none" w:sz="0" w:space="0" w:color="auto"/>
                    <w:bottom w:val="none" w:sz="0" w:space="0" w:color="auto"/>
                    <w:right w:val="none" w:sz="0" w:space="0" w:color="auto"/>
                  </w:divBdr>
                  <w:divsChild>
                    <w:div w:id="15205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7189">
              <w:marLeft w:val="0"/>
              <w:marRight w:val="0"/>
              <w:marTop w:val="0"/>
              <w:marBottom w:val="690"/>
              <w:divBdr>
                <w:top w:val="none" w:sz="0" w:space="0" w:color="auto"/>
                <w:left w:val="none" w:sz="0" w:space="0" w:color="auto"/>
                <w:bottom w:val="none" w:sz="0" w:space="0" w:color="auto"/>
                <w:right w:val="none" w:sz="0" w:space="0" w:color="auto"/>
              </w:divBdr>
              <w:divsChild>
                <w:div w:id="1793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8716">
          <w:marLeft w:val="0"/>
          <w:marRight w:val="0"/>
          <w:marTop w:val="0"/>
          <w:marBottom w:val="0"/>
          <w:divBdr>
            <w:top w:val="none" w:sz="0" w:space="0" w:color="auto"/>
            <w:left w:val="none" w:sz="0" w:space="0" w:color="auto"/>
            <w:bottom w:val="none" w:sz="0" w:space="0" w:color="auto"/>
            <w:right w:val="none" w:sz="0" w:space="0" w:color="auto"/>
          </w:divBdr>
          <w:divsChild>
            <w:div w:id="269900212">
              <w:marLeft w:val="0"/>
              <w:marRight w:val="0"/>
              <w:marTop w:val="0"/>
              <w:marBottom w:val="0"/>
              <w:divBdr>
                <w:top w:val="none" w:sz="0" w:space="0" w:color="auto"/>
                <w:left w:val="none" w:sz="0" w:space="0" w:color="auto"/>
                <w:bottom w:val="none" w:sz="0" w:space="0" w:color="auto"/>
                <w:right w:val="none" w:sz="0" w:space="0" w:color="auto"/>
              </w:divBdr>
            </w:div>
            <w:div w:id="1383864542">
              <w:marLeft w:val="0"/>
              <w:marRight w:val="0"/>
              <w:marTop w:val="0"/>
              <w:marBottom w:val="0"/>
              <w:divBdr>
                <w:top w:val="none" w:sz="0" w:space="0" w:color="auto"/>
                <w:left w:val="none" w:sz="0" w:space="0" w:color="auto"/>
                <w:bottom w:val="none" w:sz="0" w:space="0" w:color="auto"/>
                <w:right w:val="none" w:sz="0" w:space="0" w:color="auto"/>
              </w:divBdr>
              <w:divsChild>
                <w:div w:id="2137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0983">
          <w:marLeft w:val="0"/>
          <w:marRight w:val="0"/>
          <w:marTop w:val="0"/>
          <w:marBottom w:val="600"/>
          <w:divBdr>
            <w:top w:val="none" w:sz="0" w:space="0" w:color="auto"/>
            <w:left w:val="none" w:sz="0" w:space="0" w:color="auto"/>
            <w:bottom w:val="none" w:sz="0" w:space="0" w:color="auto"/>
            <w:right w:val="none" w:sz="0" w:space="0" w:color="auto"/>
          </w:divBdr>
          <w:divsChild>
            <w:div w:id="816995804">
              <w:marLeft w:val="0"/>
              <w:marRight w:val="0"/>
              <w:marTop w:val="0"/>
              <w:marBottom w:val="120"/>
              <w:divBdr>
                <w:top w:val="none" w:sz="0" w:space="0" w:color="auto"/>
                <w:left w:val="none" w:sz="0" w:space="0" w:color="auto"/>
                <w:bottom w:val="none" w:sz="0" w:space="0" w:color="auto"/>
                <w:right w:val="none" w:sz="0" w:space="0" w:color="auto"/>
              </w:divBdr>
              <w:divsChild>
                <w:div w:id="377828096">
                  <w:marLeft w:val="0"/>
                  <w:marRight w:val="0"/>
                  <w:marTop w:val="0"/>
                  <w:marBottom w:val="0"/>
                  <w:divBdr>
                    <w:top w:val="none" w:sz="0" w:space="0" w:color="auto"/>
                    <w:left w:val="none" w:sz="0" w:space="0" w:color="auto"/>
                    <w:bottom w:val="none" w:sz="0" w:space="0" w:color="auto"/>
                    <w:right w:val="none" w:sz="0" w:space="0" w:color="auto"/>
                  </w:divBdr>
                  <w:divsChild>
                    <w:div w:id="2042053237">
                      <w:marLeft w:val="0"/>
                      <w:marRight w:val="0"/>
                      <w:marTop w:val="0"/>
                      <w:marBottom w:val="0"/>
                      <w:divBdr>
                        <w:top w:val="none" w:sz="0" w:space="0" w:color="auto"/>
                        <w:left w:val="none" w:sz="0" w:space="0" w:color="auto"/>
                        <w:bottom w:val="none" w:sz="0" w:space="0" w:color="auto"/>
                        <w:right w:val="none" w:sz="0" w:space="0" w:color="auto"/>
                      </w:divBdr>
                    </w:div>
                  </w:divsChild>
                </w:div>
                <w:div w:id="1315450327">
                  <w:marLeft w:val="0"/>
                  <w:marRight w:val="0"/>
                  <w:marTop w:val="0"/>
                  <w:marBottom w:val="0"/>
                  <w:divBdr>
                    <w:top w:val="none" w:sz="0" w:space="0" w:color="auto"/>
                    <w:left w:val="none" w:sz="0" w:space="0" w:color="auto"/>
                    <w:bottom w:val="none" w:sz="0" w:space="0" w:color="auto"/>
                    <w:right w:val="none" w:sz="0" w:space="0" w:color="auto"/>
                  </w:divBdr>
                  <w:divsChild>
                    <w:div w:id="518084109">
                      <w:marLeft w:val="0"/>
                      <w:marRight w:val="0"/>
                      <w:marTop w:val="0"/>
                      <w:marBottom w:val="150"/>
                      <w:divBdr>
                        <w:top w:val="none" w:sz="0" w:space="0" w:color="auto"/>
                        <w:left w:val="none" w:sz="0" w:space="0" w:color="auto"/>
                        <w:bottom w:val="none" w:sz="0" w:space="0" w:color="auto"/>
                        <w:right w:val="none" w:sz="0" w:space="0" w:color="auto"/>
                      </w:divBdr>
                    </w:div>
                    <w:div w:id="579601817">
                      <w:marLeft w:val="0"/>
                      <w:marRight w:val="0"/>
                      <w:marTop w:val="0"/>
                      <w:marBottom w:val="0"/>
                      <w:divBdr>
                        <w:top w:val="none" w:sz="0" w:space="0" w:color="auto"/>
                        <w:left w:val="none" w:sz="0" w:space="0" w:color="auto"/>
                        <w:bottom w:val="none" w:sz="0" w:space="0" w:color="auto"/>
                        <w:right w:val="none" w:sz="0" w:space="0" w:color="auto"/>
                      </w:divBdr>
                      <w:divsChild>
                        <w:div w:id="14672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98263">
          <w:marLeft w:val="0"/>
          <w:marRight w:val="0"/>
          <w:marTop w:val="0"/>
          <w:marBottom w:val="0"/>
          <w:divBdr>
            <w:top w:val="none" w:sz="0" w:space="0" w:color="auto"/>
            <w:left w:val="none" w:sz="0" w:space="0" w:color="auto"/>
            <w:bottom w:val="none" w:sz="0" w:space="0" w:color="auto"/>
            <w:right w:val="none" w:sz="0" w:space="0" w:color="auto"/>
          </w:divBdr>
          <w:divsChild>
            <w:div w:id="164056329">
              <w:marLeft w:val="0"/>
              <w:marRight w:val="0"/>
              <w:marTop w:val="0"/>
              <w:marBottom w:val="600"/>
              <w:divBdr>
                <w:top w:val="none" w:sz="0" w:space="0" w:color="auto"/>
                <w:left w:val="none" w:sz="0" w:space="0" w:color="auto"/>
                <w:bottom w:val="none" w:sz="0" w:space="0" w:color="auto"/>
                <w:right w:val="none" w:sz="0" w:space="0" w:color="auto"/>
              </w:divBdr>
              <w:divsChild>
                <w:div w:id="855801725">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 w:id="1886015731">
              <w:marLeft w:val="0"/>
              <w:marRight w:val="0"/>
              <w:marTop w:val="0"/>
              <w:marBottom w:val="600"/>
              <w:divBdr>
                <w:top w:val="none" w:sz="0" w:space="0" w:color="auto"/>
                <w:left w:val="none" w:sz="0" w:space="0" w:color="auto"/>
                <w:bottom w:val="none" w:sz="0" w:space="0" w:color="auto"/>
                <w:right w:val="none" w:sz="0" w:space="0" w:color="auto"/>
              </w:divBdr>
              <w:divsChild>
                <w:div w:id="1628008992">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sChild>
        </w:div>
        <w:div w:id="632559913">
          <w:marLeft w:val="0"/>
          <w:marRight w:val="0"/>
          <w:marTop w:val="0"/>
          <w:marBottom w:val="0"/>
          <w:divBdr>
            <w:top w:val="none" w:sz="0" w:space="0" w:color="auto"/>
            <w:left w:val="none" w:sz="0" w:space="0" w:color="auto"/>
            <w:bottom w:val="none" w:sz="0" w:space="0" w:color="auto"/>
            <w:right w:val="none" w:sz="0" w:space="0" w:color="auto"/>
          </w:divBdr>
          <w:divsChild>
            <w:div w:id="2133477629">
              <w:marLeft w:val="0"/>
              <w:marRight w:val="0"/>
              <w:marTop w:val="0"/>
              <w:marBottom w:val="0"/>
              <w:divBdr>
                <w:top w:val="none" w:sz="0" w:space="0" w:color="auto"/>
                <w:left w:val="none" w:sz="0" w:space="0" w:color="auto"/>
                <w:bottom w:val="none" w:sz="0" w:space="0" w:color="auto"/>
                <w:right w:val="none" w:sz="0" w:space="0" w:color="auto"/>
              </w:divBdr>
              <w:divsChild>
                <w:div w:id="1693529205">
                  <w:marLeft w:val="0"/>
                  <w:marRight w:val="0"/>
                  <w:marTop w:val="240"/>
                  <w:marBottom w:val="0"/>
                  <w:divBdr>
                    <w:top w:val="none" w:sz="0" w:space="0" w:color="auto"/>
                    <w:left w:val="none" w:sz="0" w:space="0" w:color="auto"/>
                    <w:bottom w:val="none" w:sz="0" w:space="0" w:color="auto"/>
                    <w:right w:val="none" w:sz="0" w:space="0" w:color="auto"/>
                  </w:divBdr>
                  <w:divsChild>
                    <w:div w:id="951277625">
                      <w:marLeft w:val="0"/>
                      <w:marRight w:val="0"/>
                      <w:marTop w:val="0"/>
                      <w:marBottom w:val="0"/>
                      <w:divBdr>
                        <w:top w:val="none" w:sz="0" w:space="0" w:color="auto"/>
                        <w:left w:val="none" w:sz="0" w:space="0" w:color="auto"/>
                        <w:bottom w:val="single" w:sz="6" w:space="12" w:color="000000"/>
                        <w:right w:val="none" w:sz="0" w:space="0" w:color="auto"/>
                      </w:divBdr>
                    </w:div>
                    <w:div w:id="404376053">
                      <w:marLeft w:val="0"/>
                      <w:marRight w:val="0"/>
                      <w:marTop w:val="0"/>
                      <w:marBottom w:val="0"/>
                      <w:divBdr>
                        <w:top w:val="none" w:sz="0" w:space="0" w:color="auto"/>
                        <w:left w:val="none" w:sz="0" w:space="0" w:color="auto"/>
                        <w:bottom w:val="none" w:sz="0" w:space="0" w:color="auto"/>
                        <w:right w:val="none" w:sz="0" w:space="0" w:color="auto"/>
                      </w:divBdr>
                      <w:divsChild>
                        <w:div w:id="1790317163">
                          <w:marLeft w:val="0"/>
                          <w:marRight w:val="180"/>
                          <w:marTop w:val="240"/>
                          <w:marBottom w:val="480"/>
                          <w:divBdr>
                            <w:top w:val="none" w:sz="0" w:space="0" w:color="auto"/>
                            <w:left w:val="none" w:sz="0" w:space="0" w:color="auto"/>
                            <w:bottom w:val="none" w:sz="0" w:space="0" w:color="auto"/>
                            <w:right w:val="none" w:sz="0" w:space="0" w:color="auto"/>
                          </w:divBdr>
                          <w:divsChild>
                            <w:div w:id="1744403867">
                              <w:marLeft w:val="0"/>
                              <w:marRight w:val="0"/>
                              <w:marTop w:val="480"/>
                              <w:marBottom w:val="240"/>
                              <w:divBdr>
                                <w:top w:val="none" w:sz="0" w:space="0" w:color="auto"/>
                                <w:left w:val="none" w:sz="0" w:space="0" w:color="auto"/>
                                <w:bottom w:val="none" w:sz="0" w:space="0" w:color="auto"/>
                                <w:right w:val="none" w:sz="0" w:space="0" w:color="auto"/>
                              </w:divBdr>
                              <w:divsChild>
                                <w:div w:id="426392753">
                                  <w:marLeft w:val="0"/>
                                  <w:marRight w:val="0"/>
                                  <w:marTop w:val="0"/>
                                  <w:marBottom w:val="0"/>
                                  <w:divBdr>
                                    <w:top w:val="none" w:sz="0" w:space="0" w:color="auto"/>
                                    <w:left w:val="none" w:sz="0" w:space="0" w:color="auto"/>
                                    <w:bottom w:val="none" w:sz="0" w:space="0" w:color="auto"/>
                                    <w:right w:val="none" w:sz="0" w:space="0" w:color="auto"/>
                                  </w:divBdr>
                                  <w:divsChild>
                                    <w:div w:id="8931543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7654843">
                              <w:marLeft w:val="0"/>
                              <w:marRight w:val="0"/>
                              <w:marTop w:val="0"/>
                              <w:marBottom w:val="0"/>
                              <w:divBdr>
                                <w:top w:val="none" w:sz="0" w:space="0" w:color="auto"/>
                                <w:left w:val="none" w:sz="0" w:space="0" w:color="auto"/>
                                <w:bottom w:val="none" w:sz="0" w:space="0" w:color="auto"/>
                                <w:right w:val="none" w:sz="0" w:space="0" w:color="auto"/>
                              </w:divBdr>
                              <w:divsChild>
                                <w:div w:id="16410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media/document/dear-colleague-letter-sffa-v-harvard-109506.pdf" TargetMode="External"/><Relationship Id="rId13" Type="http://schemas.openxmlformats.org/officeDocument/2006/relationships/hyperlink" Target="https://www.whitehouse.gov/presidential-actions/2025/08/ensuring-transparency-in-higher-education-admissions/" TargetMode="External"/><Relationship Id="rId18" Type="http://schemas.openxmlformats.org/officeDocument/2006/relationships/hyperlink" Target="https://projects.iq.harvard.edu/files/diverse-education/files/expert_report_-_2017-12-15_dr._david_card_expert_report_updated_confid_desigs_redacted.pdf" TargetMode="External"/><Relationship Id="rId3" Type="http://schemas.openxmlformats.org/officeDocument/2006/relationships/webSettings" Target="webSettings.xml"/><Relationship Id="rId21" Type="http://schemas.openxmlformats.org/officeDocument/2006/relationships/hyperlink" Target="https://www.theatlantic.com/author/kevin-carey/" TargetMode="External"/><Relationship Id="rId7" Type="http://schemas.openxmlformats.org/officeDocument/2006/relationships/hyperlink" Target="https://www.nytimes.com/2024/09/11/us/harvard-affirmative-action-diversity-admissions.html" TargetMode="External"/><Relationship Id="rId12" Type="http://schemas.openxmlformats.org/officeDocument/2006/relationships/hyperlink" Target="https://www.brown.edu/sites/default/files/brown-and-united-states-resolution-agreement_July-30-2025.pdf" TargetMode="External"/><Relationship Id="rId17" Type="http://schemas.openxmlformats.org/officeDocument/2006/relationships/hyperlink" Target="https://studentsforfairadmissions.org/wp-content/uploads/2018/06/Doc-415-1-Arcidiacono-Expert-Report.pdf" TargetMode="External"/><Relationship Id="rId2" Type="http://schemas.openxmlformats.org/officeDocument/2006/relationships/settings" Target="settings.xml"/><Relationship Id="rId16" Type="http://schemas.openxmlformats.org/officeDocument/2006/relationships/hyperlink" Target="https://www.theatlantic.com/ideas/archive/2025/09/affirmative-action-race-class-trump/684347/" TargetMode="External"/><Relationship Id="rId20" Type="http://schemas.openxmlformats.org/officeDocument/2006/relationships/hyperlink" Target="https://www.nytimes.com/2025/10/08/us/politics/black-leaders-trump.html" TargetMode="External"/><Relationship Id="rId1" Type="http://schemas.openxmlformats.org/officeDocument/2006/relationships/styles" Target="styles.xml"/><Relationship Id="rId6" Type="http://schemas.openxmlformats.org/officeDocument/2006/relationships/hyperlink" Target="https://www.justice.gov/opa/press-release/file/1326306/dl" TargetMode="External"/><Relationship Id="rId11" Type="http://schemas.openxmlformats.org/officeDocument/2006/relationships/hyperlink" Target="https://president.columbia.edu/sites/president.columbia.edu/files/content/July%202025%20Announcement/Columbia%20University%20Resolution%20Agreement.pdf" TargetMode="External"/><Relationship Id="rId24" Type="http://schemas.openxmlformats.org/officeDocument/2006/relationships/theme" Target="theme/theme1.xml"/><Relationship Id="rId5" Type="http://schemas.openxmlformats.org/officeDocument/2006/relationships/hyperlink" Target="https://www.theatlantic.com/ideas/archive/2025/10/higher-education-compact-trump-deal/684457/" TargetMode="External"/><Relationship Id="rId15" Type="http://schemas.openxmlformats.org/officeDocument/2006/relationships/hyperlink" Target="https://www.nytimes.com/2025/10/10/us/mit-rejects-white-house-compact.html" TargetMode="External"/><Relationship Id="rId23" Type="http://schemas.openxmlformats.org/officeDocument/2006/relationships/fontTable" Target="fontTable.xml"/><Relationship Id="rId10" Type="http://schemas.openxmlformats.org/officeDocument/2006/relationships/hyperlink" Target="https://www.theatlantic.com/ideas/archive/2025/02/affirmative-action-yale-admissions/681541/" TargetMode="External"/><Relationship Id="rId19" Type="http://schemas.openxmlformats.org/officeDocument/2006/relationships/hyperlink" Target="https://www.theatlantic.com/politics/archive/2025/02/trump-attacks-dei/681772/" TargetMode="External"/><Relationship Id="rId4" Type="http://schemas.openxmlformats.org/officeDocument/2006/relationships/image" Target="media/image1.jpeg"/><Relationship Id="rId9" Type="http://schemas.openxmlformats.org/officeDocument/2006/relationships/hyperlink" Target="https://assets.aclu.org/live/uploads/2025/04/PI-Order.pdf" TargetMode="External"/><Relationship Id="rId14" Type="http://schemas.openxmlformats.org/officeDocument/2006/relationships/hyperlink" Target="https://www.federalregister.gov/documents/2025/08/15/2025-15536/agency-information-collection-activities-comment-request-integrated-postsecondary-education-data" TargetMode="External"/><Relationship Id="rId22" Type="http://schemas.openxmlformats.org/officeDocument/2006/relationships/hyperlink" Target="https://www.theatlantic.com/author/kevin-care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2064</Words>
  <Characters>11146</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2025-10-16T06:46:00Z</dcterms:created>
  <dcterms:modified xsi:type="dcterms:W3CDTF">2025-10-16T08:21:00Z</dcterms:modified>
</cp:coreProperties>
</file>