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552F" w14:textId="38D26158" w:rsidR="001E3815" w:rsidRDefault="004A32CA" w:rsidP="006E59BD">
      <w:pPr>
        <w:spacing w:line="240" w:lineRule="auto"/>
        <w:rPr>
          <w:lang w:val="el-GR"/>
        </w:rPr>
      </w:pPr>
      <w:r>
        <w:rPr>
          <w:lang w:val="el-GR"/>
        </w:rPr>
        <w:t>Ερευνητικό ερώτημα</w:t>
      </w:r>
    </w:p>
    <w:p w14:paraId="1BA048F5" w14:textId="5ACC6BF2" w:rsidR="004A32CA" w:rsidRDefault="004A32CA" w:rsidP="006E59BD">
      <w:pPr>
        <w:spacing w:line="240" w:lineRule="auto"/>
        <w:rPr>
          <w:lang w:val="el-GR"/>
        </w:rPr>
      </w:pPr>
      <w:r>
        <w:rPr>
          <w:lang w:val="el-GR"/>
        </w:rPr>
        <w:t xml:space="preserve">Διαφέρει ο μέσος όρος του </w:t>
      </w:r>
      <w:r>
        <w:t>CCT</w:t>
      </w:r>
      <w:r w:rsidRPr="004A32CA">
        <w:rPr>
          <w:lang w:val="el-GR"/>
        </w:rPr>
        <w:t>2</w:t>
      </w:r>
      <w:r>
        <w:t>t</w:t>
      </w:r>
      <w:r>
        <w:rPr>
          <w:lang w:val="el-GR"/>
        </w:rPr>
        <w:t xml:space="preserve"> από το 100;</w:t>
      </w:r>
    </w:p>
    <w:p w14:paraId="52B1340F" w14:textId="37FF0749" w:rsidR="004A32CA" w:rsidRDefault="004A32CA" w:rsidP="006E59BD">
      <w:pPr>
        <w:spacing w:line="240" w:lineRule="auto"/>
        <w:rPr>
          <w:lang w:val="el-GR"/>
        </w:rPr>
      </w:pPr>
      <w:r>
        <w:rPr>
          <w:lang w:val="el-GR"/>
        </w:rPr>
        <w:t>Ερευνητικές Υποθέσεις</w:t>
      </w:r>
    </w:p>
    <w:p w14:paraId="6F84E5BC" w14:textId="4B7EC254" w:rsidR="004A32CA" w:rsidRDefault="004A32CA" w:rsidP="006E59BD">
      <w:pPr>
        <w:spacing w:line="240" w:lineRule="auto"/>
        <w:rPr>
          <w:lang w:val="el-GR"/>
        </w:rPr>
      </w:pPr>
      <w:r>
        <w:rPr>
          <w:lang w:val="el-GR"/>
        </w:rPr>
        <w:t xml:space="preserve">Υ0: Δεν είναι διαφορετικός ο μέσος όρος του </w:t>
      </w:r>
      <w:r>
        <w:t>CCT</w:t>
      </w:r>
      <w:r w:rsidRPr="004A32CA">
        <w:rPr>
          <w:lang w:val="el-GR"/>
        </w:rPr>
        <w:t>2</w:t>
      </w:r>
      <w:r>
        <w:t>t</w:t>
      </w:r>
      <w:r>
        <w:rPr>
          <w:lang w:val="el-GR"/>
        </w:rPr>
        <w:t xml:space="preserve"> από το 100</w:t>
      </w:r>
    </w:p>
    <w:p w14:paraId="56F4517C" w14:textId="70F382D5" w:rsidR="004A32CA" w:rsidRDefault="004A32CA" w:rsidP="006E59BD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>: Είναι διαφορετικός</w:t>
      </w:r>
    </w:p>
    <w:p w14:paraId="1825C69A" w14:textId="0AE67AEE" w:rsidR="004A32CA" w:rsidRPr="004A32CA" w:rsidRDefault="004A32CA" w:rsidP="006E59BD">
      <w:pPr>
        <w:spacing w:line="240" w:lineRule="auto"/>
        <w:rPr>
          <w:lang w:val="el-GR"/>
        </w:rPr>
      </w:pPr>
      <w:r>
        <w:rPr>
          <w:lang w:val="el-GR"/>
        </w:rPr>
        <w:t>Επίπεδο στατιστικής σημαντικότητας: α=5%</w:t>
      </w:r>
    </w:p>
    <w:p w14:paraId="5B7F4AC1" w14:textId="4B115D04" w:rsidR="004A32CA" w:rsidRDefault="004A32CA" w:rsidP="006E59BD">
      <w:pPr>
        <w:spacing w:line="240" w:lineRule="auto"/>
        <w:rPr>
          <w:lang w:val="el-GR"/>
        </w:rPr>
      </w:pPr>
      <w:r>
        <w:t>P</w:t>
      </w:r>
      <w:r w:rsidRPr="004A32CA">
        <w:rPr>
          <w:lang w:val="el-GR"/>
        </w:rPr>
        <w:t>=&gt;5%</w:t>
      </w:r>
      <w:r>
        <w:rPr>
          <w:lang w:val="el-GR"/>
        </w:rPr>
        <w:t xml:space="preserve"> δεχόμαστε τη μηδενική υπόθεση</w:t>
      </w:r>
    </w:p>
    <w:p w14:paraId="76529CC5" w14:textId="29AEF0B9" w:rsidR="004A32CA" w:rsidRDefault="004A32CA" w:rsidP="006E59BD">
      <w:pPr>
        <w:spacing w:line="240" w:lineRule="auto"/>
      </w:pPr>
      <w:r>
        <w:t>P</w:t>
      </w:r>
      <w:r w:rsidRPr="004A32CA">
        <w:rPr>
          <w:lang w:val="el-GR"/>
        </w:rPr>
        <w:t xml:space="preserve">&lt;5% </w:t>
      </w:r>
      <w:r>
        <w:rPr>
          <w:lang w:val="el-GR"/>
        </w:rPr>
        <w:t>δεχόμαστε την εναλλακτική υπόθεση (</w:t>
      </w:r>
      <w:r>
        <w:t>sig</w:t>
      </w:r>
      <w:r w:rsidRPr="004A32CA">
        <w:rPr>
          <w:lang w:val="el-GR"/>
        </w:rPr>
        <w:t>.)</w:t>
      </w:r>
    </w:p>
    <w:p w14:paraId="6F735D2D" w14:textId="70DFCB06" w:rsidR="004A32CA" w:rsidRDefault="002E141E" w:rsidP="006E59BD">
      <w:pPr>
        <w:spacing w:line="240" w:lineRule="auto"/>
      </w:pPr>
      <w:r>
        <w:rPr>
          <w:noProof/>
        </w:rPr>
        <w:drawing>
          <wp:inline distT="0" distB="0" distL="0" distR="0" wp14:anchorId="547CA5D5" wp14:editId="71E32B42">
            <wp:extent cx="6663395" cy="4791807"/>
            <wp:effectExtent l="0" t="0" r="4445" b="8890"/>
            <wp:docPr id="1078300667" name="Picture 1" descr="A screenshot of a test resul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00667" name="Picture 1" descr="A screenshot of a test resul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2913" cy="48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A2C2E" w14:textId="5E65FC6B" w:rsidR="00956701" w:rsidRDefault="00956701" w:rsidP="00956701">
      <w:pPr>
        <w:spacing w:line="240" w:lineRule="auto"/>
      </w:pPr>
      <w:r w:rsidRPr="00956701">
        <w:rPr>
          <w:highlight w:val="yellow"/>
          <w:lang w:val="el-GR"/>
        </w:rPr>
        <w:t>Προϋποθέσεις</w:t>
      </w:r>
      <w:r>
        <w:rPr>
          <w:lang w:val="el-GR"/>
        </w:rPr>
        <w:t xml:space="preserve"> του Τ-τεστ: Κανονικότητα (</w:t>
      </w:r>
      <w:r>
        <w:t>Kolmogorov</w:t>
      </w:r>
      <w:r w:rsidRPr="00956701">
        <w:rPr>
          <w:lang w:val="el-GR"/>
        </w:rPr>
        <w:t>-</w:t>
      </w:r>
      <w:r>
        <w:t>Smirnov</w:t>
      </w:r>
      <w:r>
        <w:rPr>
          <w:lang w:val="el-GR"/>
        </w:rPr>
        <w:t>)</w:t>
      </w:r>
    </w:p>
    <w:p w14:paraId="7EFCA2CD" w14:textId="7738F92C" w:rsidR="00956701" w:rsidRPr="00956701" w:rsidRDefault="00956701" w:rsidP="00956701">
      <w:pPr>
        <w:spacing w:line="240" w:lineRule="auto"/>
        <w:rPr>
          <w:lang w:val="el-GR"/>
        </w:rPr>
      </w:pPr>
      <w:r w:rsidRPr="00956701">
        <w:rPr>
          <w:highlight w:val="green"/>
        </w:rPr>
        <w:t>Y</w:t>
      </w:r>
      <w:r w:rsidRPr="00956701">
        <w:rPr>
          <w:highlight w:val="green"/>
          <w:lang w:val="el-GR"/>
        </w:rPr>
        <w:t>0: Τα δεδομένα μου κατανέμονται με τον ίδιο τρόπο με αυτό της κανονικής κατανομής</w:t>
      </w:r>
    </w:p>
    <w:p w14:paraId="136282BF" w14:textId="40488388" w:rsidR="00956701" w:rsidRPr="001621C7" w:rsidRDefault="00956701" w:rsidP="00956701">
      <w:pPr>
        <w:spacing w:line="240" w:lineRule="auto"/>
      </w:pPr>
      <w:r>
        <w:t>Ye</w:t>
      </w:r>
      <w:r w:rsidRPr="00956701">
        <w:rPr>
          <w:lang w:val="el-GR"/>
        </w:rPr>
        <w:t>:</w:t>
      </w:r>
      <w:r>
        <w:rPr>
          <w:lang w:val="el-GR"/>
        </w:rPr>
        <w:t xml:space="preserve"> Τα δεδομένα μου ΔΕΝ κατανέμονται κανονικά</w:t>
      </w:r>
    </w:p>
    <w:p w14:paraId="4EC1EF60" w14:textId="7C266044" w:rsidR="00956701" w:rsidRDefault="001621C7" w:rsidP="00956701">
      <w:pPr>
        <w:spacing w:line="240" w:lineRule="auto"/>
        <w:rPr>
          <w:lang w:val="el-GR"/>
        </w:rPr>
      </w:pPr>
      <w:r w:rsidRPr="001621C7">
        <w:rPr>
          <w:lang w:val="el-GR"/>
        </w:rPr>
        <w:lastRenderedPageBreak/>
        <w:drawing>
          <wp:inline distT="0" distB="0" distL="0" distR="0" wp14:anchorId="67481865" wp14:editId="5A8157F7">
            <wp:extent cx="4629150" cy="3562350"/>
            <wp:effectExtent l="0" t="0" r="0" b="0"/>
            <wp:docPr id="2106424411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24411" name="Picture 1" descr="A screenshot of a tes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20C39" w14:textId="54C22F55" w:rsidR="006E59BD" w:rsidRDefault="006E59BD" w:rsidP="006E59BD">
      <w:pPr>
        <w:spacing w:line="240" w:lineRule="auto"/>
      </w:pPr>
      <w:r>
        <w:t>Effect sizes Cohen (1992). A power primer. Psychological Bulletin, 112, 155-159.</w:t>
      </w:r>
    </w:p>
    <w:p w14:paraId="77C2FEDD" w14:textId="54F86A70" w:rsidR="006E59BD" w:rsidRDefault="006E59BD" w:rsidP="006E59BD">
      <w:pPr>
        <w:spacing w:line="240" w:lineRule="auto"/>
      </w:pPr>
      <w:r>
        <w:t>0.2 small</w:t>
      </w:r>
    </w:p>
    <w:p w14:paraId="0D0A8E8E" w14:textId="14E9A1A8" w:rsidR="006E59BD" w:rsidRDefault="006E59BD" w:rsidP="006E59BD">
      <w:pPr>
        <w:spacing w:line="240" w:lineRule="auto"/>
      </w:pPr>
      <w:r>
        <w:t>0.5 medium</w:t>
      </w:r>
    </w:p>
    <w:p w14:paraId="1DEAB057" w14:textId="6D432CAB" w:rsidR="006E59BD" w:rsidRDefault="006E59BD" w:rsidP="006E59BD">
      <w:pPr>
        <w:spacing w:line="240" w:lineRule="auto"/>
      </w:pPr>
      <w:r>
        <w:t>0.8 large</w:t>
      </w:r>
    </w:p>
    <w:p w14:paraId="66AB2A09" w14:textId="77777777" w:rsidR="006E59BD" w:rsidRDefault="006E59BD" w:rsidP="006E59BD">
      <w:pPr>
        <w:spacing w:line="240" w:lineRule="auto"/>
      </w:pPr>
    </w:p>
    <w:p w14:paraId="794574E6" w14:textId="039C6F24" w:rsidR="001621C7" w:rsidRDefault="001621C7" w:rsidP="001621C7">
      <w:pPr>
        <w:spacing w:line="240" w:lineRule="auto"/>
        <w:rPr>
          <w:lang w:val="el-GR"/>
        </w:rPr>
      </w:pPr>
      <w:r>
        <w:rPr>
          <w:lang w:val="el-GR"/>
        </w:rPr>
        <w:t>Ο</w:t>
      </w:r>
      <w:r w:rsidRPr="00956701">
        <w:rPr>
          <w:lang w:val="el-GR"/>
        </w:rPr>
        <w:t xml:space="preserve"> </w:t>
      </w:r>
      <w:r>
        <w:rPr>
          <w:lang w:val="el-GR"/>
        </w:rPr>
        <w:t>σκοπός</w:t>
      </w:r>
      <w:r>
        <w:rPr>
          <w:lang w:val="el-GR"/>
        </w:rPr>
        <w:t xml:space="preserve"> αυτής της έρευνας ήταν η αξιολόγηση της ύπαρξης διαφοράς του μέσου όρου στο </w:t>
      </w:r>
      <w:r>
        <w:t>CCT</w:t>
      </w:r>
      <w:r w:rsidRPr="001621C7">
        <w:rPr>
          <w:lang w:val="el-GR"/>
        </w:rPr>
        <w:t>2</w:t>
      </w:r>
      <w:r>
        <w:t>t</w:t>
      </w:r>
      <w:r>
        <w:rPr>
          <w:lang w:val="el-GR"/>
        </w:rPr>
        <w:t xml:space="preserve"> από το 100 το οποίο εκφράζει τον μέσο όρο του πληθυσμού στη γνωστική μέτρηση της χωροταξικής ανάλυσης. Χρησιμοποιήθηκαν 239 μαθητές δημοτικού και αρχικά αξιολογήθηκε η προϋπόθεση της κανονικότητας με το τεστ </w:t>
      </w:r>
      <w:r>
        <w:t>Kolmogorov</w:t>
      </w:r>
      <w:r w:rsidRPr="001621C7">
        <w:rPr>
          <w:lang w:val="el-GR"/>
        </w:rPr>
        <w:t>-</w:t>
      </w:r>
      <w:r>
        <w:t>Smirnov</w:t>
      </w:r>
      <w:r>
        <w:rPr>
          <w:lang w:val="el-GR"/>
        </w:rPr>
        <w:t xml:space="preserve">. Τα αποτελέσματα του </w:t>
      </w:r>
      <w:r>
        <w:t>K</w:t>
      </w:r>
      <w:r w:rsidRPr="001621C7">
        <w:rPr>
          <w:lang w:val="el-GR"/>
        </w:rPr>
        <w:t>-</w:t>
      </w:r>
      <w:r>
        <w:t>S</w:t>
      </w:r>
      <w:r>
        <w:rPr>
          <w:lang w:val="el-GR"/>
        </w:rPr>
        <w:t xml:space="preserve"> έδειξαν καταπάτηση της προϋπόθεσης της κανονικότητας μάλλον εξαιτίας του μεγάλου μεγέθους του δείγματος. Η οπτική ανάλυση της κατανομής και η εγγύτητα των τιμών μέσου όρου, διαμέσου, και επικρατούσας τιμής οδήγησε στο συμπέρασμα ότι η εξαρτημένη μεταβλητή κατανέμεται περίπου κανονικά και συνεπώς αγνοήθηκε το αποτέλεσμα του </w:t>
      </w:r>
      <w:r>
        <w:t>K</w:t>
      </w:r>
      <w:r w:rsidRPr="001621C7">
        <w:rPr>
          <w:lang w:val="el-GR"/>
        </w:rPr>
        <w:t>-</w:t>
      </w:r>
      <w:r>
        <w:t>S</w:t>
      </w:r>
      <w:r>
        <w:rPr>
          <w:lang w:val="el-GR"/>
        </w:rPr>
        <w:t xml:space="preserve">. Στη συνέχεια εφαρμόστηκε το Τ-τεστ για ένα δείγμα. Το σημείο αναφορά ήταν οι 100 μονάδες. Τα αποτελέσματα του Τ-τεστ έδειξαν ότι η τιμή Τ(238)=2.187, </w:t>
      </w:r>
      <w:r>
        <w:t>p</w:t>
      </w:r>
      <w:r w:rsidRPr="001621C7">
        <w:rPr>
          <w:lang w:val="el-GR"/>
        </w:rPr>
        <w:t>=0.030</w:t>
      </w:r>
      <w:r>
        <w:rPr>
          <w:lang w:val="el-GR"/>
        </w:rPr>
        <w:t xml:space="preserve"> και συνεπώς επιβεβαιώθηκε η εναλλακτική υπόθεση ότι  ο μέσος όρος του δείγματος που ήταν 104.25, ήταν στατιστικά σημαντικά  υψηλότερος από τον μέσο όρο του πληθυσμού (δηλ. το 100). </w:t>
      </w:r>
      <w:r w:rsidR="00C23559">
        <w:rPr>
          <w:lang w:val="el-GR"/>
        </w:rPr>
        <w:t xml:space="preserve">Παρόλη την επιβεβαίωση της εναλλακτικής υπόθεση, η χρήση του δείκτη </w:t>
      </w:r>
      <w:r w:rsidR="00C23559">
        <w:t>D</w:t>
      </w:r>
      <w:r w:rsidR="00C23559">
        <w:rPr>
          <w:lang w:val="el-GR"/>
        </w:rPr>
        <w:t xml:space="preserve"> μεγέθους επίδρασης του </w:t>
      </w:r>
      <w:r w:rsidR="00C23559">
        <w:t>Cohen</w:t>
      </w:r>
      <w:r w:rsidR="00C23559" w:rsidRPr="00C23559">
        <w:rPr>
          <w:lang w:val="el-GR"/>
        </w:rPr>
        <w:t xml:space="preserve"> (1992)</w:t>
      </w:r>
      <w:r w:rsidR="00C23559">
        <w:rPr>
          <w:lang w:val="el-GR"/>
        </w:rPr>
        <w:t xml:space="preserve"> ήταν 0.141, το οποίο αξιολογείται ως μικρότερο από μικρό (όπου μικρό είναι το 0.2 της τυπικής απόκλισης).</w:t>
      </w:r>
    </w:p>
    <w:p w14:paraId="0F10BF48" w14:textId="77777777" w:rsidR="00176A41" w:rsidRDefault="00176A41" w:rsidP="001621C7">
      <w:pPr>
        <w:spacing w:line="240" w:lineRule="auto"/>
        <w:rPr>
          <w:lang w:val="el-GR"/>
        </w:rPr>
        <w:sectPr w:rsidR="00176A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EBE72E" w14:textId="4ED5F21E" w:rsidR="00176A41" w:rsidRPr="00176A41" w:rsidRDefault="00176A41" w:rsidP="001621C7">
      <w:pPr>
        <w:spacing w:line="240" w:lineRule="auto"/>
        <w:rPr>
          <w:b/>
          <w:bCs/>
          <w:lang w:val="el-GR"/>
        </w:rPr>
      </w:pPr>
      <w:r w:rsidRPr="00176A41">
        <w:rPr>
          <w:b/>
          <w:bCs/>
          <w:lang w:val="el-GR"/>
        </w:rPr>
        <w:lastRenderedPageBreak/>
        <w:t>Τ-τεστ για ανεξάρτητα δείγματα</w:t>
      </w:r>
    </w:p>
    <w:p w14:paraId="6CC06C18" w14:textId="630B3217" w:rsidR="00176A41" w:rsidRDefault="00176A41" w:rsidP="001621C7">
      <w:pPr>
        <w:spacing w:line="240" w:lineRule="auto"/>
        <w:rPr>
          <w:lang w:val="el-GR"/>
        </w:rPr>
      </w:pPr>
      <w:r>
        <w:rPr>
          <w:lang w:val="el-GR"/>
        </w:rPr>
        <w:t xml:space="preserve">Ο σκοπός αυτής της έρευνας ήταν η αξιολόγηση της ύπαρξης διαφορών κατά φύλο στη μεταβλητή </w:t>
      </w:r>
      <w:r>
        <w:t>CCT</w:t>
      </w:r>
      <w:r w:rsidRPr="00176A41">
        <w:rPr>
          <w:lang w:val="el-GR"/>
        </w:rPr>
        <w:t>2</w:t>
      </w:r>
      <w:r>
        <w:t>t</w:t>
      </w:r>
      <w:r>
        <w:rPr>
          <w:lang w:val="el-GR"/>
        </w:rPr>
        <w:t xml:space="preserve">. </w:t>
      </w:r>
    </w:p>
    <w:p w14:paraId="3307564D" w14:textId="31B7A421" w:rsidR="00176A41" w:rsidRPr="00176A41" w:rsidRDefault="00176A41" w:rsidP="001621C7">
      <w:pPr>
        <w:spacing w:line="240" w:lineRule="auto"/>
        <w:rPr>
          <w:lang w:val="el-GR"/>
        </w:rPr>
      </w:pPr>
      <w:r>
        <w:rPr>
          <w:lang w:val="el-GR"/>
        </w:rPr>
        <w:t>Υ0: Δεν υπάρχουν διαφορές μεταξύ αγοριών και κοριτσιών</w:t>
      </w:r>
      <w:r w:rsidRPr="00176A41">
        <w:rPr>
          <w:lang w:val="el-GR"/>
        </w:rPr>
        <w:t xml:space="preserve"> </w:t>
      </w:r>
      <w:r>
        <w:rPr>
          <w:lang w:val="el-GR"/>
        </w:rPr>
        <w:t xml:space="preserve">στο </w:t>
      </w:r>
      <w:r>
        <w:t>CCT</w:t>
      </w:r>
      <w:r w:rsidRPr="00176A41">
        <w:rPr>
          <w:lang w:val="el-GR"/>
        </w:rPr>
        <w:t>2</w:t>
      </w:r>
      <w:r>
        <w:t>t</w:t>
      </w:r>
    </w:p>
    <w:p w14:paraId="5A8B4F30" w14:textId="3C402104" w:rsidR="00176A41" w:rsidRDefault="00176A41" w:rsidP="001621C7">
      <w:pPr>
        <w:spacing w:line="240" w:lineRule="auto"/>
        <w:rPr>
          <w:lang w:val="el-GR"/>
        </w:rPr>
      </w:pPr>
      <w:r>
        <w:rPr>
          <w:lang w:val="el-GR"/>
        </w:rPr>
        <w:t>Μέσος όρος – Αγοριών = Μέσο όρο Κοριτσιών</w:t>
      </w:r>
    </w:p>
    <w:p w14:paraId="35648C2B" w14:textId="4E7DF437" w:rsidR="00176A41" w:rsidRPr="00176A41" w:rsidRDefault="00176A41" w:rsidP="001621C7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μΑ</w:t>
      </w:r>
      <w:proofErr w:type="spellEnd"/>
      <w:r>
        <w:rPr>
          <w:lang w:val="el-GR"/>
        </w:rPr>
        <w:t>=</w:t>
      </w:r>
      <w:proofErr w:type="spellStart"/>
      <w:r>
        <w:rPr>
          <w:lang w:val="el-GR"/>
        </w:rPr>
        <w:t>μΚ</w:t>
      </w:r>
      <w:proofErr w:type="spellEnd"/>
    </w:p>
    <w:p w14:paraId="3929A913" w14:textId="086C6590" w:rsidR="00176A41" w:rsidRDefault="00176A41" w:rsidP="001621C7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 xml:space="preserve">: Υπάρχουν διαφορές μεταξύ αγοριών και κοριτσιών στο </w:t>
      </w:r>
      <w:r>
        <w:t>CCT</w:t>
      </w:r>
      <w:r w:rsidRPr="00176A41">
        <w:rPr>
          <w:lang w:val="el-GR"/>
        </w:rPr>
        <w:t>2</w:t>
      </w:r>
      <w:r>
        <w:t>t</w:t>
      </w:r>
    </w:p>
    <w:p w14:paraId="3E03108E" w14:textId="3B3CC9DE" w:rsidR="00176A41" w:rsidRPr="00176A41" w:rsidRDefault="00176A41" w:rsidP="001621C7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μΑ≠μΚ</w:t>
      </w:r>
      <w:proofErr w:type="spellEnd"/>
    </w:p>
    <w:p w14:paraId="54A28141" w14:textId="5120BF0B" w:rsidR="001621C7" w:rsidRDefault="0050037B" w:rsidP="006E59BD">
      <w:pPr>
        <w:spacing w:line="240" w:lineRule="auto"/>
        <w:rPr>
          <w:lang w:val="el-GR"/>
        </w:rPr>
      </w:pPr>
      <w:r>
        <w:rPr>
          <w:lang w:val="el-GR"/>
        </w:rPr>
        <w:t>Προϋποθέσεις: Κανονικότητα και ίσες διακυμάνσεις</w:t>
      </w:r>
    </w:p>
    <w:p w14:paraId="59885399" w14:textId="76794625" w:rsidR="005905AD" w:rsidRPr="00956701" w:rsidRDefault="005905AD" w:rsidP="005905AD">
      <w:pPr>
        <w:spacing w:line="240" w:lineRule="auto"/>
        <w:rPr>
          <w:lang w:val="el-GR"/>
        </w:rPr>
      </w:pPr>
      <w:r w:rsidRPr="000E72C9">
        <w:rPr>
          <w:highlight w:val="green"/>
        </w:rPr>
        <w:t>Y</w:t>
      </w:r>
      <w:r w:rsidRPr="000E72C9">
        <w:rPr>
          <w:highlight w:val="green"/>
          <w:lang w:val="el-GR"/>
        </w:rPr>
        <w:t>0: Τα δεδομένα κατανέμονται με τον ίδιο τρόπο με αυτό της κανονικής κατανομής</w:t>
      </w:r>
      <w:r w:rsidRPr="000E72C9">
        <w:rPr>
          <w:highlight w:val="green"/>
          <w:lang w:val="el-GR"/>
        </w:rPr>
        <w:t xml:space="preserve"> και για τα αγόρια</w:t>
      </w:r>
      <w:r>
        <w:rPr>
          <w:lang w:val="el-GR"/>
        </w:rPr>
        <w:t xml:space="preserve"> και για τα κορίτσια</w:t>
      </w:r>
    </w:p>
    <w:p w14:paraId="5DFC0666" w14:textId="761FACBF" w:rsidR="005905AD" w:rsidRPr="005905AD" w:rsidRDefault="005905AD" w:rsidP="005905AD">
      <w:pPr>
        <w:spacing w:line="240" w:lineRule="auto"/>
        <w:rPr>
          <w:lang w:val="el-GR"/>
        </w:rPr>
      </w:pPr>
      <w:r>
        <w:t>Ye</w:t>
      </w:r>
      <w:r w:rsidRPr="00956701">
        <w:rPr>
          <w:lang w:val="el-GR"/>
        </w:rPr>
        <w:t>:</w:t>
      </w:r>
      <w:r>
        <w:rPr>
          <w:lang w:val="el-GR"/>
        </w:rPr>
        <w:t xml:space="preserve"> Τα δεδομένα ΔΕΝ κατανέμονται κανονικά</w:t>
      </w:r>
    </w:p>
    <w:p w14:paraId="3B12C124" w14:textId="77777777" w:rsidR="005905AD" w:rsidRDefault="005905AD" w:rsidP="006E59BD">
      <w:pPr>
        <w:spacing w:line="240" w:lineRule="auto"/>
        <w:rPr>
          <w:lang w:val="el-GR"/>
        </w:rPr>
      </w:pPr>
    </w:p>
    <w:p w14:paraId="4D893007" w14:textId="07B41798" w:rsidR="005905AD" w:rsidRDefault="005905AD" w:rsidP="006E59BD">
      <w:pPr>
        <w:spacing w:line="240" w:lineRule="auto"/>
        <w:rPr>
          <w:lang w:val="el-GR"/>
        </w:rPr>
      </w:pPr>
      <w:r>
        <w:rPr>
          <w:noProof/>
        </w:rPr>
        <w:lastRenderedPageBreak/>
        <w:drawing>
          <wp:inline distT="0" distB="0" distL="0" distR="0" wp14:anchorId="22F9C6F0" wp14:editId="7EAB2EEC">
            <wp:extent cx="4167854" cy="6071284"/>
            <wp:effectExtent l="0" t="0" r="4445" b="5715"/>
            <wp:docPr id="102553201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3201" name="Picture 1" descr="A screenshot of a tes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9585" cy="607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1364" w14:textId="7B5632A2" w:rsidR="000E72C9" w:rsidRDefault="000E72C9" w:rsidP="000E72C9">
      <w:pPr>
        <w:spacing w:line="240" w:lineRule="auto"/>
        <w:rPr>
          <w:lang w:val="el-GR"/>
        </w:rPr>
      </w:pPr>
      <w:r w:rsidRPr="000E72C9">
        <w:rPr>
          <w:highlight w:val="green"/>
        </w:rPr>
        <w:t>Y</w:t>
      </w:r>
      <w:r w:rsidRPr="000E72C9">
        <w:rPr>
          <w:highlight w:val="green"/>
          <w:lang w:val="el-GR"/>
        </w:rPr>
        <w:t xml:space="preserve">0: </w:t>
      </w:r>
      <w:r>
        <w:rPr>
          <w:highlight w:val="green"/>
          <w:lang w:val="el-GR"/>
        </w:rPr>
        <w:t>Οι διακυμάνσεις των κατανομών των αγοριών και κοριτσιών είναι ίδιες</w:t>
      </w:r>
    </w:p>
    <w:p w14:paraId="3E39AE54" w14:textId="1C7D7BC9" w:rsidR="000E72C9" w:rsidRPr="000E72C9" w:rsidRDefault="000E72C9" w:rsidP="000E72C9">
      <w:pPr>
        <w:spacing w:line="240" w:lineRule="auto"/>
        <w:rPr>
          <w:lang w:val="el-GR"/>
        </w:rPr>
      </w:pPr>
      <w:r>
        <w:t>S</w:t>
      </w:r>
      <w:r w:rsidRPr="000E72C9">
        <w:rPr>
          <w:vertAlign w:val="superscript"/>
          <w:lang w:val="el-GR"/>
        </w:rPr>
        <w:t>2</w:t>
      </w:r>
      <w:r>
        <w:t>A</w:t>
      </w:r>
      <w:r w:rsidRPr="000E72C9">
        <w:rPr>
          <w:lang w:val="el-GR"/>
        </w:rPr>
        <w:t xml:space="preserve">= </w:t>
      </w:r>
      <w:r>
        <w:t>S</w:t>
      </w:r>
      <w:r w:rsidRPr="000E72C9">
        <w:rPr>
          <w:vertAlign w:val="superscript"/>
          <w:lang w:val="el-GR"/>
        </w:rPr>
        <w:t>2</w:t>
      </w:r>
      <w:r>
        <w:t>K</w:t>
      </w:r>
    </w:p>
    <w:p w14:paraId="5040C82E" w14:textId="532BA5A6" w:rsidR="000E72C9" w:rsidRDefault="000E72C9" w:rsidP="000E72C9">
      <w:pPr>
        <w:spacing w:line="240" w:lineRule="auto"/>
        <w:rPr>
          <w:lang w:val="el-GR"/>
        </w:rPr>
      </w:pPr>
      <w:r>
        <w:t>Ye</w:t>
      </w:r>
      <w:r w:rsidRPr="00956701">
        <w:rPr>
          <w:lang w:val="el-GR"/>
        </w:rPr>
        <w:t>:</w:t>
      </w:r>
      <w:r>
        <w:rPr>
          <w:lang w:val="el-GR"/>
        </w:rPr>
        <w:t xml:space="preserve"> </w:t>
      </w:r>
      <w:r>
        <w:rPr>
          <w:lang w:val="el-GR"/>
        </w:rPr>
        <w:t>Οι διακυμάνσεις  είναι διαφορετικές</w:t>
      </w:r>
    </w:p>
    <w:p w14:paraId="369A9BE7" w14:textId="2DAAB4A1" w:rsidR="000E72C9" w:rsidRPr="000E72C9" w:rsidRDefault="000E72C9" w:rsidP="000E72C9">
      <w:pPr>
        <w:spacing w:line="240" w:lineRule="auto"/>
        <w:rPr>
          <w:lang w:val="el-GR"/>
        </w:rPr>
      </w:pPr>
      <w:r>
        <w:t>S</w:t>
      </w:r>
      <w:r w:rsidRPr="000E72C9">
        <w:rPr>
          <w:vertAlign w:val="superscript"/>
          <w:lang w:val="el-GR"/>
        </w:rPr>
        <w:t>2</w:t>
      </w:r>
      <w:r>
        <w:t>A</w:t>
      </w:r>
      <w:r>
        <w:rPr>
          <w:lang w:val="el-GR"/>
        </w:rPr>
        <w:t>≠</w:t>
      </w:r>
      <w:r w:rsidRPr="000E72C9">
        <w:rPr>
          <w:lang w:val="el-GR"/>
        </w:rPr>
        <w:t xml:space="preserve"> </w:t>
      </w:r>
      <w:r>
        <w:t>S</w:t>
      </w:r>
      <w:r w:rsidRPr="000E72C9">
        <w:rPr>
          <w:vertAlign w:val="superscript"/>
          <w:lang w:val="el-GR"/>
        </w:rPr>
        <w:t>2</w:t>
      </w:r>
      <w:r>
        <w:t>K</w:t>
      </w:r>
    </w:p>
    <w:p w14:paraId="77DE7395" w14:textId="6195108C" w:rsidR="0050037B" w:rsidRDefault="005905AD" w:rsidP="006E59BD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2EA8B050" wp14:editId="1F052179">
            <wp:extent cx="2142857" cy="1495238"/>
            <wp:effectExtent l="0" t="0" r="0" b="0"/>
            <wp:docPr id="296976723" name="Picture 1" descr="A graph with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6723" name="Picture 1" descr="A graph with numbers and letter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895ED" w14:textId="409F8E81" w:rsidR="008D6AA2" w:rsidRPr="008D6AA2" w:rsidRDefault="008D6AA2" w:rsidP="008D6AA2">
      <w:pPr>
        <w:spacing w:line="240" w:lineRule="auto"/>
        <w:rPr>
          <w:lang w:val="el-GR"/>
        </w:rPr>
      </w:pPr>
      <w:r>
        <w:rPr>
          <w:lang w:val="el-GR"/>
        </w:rPr>
        <w:t xml:space="preserve">Ο σκοπός αυτής της έρευνας ήταν η αξιολόγηση της ύπαρξης διαφορών κατά φύλο στη μεταβλητή </w:t>
      </w:r>
      <w:r>
        <w:t>CCT</w:t>
      </w:r>
      <w:r w:rsidRPr="00176A41">
        <w:rPr>
          <w:lang w:val="el-GR"/>
        </w:rPr>
        <w:t>2</w:t>
      </w:r>
      <w:r>
        <w:t>t</w:t>
      </w:r>
      <w:r>
        <w:rPr>
          <w:lang w:val="el-GR"/>
        </w:rPr>
        <w:t xml:space="preserve">. </w:t>
      </w:r>
      <w:r>
        <w:rPr>
          <w:lang w:val="el-GR"/>
        </w:rPr>
        <w:t>Συγκεκριμένα αξιολογήθηκαν οι παρακάτω υποθέσεις:</w:t>
      </w:r>
    </w:p>
    <w:p w14:paraId="4AFC9D6F" w14:textId="77777777" w:rsidR="008D6AA2" w:rsidRPr="00176A41" w:rsidRDefault="008D6AA2" w:rsidP="008D6AA2">
      <w:pPr>
        <w:spacing w:line="240" w:lineRule="auto"/>
        <w:rPr>
          <w:lang w:val="el-GR"/>
        </w:rPr>
      </w:pPr>
      <w:r>
        <w:rPr>
          <w:lang w:val="el-GR"/>
        </w:rPr>
        <w:t>Υ0: Δεν υπάρχουν διαφορές μεταξύ αγοριών και κοριτσιών</w:t>
      </w:r>
      <w:r w:rsidRPr="00176A41">
        <w:rPr>
          <w:lang w:val="el-GR"/>
        </w:rPr>
        <w:t xml:space="preserve"> </w:t>
      </w:r>
      <w:r>
        <w:rPr>
          <w:lang w:val="el-GR"/>
        </w:rPr>
        <w:t xml:space="preserve">στο </w:t>
      </w:r>
      <w:r>
        <w:t>CCT</w:t>
      </w:r>
      <w:r w:rsidRPr="00176A41">
        <w:rPr>
          <w:lang w:val="el-GR"/>
        </w:rPr>
        <w:t>2</w:t>
      </w:r>
      <w:r>
        <w:t>t</w:t>
      </w:r>
    </w:p>
    <w:p w14:paraId="5A4318FA" w14:textId="77777777" w:rsidR="008D6AA2" w:rsidRPr="00176A41" w:rsidRDefault="008D6AA2" w:rsidP="008D6AA2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μΑ</w:t>
      </w:r>
      <w:proofErr w:type="spellEnd"/>
      <w:r>
        <w:rPr>
          <w:lang w:val="el-GR"/>
        </w:rPr>
        <w:t>=</w:t>
      </w:r>
      <w:proofErr w:type="spellStart"/>
      <w:r>
        <w:rPr>
          <w:lang w:val="el-GR"/>
        </w:rPr>
        <w:t>μΚ</w:t>
      </w:r>
      <w:proofErr w:type="spellEnd"/>
    </w:p>
    <w:p w14:paraId="5B221F23" w14:textId="77777777" w:rsidR="008D6AA2" w:rsidRDefault="008D6AA2" w:rsidP="008D6AA2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 xml:space="preserve">: Υπάρχουν διαφορές μεταξύ αγοριών και κοριτσιών στο </w:t>
      </w:r>
      <w:r>
        <w:t>CCT</w:t>
      </w:r>
      <w:r w:rsidRPr="00176A41">
        <w:rPr>
          <w:lang w:val="el-GR"/>
        </w:rPr>
        <w:t>2</w:t>
      </w:r>
      <w:r>
        <w:t>t</w:t>
      </w:r>
    </w:p>
    <w:p w14:paraId="47116645" w14:textId="77777777" w:rsidR="008D6AA2" w:rsidRPr="00176A41" w:rsidRDefault="008D6AA2" w:rsidP="008D6AA2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μΑ≠μΚ</w:t>
      </w:r>
      <w:proofErr w:type="spellEnd"/>
    </w:p>
    <w:p w14:paraId="018D35C5" w14:textId="5BCE4640" w:rsidR="008D6AA2" w:rsidRDefault="008D6AA2" w:rsidP="008D6AA2">
      <w:pPr>
        <w:spacing w:line="240" w:lineRule="auto"/>
      </w:pPr>
      <w:r>
        <w:rPr>
          <w:lang w:val="el-GR"/>
        </w:rPr>
        <w:t>Οι π</w:t>
      </w:r>
      <w:r>
        <w:rPr>
          <w:lang w:val="el-GR"/>
        </w:rPr>
        <w:t>ροϋποθέσεις</w:t>
      </w:r>
      <w:r>
        <w:rPr>
          <w:lang w:val="el-GR"/>
        </w:rPr>
        <w:t xml:space="preserve"> της κ</w:t>
      </w:r>
      <w:r>
        <w:rPr>
          <w:lang w:val="el-GR"/>
        </w:rPr>
        <w:t>ανονικότητα και</w:t>
      </w:r>
      <w:r>
        <w:rPr>
          <w:lang w:val="el-GR"/>
        </w:rPr>
        <w:t xml:space="preserve"> των ίσων διακυμάνσεων αξιολογήθηκαν με τα τεστ Κ-</w:t>
      </w:r>
      <w:r>
        <w:t>S</w:t>
      </w:r>
      <w:r>
        <w:rPr>
          <w:lang w:val="el-GR"/>
        </w:rPr>
        <w:t xml:space="preserve"> και </w:t>
      </w:r>
      <w:r>
        <w:t>Levene</w:t>
      </w:r>
      <w:r w:rsidRPr="008D6AA2">
        <w:rPr>
          <w:lang w:val="el-GR"/>
        </w:rPr>
        <w:t xml:space="preserve">. </w:t>
      </w:r>
      <w:r>
        <w:rPr>
          <w:lang w:val="el-GR"/>
        </w:rPr>
        <w:t xml:space="preserve">Και τα δύο τεστ επιβεβαίωσαν τις μηδενικές  υποθέσεις συνεπώς η κατανομή του </w:t>
      </w:r>
      <w:r>
        <w:t>CCT</w:t>
      </w:r>
      <w:r w:rsidRPr="008D6AA2">
        <w:rPr>
          <w:lang w:val="el-GR"/>
        </w:rPr>
        <w:t>2</w:t>
      </w:r>
      <w:r>
        <w:t>t</w:t>
      </w:r>
      <w:r>
        <w:rPr>
          <w:lang w:val="el-GR"/>
        </w:rPr>
        <w:t xml:space="preserve"> ήταν κανονική και για τα αγόρια και για τα κορίτσια και οι διακυμάνσεις ήταν περίπου ίδιες. Στη συνέχεια χρησιμοποιήθηκε το Τ-τεστ για ανεξάρτητα δείγματα όπου επίσης επιβεβαιώθηκε η μηδενική υπόθεση [</w:t>
      </w:r>
      <w:r>
        <w:t>t</w:t>
      </w:r>
      <w:r w:rsidRPr="008D6AA2">
        <w:rPr>
          <w:lang w:val="el-GR"/>
        </w:rPr>
        <w:t xml:space="preserve">(237)=1.210, </w:t>
      </w:r>
      <w:r>
        <w:t>p</w:t>
      </w:r>
      <w:r w:rsidRPr="008D6AA2">
        <w:rPr>
          <w:lang w:val="el-GR"/>
        </w:rPr>
        <w:t>=0.227</w:t>
      </w:r>
      <w:r>
        <w:rPr>
          <w:lang w:val="el-GR"/>
        </w:rPr>
        <w:t xml:space="preserve">]. Επομένως η διαφορά μεταξύ αγοριών (Μ=106.73) και κοριτσιών (Μ=102.02) δεν ήταν στατιστικά σημαντική. Το εύρημα αυτό επιβεβαιώθηκε και με τον δείκτη </w:t>
      </w:r>
      <w:r>
        <w:t>D</w:t>
      </w:r>
      <w:r w:rsidRPr="008D6AA2">
        <w:rPr>
          <w:lang w:val="el-GR"/>
        </w:rPr>
        <w:t xml:space="preserve"> </w:t>
      </w:r>
      <w:r>
        <w:rPr>
          <w:lang w:val="el-GR"/>
        </w:rPr>
        <w:t xml:space="preserve">του </w:t>
      </w:r>
      <w:r>
        <w:t>Cohen</w:t>
      </w:r>
      <w:r>
        <w:rPr>
          <w:lang w:val="el-GR"/>
        </w:rPr>
        <w:t xml:space="preserve"> όπου το μέγεθός του (0.157) ήταν στην κατηγορία μικρότερο από μικρό. Συμπεραίνεται ότι δεν υπάρχουν σημαντικές διαφορές κατά φύλο στο </w:t>
      </w:r>
      <w:r>
        <w:t>CCT</w:t>
      </w:r>
      <w:r w:rsidRPr="008D6AA2">
        <w:rPr>
          <w:lang w:val="el-GR"/>
        </w:rPr>
        <w:t>2</w:t>
      </w:r>
      <w:r>
        <w:t>t</w:t>
      </w:r>
      <w:r w:rsidRPr="008D6AA2">
        <w:rPr>
          <w:lang w:val="el-GR"/>
        </w:rPr>
        <w:t>.</w:t>
      </w:r>
    </w:p>
    <w:p w14:paraId="2D4909EC" w14:textId="77777777" w:rsidR="008307A3" w:rsidRDefault="008307A3" w:rsidP="008D6AA2">
      <w:pPr>
        <w:spacing w:line="240" w:lineRule="auto"/>
        <w:sectPr w:rsidR="008307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68CB38" w14:textId="012CB564" w:rsidR="008307A3" w:rsidRPr="008307A3" w:rsidRDefault="008307A3" w:rsidP="008D6AA2">
      <w:pPr>
        <w:spacing w:line="240" w:lineRule="auto"/>
        <w:rPr>
          <w:b/>
          <w:bCs/>
          <w:lang w:val="el-GR"/>
        </w:rPr>
      </w:pPr>
      <w:r w:rsidRPr="008307A3">
        <w:rPr>
          <w:b/>
          <w:bCs/>
        </w:rPr>
        <w:lastRenderedPageBreak/>
        <w:t>T</w:t>
      </w:r>
      <w:r w:rsidRPr="008307A3">
        <w:rPr>
          <w:b/>
          <w:bCs/>
          <w:lang w:val="el-GR"/>
        </w:rPr>
        <w:t>-</w:t>
      </w:r>
      <w:r w:rsidRPr="008307A3">
        <w:rPr>
          <w:b/>
          <w:bCs/>
        </w:rPr>
        <w:t>test</w:t>
      </w:r>
      <w:r w:rsidRPr="008307A3">
        <w:rPr>
          <w:b/>
          <w:bCs/>
          <w:lang w:val="el-GR"/>
        </w:rPr>
        <w:t xml:space="preserve"> για εξαρτημένα δείγματα</w:t>
      </w:r>
    </w:p>
    <w:p w14:paraId="08D2A1CE" w14:textId="099E685E" w:rsidR="008307A3" w:rsidRPr="00FD3513" w:rsidRDefault="008307A3" w:rsidP="008D6AA2">
      <w:pPr>
        <w:spacing w:line="240" w:lineRule="auto"/>
        <w:rPr>
          <w:lang w:val="el-GR"/>
        </w:rPr>
      </w:pPr>
      <w:r>
        <w:rPr>
          <w:lang w:val="el-GR"/>
        </w:rPr>
        <w:t>Ο σκοπός αυτής της έρευνας ήταν η αξιολόγηση της διαφοράς των συναισθημάτων πριν και μετά την παρέμβαση.</w:t>
      </w:r>
      <w:r w:rsidR="00FD3513" w:rsidRPr="00FD3513">
        <w:rPr>
          <w:lang w:val="el-GR"/>
        </w:rPr>
        <w:t xml:space="preserve"> </w:t>
      </w:r>
      <w:r w:rsidR="00FD3513">
        <w:rPr>
          <w:lang w:val="el-GR"/>
        </w:rPr>
        <w:t>Διατυπώθηκε η παρακάτω υπόθεση:</w:t>
      </w:r>
    </w:p>
    <w:p w14:paraId="33162623" w14:textId="7C0FAA63" w:rsidR="008307A3" w:rsidRDefault="008307A3" w:rsidP="008D6AA2">
      <w:pPr>
        <w:spacing w:line="240" w:lineRule="auto"/>
        <w:rPr>
          <w:lang w:val="el-GR"/>
        </w:rPr>
      </w:pPr>
      <w:r>
        <w:rPr>
          <w:lang w:val="el-GR"/>
        </w:rPr>
        <w:t xml:space="preserve">Υ0: </w:t>
      </w:r>
      <w:proofErr w:type="spellStart"/>
      <w:r>
        <w:rPr>
          <w:lang w:val="el-GR"/>
        </w:rPr>
        <w:t>Μ.Ο.συναισθημάτων</w:t>
      </w:r>
      <w:proofErr w:type="spellEnd"/>
      <w:r>
        <w:rPr>
          <w:lang w:val="el-GR"/>
        </w:rPr>
        <w:t xml:space="preserve"> πριν=Μ.Ο. συναισθημάτων μετά</w:t>
      </w:r>
    </w:p>
    <w:p w14:paraId="747ABAD0" w14:textId="7BA4864A" w:rsidR="008307A3" w:rsidRPr="008307A3" w:rsidRDefault="008307A3" w:rsidP="008D6AA2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 xml:space="preserve">: </w:t>
      </w:r>
      <w:proofErr w:type="spellStart"/>
      <w:r>
        <w:rPr>
          <w:lang w:val="el-GR"/>
        </w:rPr>
        <w:t>Μ.Ο.συναισθημάτων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πριν≠Μ.Ο</w:t>
      </w:r>
      <w:proofErr w:type="spellEnd"/>
      <w:r>
        <w:rPr>
          <w:lang w:val="el-GR"/>
        </w:rPr>
        <w:t>. συναισθημάτων μετά</w:t>
      </w:r>
    </w:p>
    <w:p w14:paraId="0239A0C0" w14:textId="3CED388E" w:rsidR="008D6AA2" w:rsidRDefault="00FD3513" w:rsidP="006E59BD">
      <w:pPr>
        <w:spacing w:line="240" w:lineRule="auto"/>
        <w:rPr>
          <w:lang w:val="el-GR"/>
        </w:rPr>
      </w:pPr>
      <w:r>
        <w:rPr>
          <w:lang w:val="el-GR"/>
        </w:rPr>
        <w:t>Τα αποτελέσματα αξιολογήθηκαν με το τ-τεστ για εξαρτημένα δείγματα. Ο μέσος όρος της διαφοράς μεταξύ πρώτης και δεύτερης μέτρησης ήταν 0.060 (</w:t>
      </w:r>
      <w:proofErr w:type="spellStart"/>
      <w:r>
        <w:rPr>
          <w:lang w:val="el-GR"/>
        </w:rPr>
        <w:t>Μ.Ο.πρώτη</w:t>
      </w:r>
      <w:proofErr w:type="spellEnd"/>
      <w:r>
        <w:rPr>
          <w:lang w:val="el-GR"/>
        </w:rPr>
        <w:t xml:space="preserve">=4.00, </w:t>
      </w:r>
      <w:proofErr w:type="spellStart"/>
      <w:r>
        <w:rPr>
          <w:lang w:val="el-GR"/>
        </w:rPr>
        <w:t>Μ.Ο.δεύτερη</w:t>
      </w:r>
      <w:proofErr w:type="spellEnd"/>
      <w:r>
        <w:rPr>
          <w:lang w:val="el-GR"/>
        </w:rPr>
        <w:t xml:space="preserve">=3.94) και η διαφορά αυτή δεν βρέθηκε να ξεπερνά επίπεδα στατιστικής σημαντικότητας [Τ(216)=0.874, </w:t>
      </w:r>
      <w:r>
        <w:t>p</w:t>
      </w:r>
      <w:r w:rsidRPr="00FD3513">
        <w:rPr>
          <w:lang w:val="el-GR"/>
        </w:rPr>
        <w:t>=0.383</w:t>
      </w:r>
      <w:r>
        <w:rPr>
          <w:lang w:val="el-GR"/>
        </w:rPr>
        <w:t>]</w:t>
      </w:r>
      <w:r w:rsidRPr="00FD3513">
        <w:rPr>
          <w:lang w:val="el-GR"/>
        </w:rPr>
        <w:t xml:space="preserve">. </w:t>
      </w:r>
      <w:r>
        <w:rPr>
          <w:lang w:val="el-GR"/>
        </w:rPr>
        <w:t>Συμπεραίνεται ότι δεν υπάρχει διαφορά στα συναισθήματα μεταξύ πρώτης και δεύτερης μέτρησης.</w:t>
      </w:r>
    </w:p>
    <w:p w14:paraId="2B719ED5" w14:textId="77777777" w:rsidR="00FD3513" w:rsidRDefault="00FD3513" w:rsidP="006E59BD">
      <w:pPr>
        <w:spacing w:line="240" w:lineRule="auto"/>
        <w:rPr>
          <w:lang w:val="el-GR"/>
        </w:rPr>
        <w:sectPr w:rsidR="00FD35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6D678E" w14:textId="08E105B3" w:rsidR="007F2F1F" w:rsidRPr="007F2F1F" w:rsidRDefault="007F2F1F" w:rsidP="006E59BD">
      <w:pPr>
        <w:spacing w:line="240" w:lineRule="auto"/>
        <w:rPr>
          <w:b/>
          <w:bCs/>
          <w:lang w:val="el-GR"/>
        </w:rPr>
      </w:pPr>
      <w:r w:rsidRPr="007F2F1F">
        <w:rPr>
          <w:b/>
          <w:bCs/>
          <w:lang w:val="el-GR"/>
        </w:rPr>
        <w:lastRenderedPageBreak/>
        <w:t>Ανάλυση της Διακύμανσης</w:t>
      </w:r>
    </w:p>
    <w:p w14:paraId="4935AE6E" w14:textId="7FD55010" w:rsidR="00FD3513" w:rsidRPr="00A01C62" w:rsidRDefault="00FD3513" w:rsidP="006E59BD">
      <w:pPr>
        <w:spacing w:line="240" w:lineRule="auto"/>
        <w:rPr>
          <w:lang w:val="el-GR"/>
        </w:rPr>
      </w:pPr>
      <w:r>
        <w:rPr>
          <w:lang w:val="el-GR"/>
        </w:rPr>
        <w:t xml:space="preserve">Ο σκοπός αυτής της εργασίας ήταν η αξιολόγηση των κινήτρων στην επίδοση με βάση το </w:t>
      </w:r>
      <w:r>
        <w:t>CCT</w:t>
      </w:r>
      <w:r w:rsidRPr="00FD3513">
        <w:rPr>
          <w:lang w:val="el-GR"/>
        </w:rPr>
        <w:t>2</w:t>
      </w:r>
      <w:r>
        <w:t>t</w:t>
      </w:r>
      <w:r>
        <w:rPr>
          <w:lang w:val="el-GR"/>
        </w:rPr>
        <w:t>. Διατυπώθηκε η παρακάτω υπόθεση:</w:t>
      </w:r>
      <w:r w:rsidR="00A01C62" w:rsidRPr="00A01C62">
        <w:rPr>
          <w:lang w:val="el-GR"/>
        </w:rPr>
        <w:t xml:space="preserve"> </w:t>
      </w:r>
      <w:r w:rsidR="00A01C62">
        <w:rPr>
          <w:lang w:val="el-GR"/>
        </w:rPr>
        <w:t>Διατυπώθηκε η εξής υπόθεση</w:t>
      </w:r>
    </w:p>
    <w:p w14:paraId="55B77A86" w14:textId="28CCA6E2" w:rsidR="00FD3513" w:rsidRDefault="00FD3513" w:rsidP="006E59BD">
      <w:pPr>
        <w:spacing w:line="240" w:lineRule="auto"/>
        <w:rPr>
          <w:lang w:val="el-GR"/>
        </w:rPr>
      </w:pPr>
      <w:r>
        <w:rPr>
          <w:lang w:val="el-GR"/>
        </w:rPr>
        <w:t xml:space="preserve">Υ0: </w:t>
      </w:r>
      <w:proofErr w:type="spellStart"/>
      <w:r>
        <w:rPr>
          <w:lang w:val="el-GR"/>
        </w:rPr>
        <w:t>Μκμ</w:t>
      </w:r>
      <w:proofErr w:type="spellEnd"/>
      <w:r>
        <w:rPr>
          <w:lang w:val="el-GR"/>
        </w:rPr>
        <w:t>=</w:t>
      </w:r>
      <w:proofErr w:type="spellStart"/>
      <w:r>
        <w:rPr>
          <w:lang w:val="el-GR"/>
        </w:rPr>
        <w:t>Μκεν</w:t>
      </w:r>
      <w:proofErr w:type="spellEnd"/>
      <w:r>
        <w:rPr>
          <w:lang w:val="el-GR"/>
        </w:rPr>
        <w:t>=</w:t>
      </w:r>
      <w:proofErr w:type="spellStart"/>
      <w:r>
        <w:rPr>
          <w:lang w:val="el-GR"/>
        </w:rPr>
        <w:t>Μκεκε</w:t>
      </w:r>
      <w:proofErr w:type="spellEnd"/>
    </w:p>
    <w:p w14:paraId="5E377DC8" w14:textId="3BD64EBD" w:rsidR="00FD3513" w:rsidRDefault="00FD3513" w:rsidP="006E59BD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>: κάποιος μέσος όρος είναι διαφορετικός από κάποιον άλλο μέσο όρο</w:t>
      </w:r>
    </w:p>
    <w:p w14:paraId="7BC96AE8" w14:textId="2583425A" w:rsidR="00FD3513" w:rsidRPr="00A01C62" w:rsidRDefault="00A01C62" w:rsidP="006E59BD">
      <w:pPr>
        <w:spacing w:line="240" w:lineRule="auto"/>
        <w:rPr>
          <w:lang w:val="el-GR"/>
        </w:rPr>
      </w:pPr>
      <w:r>
        <w:rPr>
          <w:lang w:val="el-GR"/>
        </w:rPr>
        <w:t>Η</w:t>
      </w:r>
      <w:r w:rsidRPr="00A01C62">
        <w:rPr>
          <w:lang w:val="el-GR"/>
        </w:rPr>
        <w:t xml:space="preserve"> </w:t>
      </w:r>
      <w:r>
        <w:rPr>
          <w:lang w:val="el-GR"/>
        </w:rPr>
        <w:t xml:space="preserve">αξιολόγηση της παραπάνω υπόθεσης έγινε με την </w:t>
      </w:r>
      <w:r w:rsidR="00E11D49">
        <w:rPr>
          <w:lang w:val="el-GR"/>
        </w:rPr>
        <w:t>Ανάλυσης</w:t>
      </w:r>
      <w:r w:rsidR="00E11D49" w:rsidRPr="00A01C62">
        <w:rPr>
          <w:lang w:val="el-GR"/>
        </w:rPr>
        <w:t xml:space="preserve"> </w:t>
      </w:r>
      <w:r w:rsidR="00E11D49">
        <w:rPr>
          <w:lang w:val="el-GR"/>
        </w:rPr>
        <w:t>διακύμανσης</w:t>
      </w:r>
      <w:r w:rsidR="00E11D49" w:rsidRPr="00A01C62">
        <w:rPr>
          <w:lang w:val="el-GR"/>
        </w:rPr>
        <w:t xml:space="preserve"> (</w:t>
      </w:r>
      <w:r w:rsidR="00E11D49">
        <w:t>Analysis</w:t>
      </w:r>
      <w:r w:rsidR="00E11D49" w:rsidRPr="00A01C62">
        <w:rPr>
          <w:lang w:val="el-GR"/>
        </w:rPr>
        <w:t xml:space="preserve"> </w:t>
      </w:r>
      <w:r w:rsidR="00E11D49">
        <w:t>of</w:t>
      </w:r>
      <w:r w:rsidR="00E11D49" w:rsidRPr="00A01C62">
        <w:rPr>
          <w:lang w:val="el-GR"/>
        </w:rPr>
        <w:t xml:space="preserve"> </w:t>
      </w:r>
      <w:r w:rsidR="00E11D49">
        <w:t>Variance</w:t>
      </w:r>
      <w:r w:rsidR="00E11D49" w:rsidRPr="00A01C62">
        <w:rPr>
          <w:lang w:val="el-GR"/>
        </w:rPr>
        <w:t>-</w:t>
      </w:r>
      <w:r w:rsidR="00E11D49">
        <w:t>ANOVA</w:t>
      </w:r>
      <w:r w:rsidR="00E11D49" w:rsidRPr="00A01C62">
        <w:rPr>
          <w:lang w:val="el-GR"/>
        </w:rPr>
        <w:t xml:space="preserve">) </w:t>
      </w:r>
      <w:r w:rsidR="00E11D49">
        <w:t>F</w:t>
      </w:r>
      <w:r w:rsidR="00E11D49" w:rsidRPr="00A01C62">
        <w:rPr>
          <w:lang w:val="el-GR"/>
        </w:rPr>
        <w:t>-</w:t>
      </w:r>
      <w:r w:rsidR="00E11D49">
        <w:t>test</w:t>
      </w:r>
      <w:r>
        <w:rPr>
          <w:lang w:val="el-GR"/>
        </w:rPr>
        <w:t xml:space="preserve"> και εξαρτημένη μεταβλητή το </w:t>
      </w:r>
      <w:r>
        <w:t>CCT</w:t>
      </w:r>
      <w:r w:rsidRPr="00A01C62">
        <w:rPr>
          <w:lang w:val="el-GR"/>
        </w:rPr>
        <w:t>2</w:t>
      </w:r>
      <w:r>
        <w:t>t</w:t>
      </w:r>
      <w:r>
        <w:rPr>
          <w:lang w:val="el-GR"/>
        </w:rPr>
        <w:t xml:space="preserve">. Αρχικά αξιολογήθηκαν οι προϋποθέσεις της κανονικότητας και των ίσων διακυμάνσεων. Αναφορικά με τα τεστ κανονικότητα με τη χρήση του </w:t>
      </w:r>
      <w:r>
        <w:t>Kolmogorov</w:t>
      </w:r>
      <w:r w:rsidRPr="00A01C62">
        <w:rPr>
          <w:lang w:val="el-GR"/>
        </w:rPr>
        <w:t>-</w:t>
      </w:r>
      <w:r>
        <w:t>Smirnov</w:t>
      </w:r>
      <w:r w:rsidRPr="00A01C62">
        <w:rPr>
          <w:lang w:val="el-GR"/>
        </w:rPr>
        <w:t xml:space="preserve">, </w:t>
      </w:r>
      <w:r>
        <w:rPr>
          <w:lang w:val="el-GR"/>
        </w:rPr>
        <w:t xml:space="preserve">όλα τα τεστ επιβεβαίωσαν μηδενικές υποθέσεις, συνεπώς ικανοποιήθηκε αυτή η προϋπόθεση. Σχετικά με την προϋπόθεση των ίσων διακυμάνσεων το τεστ </w:t>
      </w:r>
      <w:r>
        <w:t>Levene</w:t>
      </w:r>
      <w:r>
        <w:rPr>
          <w:lang w:val="el-GR"/>
        </w:rPr>
        <w:t xml:space="preserve"> ήταν επίσης μη-στατιστικά σημαντικό [</w:t>
      </w:r>
      <w:r>
        <w:t>Levene</w:t>
      </w:r>
      <w:r w:rsidRPr="00A01C62">
        <w:rPr>
          <w:lang w:val="el-GR"/>
        </w:rPr>
        <w:t xml:space="preserve">=2.086, </w:t>
      </w:r>
      <w:r>
        <w:t>p</w:t>
      </w:r>
      <w:r w:rsidRPr="00A01C62">
        <w:rPr>
          <w:lang w:val="el-GR"/>
        </w:rPr>
        <w:t>=0.126</w:t>
      </w:r>
      <w:r>
        <w:rPr>
          <w:lang w:val="el-GR"/>
        </w:rPr>
        <w:t xml:space="preserve">]. Με τη χρήση του </w:t>
      </w:r>
      <w:r>
        <w:t>F</w:t>
      </w:r>
      <w:r w:rsidRPr="00A01C62">
        <w:rPr>
          <w:lang w:val="el-GR"/>
        </w:rPr>
        <w:t>-</w:t>
      </w:r>
      <w:r>
        <w:t>test</w:t>
      </w:r>
      <w:r>
        <w:rPr>
          <w:lang w:val="el-GR"/>
        </w:rPr>
        <w:t xml:space="preserve"> τα αποτελέσματα επιβεβαίωσαν την εναλλακτική υπόθεση [</w:t>
      </w:r>
      <w:r>
        <w:t>F</w:t>
      </w:r>
      <w:r w:rsidRPr="00A01C62">
        <w:rPr>
          <w:lang w:val="el-GR"/>
        </w:rPr>
        <w:t xml:space="preserve">(2, 236)=4.773, </w:t>
      </w:r>
      <w:r>
        <w:t>p</w:t>
      </w:r>
      <w:r w:rsidRPr="00A01C62">
        <w:rPr>
          <w:lang w:val="el-GR"/>
        </w:rPr>
        <w:t>=0.009</w:t>
      </w:r>
      <w:r>
        <w:rPr>
          <w:lang w:val="el-GR"/>
        </w:rPr>
        <w:t>]</w:t>
      </w:r>
      <w:r w:rsidRPr="00A01C62">
        <w:rPr>
          <w:lang w:val="el-GR"/>
        </w:rPr>
        <w:t xml:space="preserve"> </w:t>
      </w:r>
      <w:r>
        <w:rPr>
          <w:lang w:val="el-GR"/>
        </w:rPr>
        <w:t xml:space="preserve">ότι δηλαδή κάποιο κίνητρο είχε διαφορετικό μέσο όρο από κάποιο άλλο. Για την αξιολόγηση των κινήτρων μεταξύ τους χρησιμοποιήθηκε το τεστ πολλαπλών συγκρίσεων του </w:t>
      </w:r>
      <w:r>
        <w:t>Tukey</w:t>
      </w:r>
      <w:r w:rsidRPr="00A01C62">
        <w:rPr>
          <w:lang w:val="el-GR"/>
        </w:rPr>
        <w:t xml:space="preserve">. </w:t>
      </w:r>
      <w:r>
        <w:rPr>
          <w:lang w:val="el-GR"/>
        </w:rPr>
        <w:t>Τα αποτελέσματα έδειξαν ότι η μοναδική διαφορά ήταν μεταξύ του κινήτρου μάθησης και του κινήτρου επίτευξης με βάση τη νόρμα (</w:t>
      </w:r>
      <w:proofErr w:type="spellStart"/>
      <w:r>
        <w:rPr>
          <w:lang w:val="el-GR"/>
        </w:rPr>
        <w:t>Μ.Ο.διαφοράς</w:t>
      </w:r>
      <w:proofErr w:type="spellEnd"/>
      <w:r>
        <w:rPr>
          <w:lang w:val="el-GR"/>
        </w:rPr>
        <w:t xml:space="preserve"> = 14.298, </w:t>
      </w:r>
      <w:r>
        <w:t>p</w:t>
      </w:r>
      <w:r w:rsidRPr="00A01C62">
        <w:rPr>
          <w:lang w:val="el-GR"/>
        </w:rPr>
        <w:t>=0.009).</w:t>
      </w:r>
    </w:p>
    <w:p w14:paraId="61CAA8C9" w14:textId="77777777" w:rsidR="00E11D49" w:rsidRPr="00A01C62" w:rsidRDefault="00E11D49" w:rsidP="006E59BD">
      <w:pPr>
        <w:spacing w:line="240" w:lineRule="auto"/>
        <w:rPr>
          <w:lang w:val="el-GR"/>
        </w:rPr>
      </w:pPr>
    </w:p>
    <w:p w14:paraId="0EC341BA" w14:textId="77777777" w:rsidR="00FD3513" w:rsidRPr="00A01C62" w:rsidRDefault="00FD3513" w:rsidP="006E59BD">
      <w:pPr>
        <w:spacing w:line="240" w:lineRule="auto"/>
        <w:rPr>
          <w:lang w:val="el-GR"/>
        </w:rPr>
      </w:pPr>
    </w:p>
    <w:sectPr w:rsidR="00FD3513" w:rsidRPr="00A0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CA"/>
    <w:rsid w:val="000E72C9"/>
    <w:rsid w:val="001621C7"/>
    <w:rsid w:val="00176A41"/>
    <w:rsid w:val="001E3815"/>
    <w:rsid w:val="002E141E"/>
    <w:rsid w:val="004A32CA"/>
    <w:rsid w:val="0050037B"/>
    <w:rsid w:val="005905AD"/>
    <w:rsid w:val="006E59BD"/>
    <w:rsid w:val="007F2F1F"/>
    <w:rsid w:val="008307A3"/>
    <w:rsid w:val="0088636B"/>
    <w:rsid w:val="008925FD"/>
    <w:rsid w:val="008D6AA2"/>
    <w:rsid w:val="00956701"/>
    <w:rsid w:val="00A01C62"/>
    <w:rsid w:val="00C23559"/>
    <w:rsid w:val="00E11D49"/>
    <w:rsid w:val="00E622CE"/>
    <w:rsid w:val="00F840FA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E7F5"/>
  <w15:chartTrackingRefBased/>
  <w15:docId w15:val="{98386F01-0DC9-4DAE-9EC3-D5CF25E4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Sideridis</dc:creator>
  <cp:keywords/>
  <dc:description/>
  <cp:lastModifiedBy>Georgios Sideridis</cp:lastModifiedBy>
  <cp:revision>14</cp:revision>
  <dcterms:created xsi:type="dcterms:W3CDTF">2025-01-12T09:11:00Z</dcterms:created>
  <dcterms:modified xsi:type="dcterms:W3CDTF">2025-01-12T12:34:00Z</dcterms:modified>
</cp:coreProperties>
</file>