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36A" w:rsidRPr="002F1146" w:rsidRDefault="0087236A" w:rsidP="0087236A">
      <w:pPr>
        <w:spacing w:after="0"/>
        <w:jc w:val="center"/>
        <w:rPr>
          <w:b/>
          <w:sz w:val="30"/>
          <w:szCs w:val="30"/>
          <w:lang w:val="el-GR"/>
        </w:rPr>
      </w:pPr>
      <w:r w:rsidRPr="002F1146">
        <w:rPr>
          <w:b/>
          <w:sz w:val="30"/>
          <w:szCs w:val="30"/>
          <w:lang w:val="el-GR"/>
        </w:rPr>
        <w:t xml:space="preserve">Θεσμοί Κοινωνικής Ευθύνης και Κοινωνική Αλληλεγγύη </w:t>
      </w:r>
    </w:p>
    <w:p w:rsidR="006954F7" w:rsidRPr="002F1146" w:rsidRDefault="0087236A" w:rsidP="0087236A">
      <w:pPr>
        <w:spacing w:after="0"/>
        <w:jc w:val="center"/>
        <w:rPr>
          <w:b/>
          <w:sz w:val="24"/>
          <w:lang w:val="el-GR"/>
        </w:rPr>
      </w:pPr>
      <w:r w:rsidRPr="002F1146">
        <w:rPr>
          <w:b/>
          <w:sz w:val="28"/>
          <w:szCs w:val="26"/>
          <w:lang w:val="el-GR"/>
        </w:rPr>
        <w:t>Κοινωνικές Επιπτώσεις της Κρίσης στην Ελλάδα</w:t>
      </w:r>
      <w:r w:rsidR="006609D0" w:rsidRPr="002F1146">
        <w:rPr>
          <w:b/>
          <w:sz w:val="24"/>
          <w:lang w:val="el-GR"/>
        </w:rPr>
        <w:br/>
      </w:r>
    </w:p>
    <w:p w:rsidR="002F1146" w:rsidRPr="002F1146" w:rsidRDefault="002F1146" w:rsidP="002F1146">
      <w:pPr>
        <w:spacing w:after="0"/>
        <w:rPr>
          <w:b/>
          <w:sz w:val="24"/>
          <w:szCs w:val="24"/>
          <w:lang w:val="el-GR"/>
        </w:rPr>
      </w:pPr>
      <w:r>
        <w:rPr>
          <w:b/>
          <w:sz w:val="24"/>
          <w:szCs w:val="24"/>
          <w:lang w:val="el-GR"/>
        </w:rPr>
        <w:t>Διάλεξη: 4</w:t>
      </w:r>
      <w:r w:rsidRPr="00FA2587">
        <w:rPr>
          <w:b/>
          <w:sz w:val="24"/>
          <w:szCs w:val="24"/>
          <w:vertAlign w:val="superscript"/>
          <w:lang w:val="el-GR"/>
        </w:rPr>
        <w:t>η</w:t>
      </w:r>
      <w:r w:rsidRPr="002F1146">
        <w:rPr>
          <w:b/>
          <w:sz w:val="24"/>
          <w:szCs w:val="24"/>
          <w:lang w:val="el-GR"/>
        </w:rPr>
        <w:t>,</w:t>
      </w:r>
      <w:r w:rsidRPr="00FA2587">
        <w:rPr>
          <w:b/>
          <w:sz w:val="24"/>
          <w:szCs w:val="24"/>
          <w:lang w:val="el-GR"/>
        </w:rPr>
        <w:t xml:space="preserve"> </w:t>
      </w:r>
      <w:r w:rsidRPr="002F1146">
        <w:rPr>
          <w:b/>
          <w:sz w:val="24"/>
          <w:szCs w:val="24"/>
          <w:lang w:val="el-GR"/>
        </w:rPr>
        <w:t>20/11/2015</w:t>
      </w:r>
    </w:p>
    <w:p w:rsidR="002F1146" w:rsidRPr="00FA2587" w:rsidRDefault="002F1146" w:rsidP="002F1146">
      <w:pPr>
        <w:spacing w:after="0"/>
        <w:rPr>
          <w:b/>
          <w:sz w:val="24"/>
          <w:lang w:val="el-GR"/>
        </w:rPr>
      </w:pPr>
      <w:r w:rsidRPr="002F1146">
        <w:rPr>
          <w:b/>
          <w:sz w:val="24"/>
          <w:lang w:val="el-GR"/>
        </w:rPr>
        <w:t>Εισηγητής:</w:t>
      </w:r>
      <w:r w:rsidRPr="00FA2587">
        <w:rPr>
          <w:b/>
          <w:sz w:val="24"/>
          <w:lang w:val="el-GR"/>
        </w:rPr>
        <w:t xml:space="preserve"> </w:t>
      </w:r>
      <w:r>
        <w:rPr>
          <w:b/>
          <w:sz w:val="24"/>
          <w:lang w:val="el-GR"/>
        </w:rPr>
        <w:t>Καθ. Φερώνας Ανδρέας</w:t>
      </w:r>
    </w:p>
    <w:p w:rsidR="0087236A" w:rsidRDefault="0087236A" w:rsidP="002F1146">
      <w:pPr>
        <w:rPr>
          <w:b/>
          <w:lang w:val="el-GR"/>
        </w:rPr>
      </w:pPr>
    </w:p>
    <w:p w:rsidR="00F46CED" w:rsidRPr="005B0B41" w:rsidRDefault="0081553E" w:rsidP="005B0B41">
      <w:pPr>
        <w:rPr>
          <w:lang w:val="el-GR"/>
        </w:rPr>
      </w:pPr>
      <w:r>
        <w:rPr>
          <w:lang w:val="el-GR"/>
        </w:rPr>
        <w:t xml:space="preserve">Μετάβαση από την έννοια της φτώχειας και της κοινωνικής ανισότητας στην έννοια του </w:t>
      </w:r>
      <w:r w:rsidR="0087236A">
        <w:rPr>
          <w:lang w:val="el-GR"/>
        </w:rPr>
        <w:t>κοινωνικού αποκλεισμού (</w:t>
      </w:r>
      <w:r>
        <w:rPr>
          <w:lang w:val="el-GR"/>
        </w:rPr>
        <w:t>Κ.Α</w:t>
      </w:r>
      <w:r w:rsidR="0087236A">
        <w:rPr>
          <w:lang w:val="el-GR"/>
        </w:rPr>
        <w:t>)</w:t>
      </w:r>
      <w:r>
        <w:rPr>
          <w:lang w:val="el-GR"/>
        </w:rPr>
        <w:t xml:space="preserve"> </w:t>
      </w:r>
      <w:r w:rsidRPr="00F46CED">
        <w:rPr>
          <w:lang w:val="el-GR"/>
        </w:rPr>
        <w:t>(</w:t>
      </w:r>
      <w:r>
        <w:rPr>
          <w:lang w:val="el-GR"/>
        </w:rPr>
        <w:t xml:space="preserve">σύγχρονη έννοια, τέλη </w:t>
      </w:r>
      <w:r w:rsidR="005B0B41">
        <w:rPr>
          <w:lang w:val="el-GR"/>
        </w:rPr>
        <w:t>’</w:t>
      </w:r>
      <w:r>
        <w:rPr>
          <w:lang w:val="el-GR"/>
        </w:rPr>
        <w:t>80</w:t>
      </w:r>
      <w:r w:rsidR="005B0B41">
        <w:rPr>
          <w:lang w:val="el-GR"/>
        </w:rPr>
        <w:t xml:space="preserve"> υ</w:t>
      </w:r>
      <w:r w:rsidR="005B0B41" w:rsidRPr="001239D9">
        <w:rPr>
          <w:lang w:val="el-GR"/>
        </w:rPr>
        <w:t>ιοθέτηση από την Ευρωπαϊκή Ένωση</w:t>
      </w:r>
      <w:r w:rsidR="005B0B41">
        <w:rPr>
          <w:lang w:val="el-GR"/>
        </w:rPr>
        <w:t xml:space="preserve">. </w:t>
      </w:r>
      <w:r w:rsidR="005B0B41" w:rsidRPr="005B0B41">
        <w:rPr>
          <w:lang w:val="el-GR"/>
        </w:rPr>
        <w:t xml:space="preserve">Σταδιακά εισάγεται </w:t>
      </w:r>
      <w:r w:rsidR="005B0B41">
        <w:rPr>
          <w:lang w:val="el-GR"/>
        </w:rPr>
        <w:t xml:space="preserve">στο λεξιλόγιο των κρατών μελών, </w:t>
      </w:r>
      <w:r w:rsidR="005B0B41" w:rsidRPr="005B0B41">
        <w:rPr>
          <w:lang w:val="el-GR"/>
        </w:rPr>
        <w:t>στοιχείο πολιτικής, αντικείμενο χρηματοδότησης</w:t>
      </w:r>
      <w:r w:rsidR="005B0B41">
        <w:rPr>
          <w:lang w:val="el-GR"/>
        </w:rPr>
        <w:t>.)</w:t>
      </w:r>
    </w:p>
    <w:p w:rsidR="0081553E" w:rsidRDefault="0081553E" w:rsidP="0081553E">
      <w:pPr>
        <w:spacing w:after="0"/>
        <w:rPr>
          <w:lang w:val="el-GR"/>
        </w:rPr>
      </w:pPr>
      <w:r w:rsidRPr="0081553E">
        <w:rPr>
          <w:lang w:val="el-GR"/>
        </w:rPr>
        <w:t>Κοινωνι</w:t>
      </w:r>
      <w:r>
        <w:rPr>
          <w:lang w:val="el-GR"/>
        </w:rPr>
        <w:t xml:space="preserve">κή ανισότητα : </w:t>
      </w:r>
      <w:r w:rsidR="00F81247">
        <w:rPr>
          <w:lang w:val="el-GR"/>
        </w:rPr>
        <w:t>Στηρίζετα</w:t>
      </w:r>
      <w:r w:rsidRPr="0081553E">
        <w:rPr>
          <w:lang w:val="el-GR"/>
        </w:rPr>
        <w:t>ι στον διαχωρισμό της κοινωνίας σε ανώτερα και κατώτερα στρώματα. Ιεραρχική θέαση της κοινωνίας</w:t>
      </w:r>
      <w:r>
        <w:rPr>
          <w:lang w:val="el-GR"/>
        </w:rPr>
        <w:t>. Η φτώχεια σε παραπέμπει στο κατώτερο σημείο αυτής της ιεράρχησης.</w:t>
      </w:r>
    </w:p>
    <w:p w:rsidR="001D4D66" w:rsidRDefault="001D4D66" w:rsidP="0081553E">
      <w:pPr>
        <w:spacing w:after="0"/>
        <w:rPr>
          <w:lang w:val="el-GR"/>
        </w:rPr>
      </w:pPr>
      <w:r>
        <w:rPr>
          <w:lang w:val="el-GR"/>
        </w:rPr>
        <w:t>Κοινωνικός αποκλεισμός: Παρέχει μία οριζόντια, διχοτομική αντίληψη της κοινωνικής δομής.</w:t>
      </w:r>
    </w:p>
    <w:p w:rsidR="0081553E" w:rsidRDefault="0081553E" w:rsidP="0081553E">
      <w:pPr>
        <w:rPr>
          <w:lang w:val="el-GR"/>
        </w:rPr>
      </w:pPr>
    </w:p>
    <w:p w:rsidR="0081553E" w:rsidRDefault="0081553E" w:rsidP="0081553E">
      <w:pPr>
        <w:rPr>
          <w:lang w:val="el-GR"/>
        </w:rPr>
      </w:pPr>
      <w:r w:rsidRPr="00316843">
        <w:rPr>
          <w:u w:val="single"/>
          <w:lang w:val="el-GR"/>
        </w:rPr>
        <w:t>Φτώχεια</w:t>
      </w:r>
      <w:r>
        <w:rPr>
          <w:lang w:val="el-GR"/>
        </w:rPr>
        <w:t>:</w:t>
      </w:r>
    </w:p>
    <w:p w:rsidR="0081553E" w:rsidRPr="0081553E" w:rsidRDefault="0081553E" w:rsidP="0081553E">
      <w:pPr>
        <w:pStyle w:val="ListParagraph"/>
        <w:numPr>
          <w:ilvl w:val="0"/>
          <w:numId w:val="3"/>
        </w:numPr>
        <w:rPr>
          <w:i/>
          <w:lang w:val="el-GR"/>
        </w:rPr>
      </w:pPr>
      <w:r w:rsidRPr="00316843">
        <w:rPr>
          <w:i/>
          <w:lang w:val="el-GR"/>
        </w:rPr>
        <w:t>Απόλυτη</w:t>
      </w:r>
      <w:r>
        <w:rPr>
          <w:i/>
          <w:lang w:val="el-GR"/>
        </w:rPr>
        <w:t>:</w:t>
      </w:r>
      <w:r>
        <w:rPr>
          <w:lang w:val="el-GR"/>
        </w:rPr>
        <w:t xml:space="preserve"> Έλλειψη επαρκών πόρων για την ικανοποίηση βασικών αναγκών. Μονάδα αναφοράς το άτομο ή η οικογένεια. Κατώφλι απόλυτης φτώχειας 1,5 δολάρια. Ορισμός αυτός εφαρμόζεται στις αναπτυσσόμενες χώρες</w:t>
      </w:r>
    </w:p>
    <w:p w:rsidR="0081553E" w:rsidRPr="005B0B41" w:rsidRDefault="0081553E" w:rsidP="0081553E">
      <w:pPr>
        <w:pStyle w:val="ListParagraph"/>
        <w:numPr>
          <w:ilvl w:val="0"/>
          <w:numId w:val="3"/>
        </w:numPr>
        <w:rPr>
          <w:lang w:val="el-GR"/>
        </w:rPr>
      </w:pPr>
      <w:r w:rsidRPr="00316843">
        <w:rPr>
          <w:i/>
          <w:lang w:val="el-GR"/>
        </w:rPr>
        <w:t>Σχετική ή ποσοστό κινδύνου φτώχειας</w:t>
      </w:r>
      <w:r>
        <w:rPr>
          <w:lang w:val="el-GR"/>
        </w:rPr>
        <w:t xml:space="preserve">:  </w:t>
      </w:r>
      <w:r w:rsidR="00581A5F" w:rsidRPr="005B0B41">
        <w:rPr>
          <w:i/>
          <w:lang w:val="el-GR"/>
        </w:rPr>
        <w:t>«Αναφέρεται σε νοικοκυριά των οποίων το βασικό επίπεδο απέχει τόσο πολύ από το γενικό βασικό επίπεδο της κοινωνίας, στην οποία ανήκουν, ώστε δεν είναι σε θέση να συμμετέχουν σε συνηθισμένες καθημερινές δραστηριότητες</w:t>
      </w:r>
      <w:r w:rsidRPr="005B0B41">
        <w:rPr>
          <w:i/>
          <w:lang w:val="el-GR"/>
        </w:rPr>
        <w:t>.</w:t>
      </w:r>
      <w:r w:rsidR="00581A5F" w:rsidRPr="005B0B41">
        <w:rPr>
          <w:i/>
          <w:lang w:val="el-GR"/>
        </w:rPr>
        <w:t xml:space="preserve">» </w:t>
      </w:r>
      <w:r w:rsidR="00581A5F">
        <w:rPr>
          <w:lang w:val="el-GR"/>
        </w:rPr>
        <w:t>(</w:t>
      </w:r>
      <w:r>
        <w:t>Townsed</w:t>
      </w:r>
      <w:r w:rsidR="00581A5F">
        <w:rPr>
          <w:lang w:val="el-GR"/>
        </w:rPr>
        <w:t>, 1979</w:t>
      </w:r>
      <w:r>
        <w:rPr>
          <w:lang w:val="el-GR"/>
        </w:rPr>
        <w:t>)</w:t>
      </w:r>
      <w:r w:rsidR="00581A5F">
        <w:rPr>
          <w:lang w:val="el-GR"/>
        </w:rPr>
        <w:t>. Όριο της το 60% του διάμεσου συνολικού ισοδύναμου διαθέσιμου εισοδήματος. Χρησιμοποιείται στις αναπτυγμένες χώρες.</w:t>
      </w:r>
    </w:p>
    <w:p w:rsidR="00282A95" w:rsidRDefault="003512C4" w:rsidP="00F46CED">
      <w:pPr>
        <w:rPr>
          <w:u w:val="single"/>
          <w:lang w:val="el-GR"/>
        </w:rPr>
      </w:pPr>
      <w:r>
        <w:rPr>
          <w:noProof/>
        </w:rPr>
        <mc:AlternateContent>
          <mc:Choice Requires="wps">
            <w:drawing>
              <wp:anchor distT="0" distB="0" distL="114300" distR="114300" simplePos="0" relativeHeight="251663360" behindDoc="0" locked="0" layoutInCell="1" allowOverlap="1">
                <wp:simplePos x="0" y="0"/>
                <wp:positionH relativeFrom="column">
                  <wp:posOffset>-501650</wp:posOffset>
                </wp:positionH>
                <wp:positionV relativeFrom="paragraph">
                  <wp:posOffset>236220</wp:posOffset>
                </wp:positionV>
                <wp:extent cx="1057275" cy="7143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714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302AE" w:rsidRPr="00C302AE" w:rsidRDefault="00C302AE" w:rsidP="00C302AE">
                            <w:pPr>
                              <w:jc w:val="center"/>
                              <w:rPr>
                                <w:lang w:val="el-GR"/>
                              </w:rPr>
                            </w:pPr>
                            <w:r>
                              <w:rPr>
                                <w:lang w:val="el-GR"/>
                              </w:rPr>
                              <w:t>Επιστημονικοί/κοινωνικοί λόγοι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9.5pt;margin-top:18.6pt;width:83.2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" fillcolor="white [3201]" strokecolor="white [3212]" strokeweight="2pt">
                <v:path arrowok="t"/>
                <v:textbox>
                  <w:txbxContent>
                    <w:p w:rsidR="00C302AE" w:rsidRPr="00C302AE" w:rsidRDefault="00C302AE" w:rsidP="00C302AE">
                      <w:pPr>
                        <w:jc w:val="center"/>
                        <w:rPr>
                          <w:lang w:val="el-GR"/>
                        </w:rPr>
                      </w:pPr>
                      <w:r>
                        <w:rPr>
                          <w:lang w:val="el-GR"/>
                        </w:rPr>
                        <w:t>Επιστημονικοί/κοινωνικοί λόγοι</w:t>
                      </w:r>
                    </w:p>
                  </w:txbxContent>
                </v:textbox>
              </v:rect>
            </w:pict>
          </mc:Fallback>
        </mc:AlternateContent>
      </w:r>
      <w:r w:rsidR="00282A95" w:rsidRPr="00282A95">
        <w:rPr>
          <w:u w:val="single"/>
          <w:lang w:val="el-GR"/>
        </w:rPr>
        <w:t>Αίτια μετάβασης στον όρο κοινωνικός αποκλεισμός</w:t>
      </w:r>
      <w:r w:rsidR="00282A95">
        <w:rPr>
          <w:u w:val="single"/>
          <w:lang w:val="el-GR"/>
        </w:rPr>
        <w:t>:</w:t>
      </w:r>
    </w:p>
    <w:p w:rsidR="00282A95" w:rsidRPr="00581A5F" w:rsidRDefault="003512C4" w:rsidP="00282A95">
      <w:pPr>
        <w:pStyle w:val="ListParagraph"/>
        <w:numPr>
          <w:ilvl w:val="0"/>
          <w:numId w:val="1"/>
        </w:numPr>
        <w:rPr>
          <w:u w:val="single"/>
          <w:lang w:val="el-GR"/>
        </w:rPr>
      </w:pPr>
      <w:r>
        <w:rPr>
          <w:noProof/>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54610</wp:posOffset>
                </wp:positionV>
                <wp:extent cx="161925" cy="466725"/>
                <wp:effectExtent l="0" t="0" r="28575" b="28575"/>
                <wp:wrapNone/>
                <wp:docPr id="5" name="Lef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4667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style="position:absolute;margin-left:-11.25pt;margin-top:4.3pt;width:12.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" adj="624" strokecolor="#4579b8 [3044]"/>
            </w:pict>
          </mc:Fallback>
        </mc:AlternateContent>
      </w:r>
      <w:r w:rsidR="00282A95">
        <w:rPr>
          <w:lang w:val="el-GR"/>
        </w:rPr>
        <w:t>Μεταβιομηχανική κοινωνία (κλείσιμο βιομηχανιών, υποβάθμιση περιοχών)</w:t>
      </w:r>
    </w:p>
    <w:p w:rsidR="00581A5F" w:rsidRPr="00282A95" w:rsidRDefault="00581A5F" w:rsidP="00282A95">
      <w:pPr>
        <w:pStyle w:val="ListParagraph"/>
        <w:numPr>
          <w:ilvl w:val="0"/>
          <w:numId w:val="1"/>
        </w:numPr>
        <w:rPr>
          <w:u w:val="single"/>
          <w:lang w:val="el-GR"/>
        </w:rPr>
      </w:pPr>
      <w:r>
        <w:rPr>
          <w:lang w:val="el-GR"/>
        </w:rPr>
        <w:t>Ανάδυση κοινωνικών κινημάτων</w:t>
      </w:r>
    </w:p>
    <w:p w:rsidR="00C302AE" w:rsidRPr="00581A5F" w:rsidRDefault="003512C4" w:rsidP="00316843">
      <w:pPr>
        <w:pStyle w:val="ListParagraph"/>
        <w:numPr>
          <w:ilvl w:val="0"/>
          <w:numId w:val="1"/>
        </w:numPr>
        <w:rPr>
          <w:u w:val="single"/>
          <w:lang w:val="el-GR"/>
        </w:rPr>
      </w:pPr>
      <w:r>
        <w:rPr>
          <w:noProof/>
        </w:rPr>
        <mc:AlternateContent>
          <mc:Choice Requires="wps">
            <w:drawing>
              <wp:anchor distT="0" distB="0" distL="114300" distR="114300" simplePos="0" relativeHeight="251664384" behindDoc="0" locked="0" layoutInCell="1" allowOverlap="1">
                <wp:simplePos x="0" y="0"/>
                <wp:positionH relativeFrom="column">
                  <wp:posOffset>-425450</wp:posOffset>
                </wp:positionH>
                <wp:positionV relativeFrom="paragraph">
                  <wp:posOffset>234950</wp:posOffset>
                </wp:positionV>
                <wp:extent cx="981075" cy="5143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5143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302AE" w:rsidRPr="00C302AE" w:rsidRDefault="00C302AE" w:rsidP="00C302AE">
                            <w:pPr>
                              <w:jc w:val="center"/>
                              <w:rPr>
                                <w:lang w:val="el-GR"/>
                              </w:rPr>
                            </w:pPr>
                            <w:r>
                              <w:rPr>
                                <w:lang w:val="el-GR"/>
                              </w:rPr>
                              <w:t>Πολιτικοί λόγοι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 o:spid="_x0000_s1027" style="position:absolute;left:0;text-align:left;margin-left:-33.5pt;margin-top:18.5pt;width:77.2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" fillcolor="white [3201]" strokecolor="white [3212]" strokeweight="2pt">
                <v:path arrowok="t"/>
                <v:textbox>
                  <w:txbxContent>
                    <w:p w:rsidR="00C302AE" w:rsidRPr="00C302AE" w:rsidRDefault="00C302AE" w:rsidP="00C302AE">
                      <w:pPr>
                        <w:jc w:val="center"/>
                        <w:rPr>
                          <w:lang w:val="el-GR"/>
                        </w:rPr>
                      </w:pPr>
                      <w:r>
                        <w:rPr>
                          <w:lang w:val="el-GR"/>
                        </w:rPr>
                        <w:t>Πολιτικοί λόγοι</w:t>
                      </w:r>
                    </w:p>
                  </w:txbxContent>
                </v:textbox>
              </v:rect>
            </w:pict>
          </mc:Fallback>
        </mc:AlternateContent>
      </w:r>
      <w:r w:rsidR="00581A5F">
        <w:rPr>
          <w:lang w:val="el-GR"/>
        </w:rPr>
        <w:t>Εμφάνιση νέων πολυδιάστατων μορφών αποστέρησης</w:t>
      </w:r>
      <w:r w:rsidR="00282A95">
        <w:rPr>
          <w:lang w:val="el-GR"/>
        </w:rPr>
        <w:t xml:space="preserve"> (εμφάνιση των «νεόπτωχων»</w:t>
      </w:r>
      <w:r w:rsidR="00C302AE">
        <w:rPr>
          <w:lang w:val="el-GR"/>
        </w:rPr>
        <w:t>, κοινωνικές αλλαγές</w:t>
      </w:r>
      <w:r w:rsidR="00282A95">
        <w:rPr>
          <w:lang w:val="el-GR"/>
        </w:rPr>
        <w:t>)</w:t>
      </w:r>
    </w:p>
    <w:p w:rsidR="00C302AE" w:rsidRPr="005B0B41" w:rsidRDefault="00581A5F" w:rsidP="00C302AE">
      <w:pPr>
        <w:pStyle w:val="ListParagraph"/>
        <w:numPr>
          <w:ilvl w:val="0"/>
          <w:numId w:val="1"/>
        </w:numPr>
        <w:rPr>
          <w:lang w:val="el-GR"/>
        </w:rPr>
      </w:pPr>
      <w:r w:rsidRPr="00581A5F">
        <w:rPr>
          <w:lang w:val="el-GR"/>
        </w:rPr>
        <w:t>Όρος Κ.Α πιο ασαφής και</w:t>
      </w:r>
      <w:r>
        <w:rPr>
          <w:color w:val="FF0000"/>
          <w:lang w:val="el-GR"/>
        </w:rPr>
        <w:t xml:space="preserve"> </w:t>
      </w:r>
      <w:r w:rsidRPr="00581A5F">
        <w:rPr>
          <w:lang w:val="el-GR"/>
        </w:rPr>
        <w:t>γενικός, άρα</w:t>
      </w:r>
      <w:r>
        <w:rPr>
          <w:lang w:val="el-GR"/>
        </w:rPr>
        <w:t xml:space="preserve"> πολιτικά πιο διαχειρίσ</w:t>
      </w:r>
      <w:r w:rsidR="005B0B41">
        <w:rPr>
          <w:lang w:val="el-GR"/>
        </w:rPr>
        <w:t>ι</w:t>
      </w:r>
      <w:r>
        <w:rPr>
          <w:lang w:val="el-GR"/>
        </w:rPr>
        <w:t>μος</w:t>
      </w:r>
      <w:r w:rsidR="005B0B41">
        <w:rPr>
          <w:lang w:val="el-GR"/>
        </w:rPr>
        <w:t>,</w:t>
      </w:r>
      <w:r>
        <w:rPr>
          <w:lang w:val="el-GR"/>
        </w:rPr>
        <w:t xml:space="preserve"> σε αντίθεση με τον αυστηρό ορισμό της φτώχειας.</w:t>
      </w:r>
      <w:r w:rsidR="005B0B41">
        <w:rPr>
          <w:lang w:val="el-GR"/>
        </w:rPr>
        <w:t xml:space="preserve"> </w:t>
      </w:r>
    </w:p>
    <w:p w:rsidR="00BB17CF" w:rsidRPr="001D4D66" w:rsidRDefault="00C302AE" w:rsidP="00BB17CF">
      <w:pPr>
        <w:rPr>
          <w:u w:val="single"/>
          <w:lang w:val="el-GR"/>
        </w:rPr>
      </w:pPr>
      <w:r w:rsidRPr="001D4D66">
        <w:rPr>
          <w:u w:val="single"/>
          <w:lang w:val="el-GR"/>
        </w:rPr>
        <w:t>Κ</w:t>
      </w:r>
      <w:r w:rsidR="005B0B41" w:rsidRPr="001D4D66">
        <w:rPr>
          <w:u w:val="single"/>
          <w:lang w:val="el-GR"/>
        </w:rPr>
        <w:t xml:space="preserve">οινωνικός </w:t>
      </w:r>
      <w:r w:rsidRPr="001D4D66">
        <w:rPr>
          <w:u w:val="single"/>
          <w:lang w:val="el-GR"/>
        </w:rPr>
        <w:t>Α</w:t>
      </w:r>
      <w:r w:rsidR="005B0B41" w:rsidRPr="001D4D66">
        <w:rPr>
          <w:u w:val="single"/>
          <w:lang w:val="el-GR"/>
        </w:rPr>
        <w:t>ποκλεισμός</w:t>
      </w:r>
      <w:r w:rsidRPr="001D4D66">
        <w:rPr>
          <w:u w:val="single"/>
          <w:lang w:val="el-GR"/>
        </w:rPr>
        <w:t xml:space="preserve">: </w:t>
      </w:r>
      <w:r w:rsidR="00BB17CF" w:rsidRPr="001D4D66">
        <w:rPr>
          <w:u w:val="single"/>
          <w:lang w:val="el-GR"/>
        </w:rPr>
        <w:t xml:space="preserve"> </w:t>
      </w:r>
    </w:p>
    <w:p w:rsidR="00BB17CF" w:rsidRDefault="001239D9" w:rsidP="005B0B41">
      <w:pPr>
        <w:pStyle w:val="ListParagraph"/>
        <w:numPr>
          <w:ilvl w:val="0"/>
          <w:numId w:val="2"/>
        </w:numPr>
        <w:rPr>
          <w:lang w:val="el-GR"/>
        </w:rPr>
      </w:pPr>
      <w:r>
        <w:rPr>
          <w:lang w:val="el-GR"/>
        </w:rPr>
        <w:t>Έ</w:t>
      </w:r>
      <w:r w:rsidR="00C302AE" w:rsidRPr="00BB17CF">
        <w:rPr>
          <w:lang w:val="el-GR"/>
        </w:rPr>
        <w:t>ννοια ομπρέλα, ευρεία έννοια, πολυδιάστατο φαινόμενο</w:t>
      </w:r>
      <w:r>
        <w:rPr>
          <w:lang w:val="el-GR"/>
        </w:rPr>
        <w:t>.</w:t>
      </w:r>
    </w:p>
    <w:p w:rsidR="005B0B41" w:rsidRPr="005B0B41" w:rsidRDefault="005B0B41" w:rsidP="005B0B41">
      <w:pPr>
        <w:pStyle w:val="ListParagraph"/>
        <w:numPr>
          <w:ilvl w:val="0"/>
          <w:numId w:val="2"/>
        </w:numPr>
        <w:rPr>
          <w:i/>
          <w:lang w:val="el-GR"/>
        </w:rPr>
      </w:pPr>
      <w:r w:rsidRPr="005B0B41">
        <w:rPr>
          <w:i/>
          <w:lang w:val="el-GR"/>
        </w:rPr>
        <w:t>Έλλειψη ή παρεμπόδιση από πόρους, αγαθά και υπηρεσίες</w:t>
      </w:r>
    </w:p>
    <w:p w:rsidR="005B0B41" w:rsidRPr="005B0B41" w:rsidRDefault="00F81247" w:rsidP="005B0B41">
      <w:pPr>
        <w:pStyle w:val="ListParagraph"/>
        <w:numPr>
          <w:ilvl w:val="0"/>
          <w:numId w:val="2"/>
        </w:numPr>
        <w:rPr>
          <w:i/>
          <w:lang w:val="el-GR"/>
        </w:rPr>
      </w:pPr>
      <w:r>
        <w:rPr>
          <w:i/>
          <w:lang w:val="el-GR"/>
        </w:rPr>
        <w:t xml:space="preserve">Ή </w:t>
      </w:r>
      <w:r w:rsidR="005B0B41" w:rsidRPr="005B0B41">
        <w:rPr>
          <w:i/>
          <w:lang w:val="el-GR"/>
        </w:rPr>
        <w:t>αδυναμία πρόσβασης σε βασικούς κοινωνικούς θεσμούς.</w:t>
      </w:r>
    </w:p>
    <w:p w:rsidR="001D4D66" w:rsidRPr="001D4D66" w:rsidRDefault="001D4D66" w:rsidP="001D4D66">
      <w:pPr>
        <w:spacing w:after="0"/>
        <w:rPr>
          <w:lang w:val="el-GR"/>
        </w:rPr>
      </w:pPr>
      <w:r w:rsidRPr="001D4D66">
        <w:rPr>
          <w:lang w:val="el-GR"/>
        </w:rPr>
        <w:t xml:space="preserve">3 μοντέλα κοινωνικού αποκλεισμού: Αλληλεγγύης, Εξειδίκευσης και Μονοπωλίου </w:t>
      </w:r>
      <w:r w:rsidRPr="001D4D66">
        <w:rPr>
          <w:color w:val="FF0000"/>
          <w:lang w:val="el-GR"/>
        </w:rPr>
        <w:t>(Βλ. πίνακα)</w:t>
      </w:r>
    </w:p>
    <w:p w:rsidR="001D4D66" w:rsidRPr="001D4D66" w:rsidRDefault="001D4D66" w:rsidP="001D4D66">
      <w:pPr>
        <w:rPr>
          <w:lang w:val="el-GR"/>
        </w:rPr>
      </w:pPr>
    </w:p>
    <w:p w:rsidR="001D4D66" w:rsidRDefault="005B0B41" w:rsidP="001D4D66">
      <w:pPr>
        <w:rPr>
          <w:lang w:val="el-GR"/>
        </w:rPr>
      </w:pPr>
      <w:r w:rsidRPr="001D4D66">
        <w:rPr>
          <w:i/>
          <w:lang w:val="el-GR"/>
        </w:rPr>
        <w:t>Μειονέκτημα</w:t>
      </w:r>
      <w:r w:rsidRPr="001D4D66">
        <w:rPr>
          <w:lang w:val="el-GR"/>
        </w:rPr>
        <w:t xml:space="preserve">: η πολλαπλότητα του εν λόγου όρου κάνει δύσκολη την εμπειρική του διερεύνηση. Δυσκολία αποτύπωσης και αποτίμησης </w:t>
      </w:r>
      <w:r w:rsidR="001D4D66" w:rsidRPr="001D4D66">
        <w:rPr>
          <w:lang w:val="el-GR"/>
        </w:rPr>
        <w:t>των διαστάσεώ</w:t>
      </w:r>
      <w:r w:rsidRPr="001D4D66">
        <w:rPr>
          <w:lang w:val="el-GR"/>
        </w:rPr>
        <w:t>ν του.</w:t>
      </w:r>
    </w:p>
    <w:p w:rsidR="00FB4F1E" w:rsidRDefault="001D4D66">
      <w:pPr>
        <w:rPr>
          <w:lang w:val="el-GR"/>
        </w:rPr>
      </w:pPr>
      <w:r>
        <w:rPr>
          <w:lang w:val="el-GR"/>
        </w:rPr>
        <w:t>Μέτρηση Κ.Α</w:t>
      </w:r>
      <w:r w:rsidR="00FB4F1E">
        <w:rPr>
          <w:lang w:val="el-GR"/>
        </w:rPr>
        <w:t>: 2010 η Ε.Ε εισάγει ένα τριπλό δείκτη «Ποσοστό φτώχειας ή και κοινωνικού αποκλεισμού»</w:t>
      </w:r>
      <w:r w:rsidR="00FB4F1E">
        <w:rPr>
          <w:lang w:val="el-GR"/>
        </w:rPr>
        <w:br/>
        <w:t>Α. Κίνδυνος φτώχειας Β. Σοβαρή υλική υστέρηση Γ. Νοικοκυριά ανέργων ή αυτών που εργάζονται ελάχιστα</w:t>
      </w:r>
    </w:p>
    <w:p w:rsidR="00FB4F1E" w:rsidRDefault="00FB4F1E">
      <w:pPr>
        <w:rPr>
          <w:lang w:val="el-GR"/>
        </w:rPr>
      </w:pPr>
      <w:r>
        <w:rPr>
          <w:lang w:val="el-GR"/>
        </w:rPr>
        <w:lastRenderedPageBreak/>
        <w:t xml:space="preserve">Ευρώπη 2020: στόχος της η μείωση του αριθμού των ατόμων που αντιμετωπίζουν Κ.Α κατά 20 εκατομμύρια. </w:t>
      </w:r>
    </w:p>
    <w:p w:rsidR="00316843" w:rsidRDefault="00FB4F1E">
      <w:pPr>
        <w:rPr>
          <w:u w:val="single"/>
          <w:lang w:val="el-GR"/>
        </w:rPr>
      </w:pPr>
      <w:r w:rsidRPr="00FB4F1E">
        <w:rPr>
          <w:u w:val="single"/>
          <w:lang w:val="el-GR"/>
        </w:rPr>
        <w:t>Κοινωνικός αποκλεισμός στην Ελλάδα της κρίσης</w:t>
      </w:r>
    </w:p>
    <w:p w:rsidR="00FB4F1E" w:rsidRDefault="00FB4F1E" w:rsidP="00FB4F1E">
      <w:pPr>
        <w:pStyle w:val="ListParagraph"/>
        <w:numPr>
          <w:ilvl w:val="0"/>
          <w:numId w:val="4"/>
        </w:numPr>
        <w:rPr>
          <w:lang w:val="el-GR"/>
        </w:rPr>
      </w:pPr>
      <w:r w:rsidRPr="00FB4F1E">
        <w:rPr>
          <w:lang w:val="el-GR"/>
        </w:rPr>
        <w:t>Νότιο-</w:t>
      </w:r>
      <w:r w:rsidR="00E13006" w:rsidRPr="00FB4F1E">
        <w:rPr>
          <w:lang w:val="el-GR"/>
        </w:rPr>
        <w:t>ευρωπαϊκό</w:t>
      </w:r>
      <w:r w:rsidRPr="00FB4F1E">
        <w:rPr>
          <w:lang w:val="el-GR"/>
        </w:rPr>
        <w:t xml:space="preserve"> μοντέλο: ένα κοινωνικό κράτος ακατάλληλο για κρίσεις</w:t>
      </w:r>
    </w:p>
    <w:p w:rsidR="00FB4F1E" w:rsidRDefault="00FB4F1E" w:rsidP="00FB4F1E">
      <w:pPr>
        <w:pStyle w:val="ListParagraph"/>
        <w:numPr>
          <w:ilvl w:val="0"/>
          <w:numId w:val="4"/>
        </w:numPr>
        <w:rPr>
          <w:lang w:val="el-GR"/>
        </w:rPr>
      </w:pPr>
      <w:r>
        <w:rPr>
          <w:lang w:val="el-GR"/>
        </w:rPr>
        <w:t>Υπολειμματική ανάπτυξη τ</w:t>
      </w:r>
      <w:r w:rsidR="00E13006">
        <w:rPr>
          <w:lang w:val="el-GR"/>
        </w:rPr>
        <w:t>ων κρατικών κοινωνικών παροχών</w:t>
      </w:r>
    </w:p>
    <w:p w:rsidR="00FB4F1E" w:rsidRDefault="00FB4F1E" w:rsidP="00FB4F1E">
      <w:pPr>
        <w:pStyle w:val="ListParagraph"/>
        <w:numPr>
          <w:ilvl w:val="0"/>
          <w:numId w:val="4"/>
        </w:numPr>
        <w:rPr>
          <w:lang w:val="el-GR"/>
        </w:rPr>
      </w:pPr>
      <w:r>
        <w:rPr>
          <w:lang w:val="el-GR"/>
        </w:rPr>
        <w:t>Σημαντικά κενά στο κοινωνικό δίχτυ ασφάλειας</w:t>
      </w:r>
    </w:p>
    <w:p w:rsidR="00FB4F1E" w:rsidRDefault="00FB4F1E" w:rsidP="00FB4F1E">
      <w:pPr>
        <w:pStyle w:val="ListParagraph"/>
        <w:numPr>
          <w:ilvl w:val="0"/>
          <w:numId w:val="4"/>
        </w:numPr>
        <w:rPr>
          <w:lang w:val="el-GR"/>
        </w:rPr>
      </w:pPr>
      <w:r>
        <w:rPr>
          <w:lang w:val="el-GR"/>
        </w:rPr>
        <w:t>Έντονες ανισορροπίες</w:t>
      </w:r>
      <w:r w:rsidR="00E13006">
        <w:rPr>
          <w:lang w:val="el-GR"/>
        </w:rPr>
        <w:t xml:space="preserve"> και κατακερματισμός στις παροχές κοινωνικής προστασίας</w:t>
      </w:r>
    </w:p>
    <w:p w:rsidR="00FB4F1E" w:rsidRDefault="00E13006" w:rsidP="00FB4F1E">
      <w:pPr>
        <w:pStyle w:val="ListParagraph"/>
        <w:numPr>
          <w:ilvl w:val="0"/>
          <w:numId w:val="4"/>
        </w:numPr>
        <w:rPr>
          <w:lang w:val="el-GR"/>
        </w:rPr>
      </w:pPr>
      <w:r>
        <w:rPr>
          <w:lang w:val="el-GR"/>
        </w:rPr>
        <w:t>Πελατειακές σχέσεις</w:t>
      </w:r>
    </w:p>
    <w:p w:rsidR="00E13006" w:rsidRDefault="00E13006" w:rsidP="00FB4F1E">
      <w:pPr>
        <w:pStyle w:val="ListParagraph"/>
        <w:numPr>
          <w:ilvl w:val="0"/>
          <w:numId w:val="4"/>
        </w:numPr>
        <w:rPr>
          <w:lang w:val="el-GR"/>
        </w:rPr>
      </w:pPr>
      <w:r>
        <w:rPr>
          <w:lang w:val="el-GR"/>
        </w:rPr>
        <w:t>Ισχυρός ρόλος της οικογένειας</w:t>
      </w:r>
    </w:p>
    <w:p w:rsidR="00E13006" w:rsidRDefault="00E13006" w:rsidP="00E13006">
      <w:pPr>
        <w:rPr>
          <w:lang w:val="el-GR"/>
        </w:rPr>
      </w:pPr>
      <w:r>
        <w:rPr>
          <w:lang w:val="el-GR"/>
        </w:rPr>
        <w:t>Ως το 2010 η κοινωνική δαπάνη της Ελλάδας (29,1%) συνέκλινε με το μέσο όρο της Ε.Ε (29,4</w:t>
      </w:r>
      <w:r w:rsidR="005E7DE7">
        <w:rPr>
          <w:lang w:val="el-GR"/>
        </w:rPr>
        <w:t>%</w:t>
      </w:r>
      <w:bookmarkStart w:id="0" w:name="_GoBack"/>
      <w:bookmarkEnd w:id="0"/>
      <w:r>
        <w:rPr>
          <w:lang w:val="el-GR"/>
        </w:rPr>
        <w:t xml:space="preserve">). Άρα, η κρίση δεν οφείλεται στην έλλειψη των κοινωνικών δαπανών, αλλά στη σύνθεσή τους. Στην Ελλάδα το μεγαλύτερο μέρος της κοινωνικής δαπάνης </w:t>
      </w:r>
      <w:r w:rsidR="00B316C7" w:rsidRPr="00B316C7">
        <w:rPr>
          <w:lang w:val="el-GR"/>
        </w:rPr>
        <w:t>διατίθεται</w:t>
      </w:r>
      <w:r>
        <w:rPr>
          <w:lang w:val="el-GR"/>
        </w:rPr>
        <w:t xml:space="preserve"> στις συντάξεις, οι οποίες δεν</w:t>
      </w:r>
      <w:r w:rsidR="00A64BB7">
        <w:rPr>
          <w:lang w:val="el-GR"/>
        </w:rPr>
        <w:t xml:space="preserve"> έχουν αναδιανεμητική επίδραση.</w:t>
      </w:r>
    </w:p>
    <w:p w:rsidR="00A64BB7" w:rsidRDefault="00A64BB7" w:rsidP="00E13006">
      <w:pPr>
        <w:rPr>
          <w:lang w:val="el-GR"/>
        </w:rPr>
      </w:pPr>
      <w:r>
        <w:rPr>
          <w:lang w:val="el-GR"/>
        </w:rPr>
        <w:t>Κατώφλι κινδύνου φτώχειας/άτομο: 4.608</w:t>
      </w:r>
      <w:r>
        <w:rPr>
          <w:lang w:val="el-GR"/>
        </w:rPr>
        <w:br/>
        <w:t>Κατώφλι κινδύνου φτώχειας/4μελή οικογένεια: 9.677</w:t>
      </w:r>
      <w:r>
        <w:rPr>
          <w:lang w:val="el-GR"/>
        </w:rPr>
        <w:br/>
        <w:t xml:space="preserve">Ποσοστό πληθυσμού σε κίνδυνο φτώχειας, 2014: 22,1% </w:t>
      </w:r>
    </w:p>
    <w:p w:rsidR="00A64BB7" w:rsidRDefault="00A64BB7" w:rsidP="00E13006">
      <w:pPr>
        <w:rPr>
          <w:lang w:val="el-GR"/>
        </w:rPr>
      </w:pPr>
      <w:r>
        <w:rPr>
          <w:lang w:val="el-GR"/>
        </w:rPr>
        <w:t>Αυτός ο δείκτης δεν είναι αντιπροσωπευτικός σε περιόδους μεγάλης οικονομικής μεταβολής.</w:t>
      </w:r>
    </w:p>
    <w:p w:rsidR="00A64BB7" w:rsidRDefault="006954F7" w:rsidP="00E13006">
      <w:pPr>
        <w:rPr>
          <w:lang w:val="el-GR"/>
        </w:rPr>
      </w:pPr>
      <w:r>
        <w:rPr>
          <w:lang w:val="el-GR"/>
        </w:rPr>
        <w:t>Υπολογίζεται ότι η</w:t>
      </w:r>
      <w:r w:rsidR="00A64BB7">
        <w:rPr>
          <w:lang w:val="el-GR"/>
        </w:rPr>
        <w:t xml:space="preserve"> πραγματική φτώχεια, </w:t>
      </w:r>
      <w:r>
        <w:rPr>
          <w:lang w:val="el-GR"/>
        </w:rPr>
        <w:t xml:space="preserve">με </w:t>
      </w:r>
      <w:r w:rsidR="00A64BB7">
        <w:rPr>
          <w:lang w:val="el-GR"/>
        </w:rPr>
        <w:t xml:space="preserve">βάση τα εισοδήματα του 2005, αναπροσαρμοσμένα το 2014, είναι </w:t>
      </w:r>
      <w:r w:rsidR="00A64BB7" w:rsidRPr="00B316C7">
        <w:rPr>
          <w:u w:val="double"/>
          <w:lang w:val="el-GR"/>
        </w:rPr>
        <w:t>42,7%.</w:t>
      </w:r>
    </w:p>
    <w:p w:rsidR="006954F7" w:rsidRDefault="003512C4" w:rsidP="00E13006">
      <w:pPr>
        <w:rPr>
          <w:lang w:val="el-GR"/>
        </w:rPr>
      </w:pPr>
      <w:r>
        <w:rPr>
          <w:noProof/>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153670</wp:posOffset>
                </wp:positionV>
                <wp:extent cx="6645910" cy="0"/>
                <wp:effectExtent l="11430" t="5715" r="10160"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65pt;margin-top:12.1pt;width:523.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Nq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M/z2TID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"/>
            </w:pict>
          </mc:Fallback>
        </mc:AlternateContent>
      </w:r>
    </w:p>
    <w:p w:rsidR="006954F7" w:rsidRPr="00FA2587" w:rsidRDefault="006954F7" w:rsidP="00E13006">
      <w:pPr>
        <w:rPr>
          <w:u w:val="single"/>
          <w:lang w:val="el-GR"/>
        </w:rPr>
      </w:pPr>
      <w:r w:rsidRPr="00FA2587">
        <w:rPr>
          <w:u w:val="single"/>
          <w:lang w:val="el-GR"/>
        </w:rPr>
        <w:t>Οι πολιτικές που εφαρμόστηκαν μετά το 2010 επέφεραν στην:</w:t>
      </w:r>
    </w:p>
    <w:p w:rsidR="006954F7" w:rsidRDefault="006954F7" w:rsidP="00E13006">
      <w:pPr>
        <w:rPr>
          <w:lang w:val="el-GR"/>
        </w:rPr>
      </w:pPr>
      <w:r>
        <w:rPr>
          <w:lang w:val="el-GR"/>
        </w:rPr>
        <w:t xml:space="preserve">Εργασία: </w:t>
      </w:r>
    </w:p>
    <w:p w:rsidR="006954F7" w:rsidRPr="006954F7" w:rsidRDefault="00B316C7" w:rsidP="006954F7">
      <w:pPr>
        <w:pStyle w:val="ListParagraph"/>
        <w:numPr>
          <w:ilvl w:val="0"/>
          <w:numId w:val="7"/>
        </w:numPr>
        <w:rPr>
          <w:lang w:val="el-GR"/>
        </w:rPr>
      </w:pPr>
      <w:r>
        <w:t>Flexecurity</w:t>
      </w:r>
      <w:r w:rsidR="006954F7" w:rsidRPr="006954F7">
        <w:rPr>
          <w:lang w:val="el-GR"/>
        </w:rPr>
        <w:t xml:space="preserve"> (ευελιξία με ασφάλεια)</w:t>
      </w:r>
      <w:r w:rsidR="006954F7">
        <w:rPr>
          <w:lang w:val="el-GR"/>
        </w:rPr>
        <w:t xml:space="preserve">. </w:t>
      </w:r>
      <w:r w:rsidR="006954F7" w:rsidRPr="006954F7">
        <w:rPr>
          <w:lang w:val="el-GR"/>
        </w:rPr>
        <w:t xml:space="preserve">Στην Ελλάδα εφαρμόστηκε μόνο </w:t>
      </w:r>
      <w:r w:rsidR="006954F7">
        <w:rPr>
          <w:lang w:val="el-GR"/>
        </w:rPr>
        <w:t>η ευελιξία χωρίς καμία ασφάλεια</w:t>
      </w:r>
    </w:p>
    <w:p w:rsidR="006954F7" w:rsidRDefault="006954F7" w:rsidP="00E13006">
      <w:pPr>
        <w:rPr>
          <w:lang w:val="el-GR"/>
        </w:rPr>
      </w:pPr>
      <w:r>
        <w:rPr>
          <w:lang w:val="el-GR"/>
        </w:rPr>
        <w:t>Κοινωνική Ασφάλιση: Μεταρρυθμίσεις στις συντάξεις (όρια ηλικίας, ποσοστά αναπλήρωσης)</w:t>
      </w:r>
    </w:p>
    <w:p w:rsidR="006954F7" w:rsidRDefault="006954F7" w:rsidP="00E13006">
      <w:pPr>
        <w:rPr>
          <w:lang w:val="el-GR"/>
        </w:rPr>
      </w:pPr>
      <w:r>
        <w:rPr>
          <w:lang w:val="el-GR"/>
        </w:rPr>
        <w:t>Υγεία: περιστολή δαπανών</w:t>
      </w:r>
    </w:p>
    <w:p w:rsidR="006954F7" w:rsidRDefault="006954F7" w:rsidP="00E13006">
      <w:pPr>
        <w:rPr>
          <w:lang w:val="el-GR"/>
        </w:rPr>
      </w:pPr>
      <w:r>
        <w:rPr>
          <w:lang w:val="el-GR"/>
        </w:rPr>
        <w:t xml:space="preserve">Κοινωνική Πρόνοια: </w:t>
      </w:r>
    </w:p>
    <w:p w:rsidR="006954F7" w:rsidRDefault="00F256D8" w:rsidP="006954F7">
      <w:pPr>
        <w:pStyle w:val="ListParagraph"/>
        <w:numPr>
          <w:ilvl w:val="0"/>
          <w:numId w:val="6"/>
        </w:numPr>
        <w:rPr>
          <w:lang w:val="el-GR"/>
        </w:rPr>
      </w:pPr>
      <w:r>
        <w:rPr>
          <w:lang w:val="el-GR"/>
        </w:rPr>
        <w:t>Αυστηροποίηση κριτηρίων για ανέργους</w:t>
      </w:r>
    </w:p>
    <w:p w:rsidR="006954F7" w:rsidRDefault="006954F7" w:rsidP="006954F7">
      <w:pPr>
        <w:pStyle w:val="ListParagraph"/>
        <w:numPr>
          <w:ilvl w:val="0"/>
          <w:numId w:val="6"/>
        </w:numPr>
        <w:rPr>
          <w:lang w:val="el-GR"/>
        </w:rPr>
      </w:pPr>
      <w:r w:rsidRPr="006954F7">
        <w:rPr>
          <w:lang w:val="el-GR"/>
        </w:rPr>
        <w:t>Ελάχιστο Εγγυημένο Εισόδημα (εφαρμόστηκε σε πειραματικό στάδιο, κανένας έλεγχος αποτελεσμάτων)</w:t>
      </w:r>
    </w:p>
    <w:p w:rsidR="006954F7" w:rsidRPr="006954F7" w:rsidRDefault="006954F7" w:rsidP="006954F7">
      <w:pPr>
        <w:pStyle w:val="ListParagraph"/>
        <w:numPr>
          <w:ilvl w:val="0"/>
          <w:numId w:val="6"/>
        </w:numPr>
        <w:rPr>
          <w:lang w:val="el-GR"/>
        </w:rPr>
      </w:pPr>
      <w:r>
        <w:rPr>
          <w:lang w:val="el-GR"/>
        </w:rPr>
        <w:t>Μείωση δαπανών</w:t>
      </w:r>
    </w:p>
    <w:sectPr w:rsidR="006954F7" w:rsidRPr="006954F7" w:rsidSect="001D4D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1627"/>
    <w:multiLevelType w:val="hybridMultilevel"/>
    <w:tmpl w:val="1828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7F2FD9"/>
    <w:multiLevelType w:val="hybridMultilevel"/>
    <w:tmpl w:val="B802AC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77C7CE9"/>
    <w:multiLevelType w:val="hybridMultilevel"/>
    <w:tmpl w:val="95EAB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2CE1A1D"/>
    <w:multiLevelType w:val="hybridMultilevel"/>
    <w:tmpl w:val="54500858"/>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5400F5"/>
    <w:multiLevelType w:val="hybridMultilevel"/>
    <w:tmpl w:val="C2A234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F263AA4"/>
    <w:multiLevelType w:val="hybridMultilevel"/>
    <w:tmpl w:val="C30662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F40186C"/>
    <w:multiLevelType w:val="hybridMultilevel"/>
    <w:tmpl w:val="5A365A0E"/>
    <w:lvl w:ilvl="0" w:tplc="429E1D5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CED"/>
    <w:rsid w:val="001239D9"/>
    <w:rsid w:val="001D4D66"/>
    <w:rsid w:val="00282A95"/>
    <w:rsid w:val="00292CD0"/>
    <w:rsid w:val="002F1146"/>
    <w:rsid w:val="00316843"/>
    <w:rsid w:val="003512C4"/>
    <w:rsid w:val="00581A5F"/>
    <w:rsid w:val="005B0B41"/>
    <w:rsid w:val="005E7DE7"/>
    <w:rsid w:val="006609D0"/>
    <w:rsid w:val="006954F7"/>
    <w:rsid w:val="007C14C1"/>
    <w:rsid w:val="0081553E"/>
    <w:rsid w:val="0087236A"/>
    <w:rsid w:val="008F7FB6"/>
    <w:rsid w:val="00A05425"/>
    <w:rsid w:val="00A64BB7"/>
    <w:rsid w:val="00B316C7"/>
    <w:rsid w:val="00B90E00"/>
    <w:rsid w:val="00BB17CF"/>
    <w:rsid w:val="00C302AE"/>
    <w:rsid w:val="00E13006"/>
    <w:rsid w:val="00F256D8"/>
    <w:rsid w:val="00F46CED"/>
    <w:rsid w:val="00F52E2D"/>
    <w:rsid w:val="00F81247"/>
    <w:rsid w:val="00FA2587"/>
    <w:rsid w:val="00FB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A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3252</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2015-11-30T09:21:00Z</dcterms:created>
  <dcterms:modified xsi:type="dcterms:W3CDTF">2015-11-30T09:21:00Z</dcterms:modified>
</cp:coreProperties>
</file>