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50CC0" w14:textId="77777777" w:rsidR="006D5BB7" w:rsidRDefault="006D5BB7">
      <w:pPr>
        <w:spacing w:after="0"/>
        <w:jc w:val="both"/>
        <w:rPr>
          <w:rFonts w:eastAsia="Times New Roman"/>
          <w:color w:val="auto"/>
          <w:kern w:val="0"/>
          <w:sz w:val="24"/>
          <w:szCs w:val="24"/>
          <w:lang w:val="el-GR"/>
        </w:rPr>
      </w:pPr>
    </w:p>
    <w:p w14:paraId="1D370A47" w14:textId="77777777" w:rsidR="006D5BB7" w:rsidRDefault="00000000">
      <w:pPr>
        <w:spacing w:after="0"/>
        <w:jc w:val="both"/>
      </w:pPr>
      <w:r>
        <w:rPr>
          <w:rFonts w:eastAsia="Times New Roman"/>
          <w:noProof/>
          <w:color w:val="auto"/>
          <w:kern w:val="0"/>
          <w:sz w:val="24"/>
          <w:szCs w:val="24"/>
          <w:lang w:val="en-US"/>
        </w:rPr>
        <w:drawing>
          <wp:anchor distT="0" distB="0" distL="114300" distR="114300" simplePos="0" relativeHeight="251659264" behindDoc="0" locked="0" layoutInCell="1" allowOverlap="1" wp14:anchorId="4DC5AF61" wp14:editId="33E609C9">
            <wp:simplePos x="0" y="0"/>
            <wp:positionH relativeFrom="column">
              <wp:posOffset>0</wp:posOffset>
            </wp:positionH>
            <wp:positionV relativeFrom="paragraph">
              <wp:posOffset>180978</wp:posOffset>
            </wp:positionV>
            <wp:extent cx="2009778" cy="586770"/>
            <wp:effectExtent l="0" t="0" r="9522" b="3780"/>
            <wp:wrapTight wrapText="bothSides">
              <wp:wrapPolygon edited="0">
                <wp:start x="0" y="0"/>
                <wp:lineTo x="0" y="21039"/>
                <wp:lineTo x="21293" y="21039"/>
                <wp:lineTo x="21293" y="0"/>
                <wp:lineTo x="0" y="0"/>
              </wp:wrapPolygon>
            </wp:wrapTight>
            <wp:docPr id="500124201" name="Εικόνα 1" descr="Εικόνα που περιέχει κείμενο, γραμματοσειρά, λογότυπο, γραφικά&#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2009778" cy="586770"/>
                    </a:xfrm>
                    <a:prstGeom prst="rect">
                      <a:avLst/>
                    </a:prstGeom>
                    <a:noFill/>
                    <a:ln>
                      <a:noFill/>
                      <a:prstDash/>
                    </a:ln>
                  </pic:spPr>
                </pic:pic>
              </a:graphicData>
            </a:graphic>
          </wp:anchor>
        </w:drawing>
      </w:r>
    </w:p>
    <w:p w14:paraId="6392082D" w14:textId="77777777" w:rsidR="006D5BB7" w:rsidRDefault="00000000">
      <w:pPr>
        <w:spacing w:after="0"/>
        <w:ind w:firstLine="720"/>
        <w:jc w:val="both"/>
        <w:rPr>
          <w:rFonts w:eastAsia="Times New Roman"/>
          <w:color w:val="auto"/>
          <w:kern w:val="0"/>
          <w:sz w:val="24"/>
          <w:szCs w:val="24"/>
          <w:lang w:val="el-GR"/>
        </w:rPr>
      </w:pPr>
      <w:r>
        <w:rPr>
          <w:rFonts w:eastAsia="Times New Roman"/>
          <w:color w:val="auto"/>
          <w:kern w:val="0"/>
          <w:sz w:val="24"/>
          <w:szCs w:val="24"/>
          <w:lang w:val="el-GR"/>
        </w:rPr>
        <w:t xml:space="preserve">Καθηγήτρια Εμμανουέλα </w:t>
      </w:r>
      <w:proofErr w:type="spellStart"/>
      <w:r>
        <w:rPr>
          <w:rFonts w:eastAsia="Times New Roman"/>
          <w:color w:val="auto"/>
          <w:kern w:val="0"/>
          <w:sz w:val="24"/>
          <w:szCs w:val="24"/>
          <w:lang w:val="el-GR"/>
        </w:rPr>
        <w:t>Δούση</w:t>
      </w:r>
      <w:proofErr w:type="spellEnd"/>
    </w:p>
    <w:p w14:paraId="7450A400" w14:textId="77777777" w:rsidR="006D5BB7" w:rsidRDefault="00000000">
      <w:pPr>
        <w:spacing w:after="0"/>
        <w:ind w:firstLine="720"/>
        <w:jc w:val="both"/>
        <w:rPr>
          <w:rFonts w:eastAsia="Times New Roman"/>
          <w:color w:val="auto"/>
          <w:kern w:val="0"/>
          <w:sz w:val="24"/>
          <w:szCs w:val="24"/>
          <w:lang w:val="el-GR"/>
        </w:rPr>
      </w:pPr>
      <w:proofErr w:type="spellStart"/>
      <w:r>
        <w:rPr>
          <w:rFonts w:eastAsia="Times New Roman"/>
          <w:color w:val="auto"/>
          <w:kern w:val="0"/>
          <w:sz w:val="24"/>
          <w:szCs w:val="24"/>
          <w:lang w:val="el-GR"/>
        </w:rPr>
        <w:t>Επ</w:t>
      </w:r>
      <w:proofErr w:type="spellEnd"/>
      <w:r>
        <w:rPr>
          <w:rFonts w:eastAsia="Times New Roman"/>
          <w:color w:val="auto"/>
          <w:kern w:val="0"/>
          <w:sz w:val="24"/>
          <w:szCs w:val="24"/>
          <w:lang w:val="el-GR"/>
        </w:rPr>
        <w:t>. Καθηγητής Ηλίας Πλακοκέφαλος</w:t>
      </w:r>
    </w:p>
    <w:p w14:paraId="54B0854A" w14:textId="77777777" w:rsidR="006D5BB7" w:rsidRDefault="006D5BB7">
      <w:pPr>
        <w:spacing w:after="0"/>
        <w:jc w:val="both"/>
        <w:rPr>
          <w:rFonts w:eastAsia="Times New Roman"/>
          <w:color w:val="auto"/>
          <w:kern w:val="0"/>
          <w:sz w:val="24"/>
          <w:szCs w:val="24"/>
          <w:lang w:val="el-GR"/>
        </w:rPr>
      </w:pPr>
    </w:p>
    <w:p w14:paraId="12F65A4D" w14:textId="77777777" w:rsidR="006D5BB7" w:rsidRPr="00BD492C" w:rsidRDefault="006D5BB7">
      <w:pPr>
        <w:spacing w:after="0"/>
        <w:rPr>
          <w:rFonts w:eastAsia="Times New Roman"/>
          <w:b/>
          <w:color w:val="auto"/>
          <w:kern w:val="0"/>
          <w:sz w:val="24"/>
          <w:szCs w:val="24"/>
          <w:lang w:val="el-GR"/>
        </w:rPr>
      </w:pPr>
    </w:p>
    <w:p w14:paraId="0FF2FD77" w14:textId="77777777" w:rsidR="006D5BB7" w:rsidRPr="00BD492C" w:rsidRDefault="006D5BB7">
      <w:pPr>
        <w:spacing w:after="0"/>
        <w:rPr>
          <w:rFonts w:eastAsia="Times New Roman"/>
          <w:b/>
          <w:color w:val="auto"/>
          <w:kern w:val="0"/>
          <w:sz w:val="24"/>
          <w:szCs w:val="24"/>
          <w:lang w:val="el-GR"/>
        </w:rPr>
      </w:pPr>
    </w:p>
    <w:p w14:paraId="77F26843" w14:textId="77777777" w:rsidR="006D5BB7" w:rsidRPr="00BD492C" w:rsidRDefault="00000000">
      <w:pPr>
        <w:spacing w:after="0"/>
        <w:jc w:val="center"/>
        <w:rPr>
          <w:lang w:val="el-GR"/>
        </w:rPr>
      </w:pPr>
      <w:r>
        <w:rPr>
          <w:rFonts w:eastAsia="Times New Roman"/>
          <w:b/>
          <w:color w:val="auto"/>
          <w:kern w:val="0"/>
          <w:sz w:val="24"/>
          <w:szCs w:val="24"/>
          <w:lang w:val="el-GR"/>
        </w:rPr>
        <w:t>Διεθνείς Θεσμοί Ασφάλειας</w:t>
      </w:r>
    </w:p>
    <w:p w14:paraId="2996CEB9" w14:textId="77777777" w:rsidR="006D5BB7" w:rsidRPr="00BD492C" w:rsidRDefault="00000000">
      <w:pPr>
        <w:spacing w:after="0"/>
        <w:jc w:val="center"/>
        <w:rPr>
          <w:rFonts w:eastAsia="Times New Roman"/>
          <w:b/>
          <w:color w:val="auto"/>
          <w:kern w:val="0"/>
          <w:sz w:val="24"/>
          <w:szCs w:val="24"/>
          <w:lang w:val="el-GR"/>
        </w:rPr>
      </w:pPr>
      <w:r w:rsidRPr="00BD492C">
        <w:rPr>
          <w:rFonts w:eastAsia="Times New Roman"/>
          <w:b/>
          <w:color w:val="auto"/>
          <w:kern w:val="0"/>
          <w:sz w:val="24"/>
          <w:szCs w:val="24"/>
          <w:lang w:val="el-GR"/>
        </w:rPr>
        <w:t>2025-2026</w:t>
      </w:r>
    </w:p>
    <w:p w14:paraId="198556C4" w14:textId="77777777" w:rsidR="006D5BB7" w:rsidRDefault="006D5BB7">
      <w:pPr>
        <w:spacing w:after="0"/>
        <w:jc w:val="both"/>
        <w:rPr>
          <w:rFonts w:eastAsia="Times New Roman"/>
          <w:color w:val="auto"/>
          <w:kern w:val="0"/>
          <w:sz w:val="24"/>
          <w:szCs w:val="24"/>
          <w:lang w:val="el-GR"/>
        </w:rPr>
      </w:pPr>
    </w:p>
    <w:p w14:paraId="2B5E6297" w14:textId="77777777" w:rsidR="006D5BB7" w:rsidRDefault="006D5BB7">
      <w:pPr>
        <w:spacing w:after="0"/>
        <w:jc w:val="both"/>
        <w:rPr>
          <w:rFonts w:eastAsia="Times New Roman"/>
          <w:color w:val="auto"/>
          <w:kern w:val="0"/>
          <w:sz w:val="24"/>
          <w:szCs w:val="24"/>
          <w:lang w:val="el-GR"/>
        </w:rPr>
      </w:pPr>
    </w:p>
    <w:p w14:paraId="5EF8F5F9" w14:textId="77777777" w:rsidR="006D5BB7" w:rsidRDefault="00000000">
      <w:pPr>
        <w:spacing w:after="0"/>
        <w:jc w:val="both"/>
        <w:rPr>
          <w:rFonts w:eastAsia="Times New Roman"/>
          <w:color w:val="auto"/>
          <w:kern w:val="0"/>
          <w:sz w:val="24"/>
          <w:szCs w:val="24"/>
          <w:lang w:val="el-GR"/>
        </w:rPr>
      </w:pPr>
      <w:r>
        <w:rPr>
          <w:rFonts w:eastAsia="Times New Roman"/>
          <w:color w:val="auto"/>
          <w:kern w:val="0"/>
          <w:sz w:val="24"/>
          <w:szCs w:val="24"/>
          <w:lang w:val="el-GR"/>
        </w:rPr>
        <w:t xml:space="preserve">Το μάθημα θα προσφέρεται κάθε Τρίτη και ώρα 16.00-19.00 στην αίθουσα σεμιναρίων του πρώτου ορόφου στο κτήριο της </w:t>
      </w:r>
      <w:proofErr w:type="spellStart"/>
      <w:r>
        <w:rPr>
          <w:rFonts w:eastAsia="Times New Roman"/>
          <w:color w:val="auto"/>
          <w:kern w:val="0"/>
          <w:sz w:val="24"/>
          <w:szCs w:val="24"/>
          <w:lang w:val="el-GR"/>
        </w:rPr>
        <w:t>Θεμιστοκλέους</w:t>
      </w:r>
      <w:proofErr w:type="spellEnd"/>
      <w:r>
        <w:rPr>
          <w:rFonts w:eastAsia="Times New Roman"/>
          <w:color w:val="auto"/>
          <w:kern w:val="0"/>
          <w:sz w:val="24"/>
          <w:szCs w:val="24"/>
          <w:lang w:val="el-GR"/>
        </w:rPr>
        <w:t>.</w:t>
      </w:r>
    </w:p>
    <w:p w14:paraId="1001375D" w14:textId="77777777" w:rsidR="006D5BB7" w:rsidRDefault="006D5BB7">
      <w:pPr>
        <w:spacing w:after="0"/>
        <w:jc w:val="both"/>
        <w:rPr>
          <w:rFonts w:eastAsia="Times New Roman"/>
          <w:color w:val="auto"/>
          <w:kern w:val="0"/>
          <w:sz w:val="24"/>
          <w:szCs w:val="24"/>
          <w:lang w:val="el-GR"/>
        </w:rPr>
      </w:pPr>
    </w:p>
    <w:p w14:paraId="19B59F76" w14:textId="77777777" w:rsidR="006D5BB7" w:rsidRDefault="006D5BB7">
      <w:pPr>
        <w:spacing w:after="0"/>
        <w:jc w:val="both"/>
        <w:rPr>
          <w:rFonts w:eastAsia="Times New Roman"/>
          <w:color w:val="auto"/>
          <w:kern w:val="0"/>
          <w:sz w:val="24"/>
          <w:szCs w:val="24"/>
          <w:lang w:val="el-GR"/>
        </w:rPr>
      </w:pPr>
    </w:p>
    <w:p w14:paraId="67B33FF1" w14:textId="77777777" w:rsidR="006D5BB7" w:rsidRPr="00BD492C" w:rsidRDefault="00000000">
      <w:pPr>
        <w:spacing w:after="0"/>
        <w:jc w:val="both"/>
        <w:rPr>
          <w:lang w:val="el-GR"/>
        </w:rPr>
      </w:pPr>
      <w:r>
        <w:rPr>
          <w:rFonts w:eastAsia="Times New Roman"/>
          <w:color w:val="auto"/>
          <w:kern w:val="0"/>
          <w:sz w:val="24"/>
          <w:szCs w:val="24"/>
          <w:lang w:val="en-US"/>
        </w:rPr>
        <w:t>To</w:t>
      </w:r>
      <w:r>
        <w:rPr>
          <w:rFonts w:eastAsia="Times New Roman"/>
          <w:color w:val="auto"/>
          <w:kern w:val="0"/>
          <w:sz w:val="24"/>
          <w:szCs w:val="24"/>
          <w:lang w:val="el-GR"/>
        </w:rPr>
        <w:t xml:space="preserve"> μάθημα θα αποτελείται από διαλέξεις στο δημόσιο διεθνές δίκαιο με έμφαση στο πεδίο της διεθνούς ειρήνης και ασφάλειας. Η βασική υπόθεση εργασίας περιλαμβάνει το θεωρητικό μέρος που συνδυάζει την εξελικτική πορεία  του διεθνούς δικαίου (γενική εισαγωγή στα υποκείμενα και τις πηγές, </w:t>
      </w:r>
      <w:r>
        <w:rPr>
          <w:rFonts w:eastAsia="Times New Roman"/>
          <w:i/>
          <w:iCs/>
          <w:color w:val="auto"/>
          <w:kern w:val="0"/>
          <w:sz w:val="24"/>
          <w:szCs w:val="24"/>
          <w:lang w:val="en-US"/>
        </w:rPr>
        <w:t>jus</w:t>
      </w:r>
      <w:r>
        <w:rPr>
          <w:rFonts w:eastAsia="Times New Roman"/>
          <w:i/>
          <w:iCs/>
          <w:color w:val="auto"/>
          <w:kern w:val="0"/>
          <w:sz w:val="24"/>
          <w:szCs w:val="24"/>
          <w:lang w:val="el-GR"/>
        </w:rPr>
        <w:t xml:space="preserve"> </w:t>
      </w:r>
      <w:r>
        <w:rPr>
          <w:rFonts w:eastAsia="Times New Roman"/>
          <w:i/>
          <w:iCs/>
          <w:color w:val="auto"/>
          <w:kern w:val="0"/>
          <w:sz w:val="24"/>
          <w:szCs w:val="24"/>
          <w:lang w:val="en-US"/>
        </w:rPr>
        <w:t>ad</w:t>
      </w:r>
      <w:r>
        <w:rPr>
          <w:rFonts w:eastAsia="Times New Roman"/>
          <w:i/>
          <w:iCs/>
          <w:color w:val="auto"/>
          <w:kern w:val="0"/>
          <w:sz w:val="24"/>
          <w:szCs w:val="24"/>
          <w:lang w:val="el-GR"/>
        </w:rPr>
        <w:t xml:space="preserve"> </w:t>
      </w:r>
      <w:r>
        <w:rPr>
          <w:rFonts w:eastAsia="Times New Roman"/>
          <w:i/>
          <w:iCs/>
          <w:color w:val="auto"/>
          <w:kern w:val="0"/>
          <w:sz w:val="24"/>
          <w:szCs w:val="24"/>
          <w:lang w:val="en-US"/>
        </w:rPr>
        <w:t>bellum</w:t>
      </w:r>
      <w:r>
        <w:rPr>
          <w:rFonts w:eastAsia="Times New Roman"/>
          <w:color w:val="auto"/>
          <w:kern w:val="0"/>
          <w:sz w:val="24"/>
          <w:szCs w:val="24"/>
          <w:lang w:val="el-GR"/>
        </w:rPr>
        <w:t xml:space="preserve">, </w:t>
      </w:r>
      <w:r>
        <w:rPr>
          <w:rFonts w:eastAsia="Times New Roman"/>
          <w:i/>
          <w:iCs/>
          <w:color w:val="auto"/>
          <w:kern w:val="0"/>
          <w:sz w:val="24"/>
          <w:szCs w:val="24"/>
          <w:lang w:val="en-US"/>
        </w:rPr>
        <w:t>jus</w:t>
      </w:r>
      <w:r>
        <w:rPr>
          <w:rFonts w:eastAsia="Times New Roman"/>
          <w:i/>
          <w:iCs/>
          <w:color w:val="auto"/>
          <w:kern w:val="0"/>
          <w:sz w:val="24"/>
          <w:szCs w:val="24"/>
          <w:lang w:val="el-GR"/>
        </w:rPr>
        <w:t xml:space="preserve"> </w:t>
      </w:r>
      <w:r>
        <w:rPr>
          <w:rFonts w:eastAsia="Times New Roman"/>
          <w:i/>
          <w:iCs/>
          <w:color w:val="auto"/>
          <w:kern w:val="0"/>
          <w:sz w:val="24"/>
          <w:szCs w:val="24"/>
          <w:lang w:val="en-US"/>
        </w:rPr>
        <w:t>in</w:t>
      </w:r>
      <w:r>
        <w:rPr>
          <w:rFonts w:eastAsia="Times New Roman"/>
          <w:i/>
          <w:iCs/>
          <w:color w:val="auto"/>
          <w:kern w:val="0"/>
          <w:sz w:val="24"/>
          <w:szCs w:val="24"/>
          <w:lang w:val="el-GR"/>
        </w:rPr>
        <w:t xml:space="preserve"> </w:t>
      </w:r>
      <w:r>
        <w:rPr>
          <w:rFonts w:eastAsia="Times New Roman"/>
          <w:i/>
          <w:iCs/>
          <w:color w:val="auto"/>
          <w:kern w:val="0"/>
          <w:sz w:val="24"/>
          <w:szCs w:val="24"/>
          <w:lang w:val="en-US"/>
        </w:rPr>
        <w:t>bello</w:t>
      </w:r>
      <w:r>
        <w:rPr>
          <w:rFonts w:eastAsia="Times New Roman"/>
          <w:color w:val="auto"/>
          <w:kern w:val="0"/>
          <w:sz w:val="24"/>
          <w:szCs w:val="24"/>
          <w:lang w:val="el-GR"/>
        </w:rPr>
        <w:t>, διεθνής δικαιοσύνη, ανθρώπινα δικαιώματα) που αφορά στην διεθνή ειρήνη και ασφάλεια, της διεθνούς οργάνωσης (με επίκεντρο τα Ηνωμένα Έθνη και το συλλογικό σύστημα ασφάλειας με έμφαση στις νέες τάσεις για συμμετοχική και δικτυωμένη πολυμερή συνεργασία). Θα εξεταστούν όλα τα παραπάνω ζητήματα σε συνάρτηση με τις μεγαλύτερες προκλήσεις που αντιμετωπίζει σήμερα το σύστημα (Ουκρανία, Γάζα κλπ.)</w:t>
      </w:r>
    </w:p>
    <w:p w14:paraId="62A8E4BA" w14:textId="77777777" w:rsidR="006D5BB7" w:rsidRDefault="006D5BB7">
      <w:pPr>
        <w:spacing w:after="0"/>
        <w:jc w:val="both"/>
        <w:rPr>
          <w:rFonts w:eastAsia="Times New Roman"/>
          <w:color w:val="auto"/>
          <w:kern w:val="0"/>
          <w:sz w:val="24"/>
          <w:szCs w:val="24"/>
          <w:lang w:val="el-GR"/>
        </w:rPr>
      </w:pPr>
    </w:p>
    <w:p w14:paraId="045BAE28" w14:textId="77777777" w:rsidR="006D5BB7" w:rsidRPr="00BD492C" w:rsidRDefault="00000000">
      <w:pPr>
        <w:spacing w:after="0"/>
        <w:jc w:val="both"/>
        <w:rPr>
          <w:lang w:val="el-GR"/>
        </w:rPr>
      </w:pPr>
      <w:r>
        <w:rPr>
          <w:rFonts w:eastAsia="Times New Roman"/>
          <w:color w:val="auto"/>
          <w:kern w:val="0"/>
          <w:sz w:val="24"/>
          <w:szCs w:val="24"/>
          <w:lang w:val="el-GR"/>
        </w:rPr>
        <w:t>Οι φοιτητές/</w:t>
      </w:r>
      <w:proofErr w:type="spellStart"/>
      <w:r>
        <w:rPr>
          <w:rFonts w:eastAsia="Times New Roman"/>
          <w:color w:val="auto"/>
          <w:kern w:val="0"/>
          <w:sz w:val="24"/>
          <w:szCs w:val="24"/>
          <w:lang w:val="el-GR"/>
        </w:rPr>
        <w:t>τριες</w:t>
      </w:r>
      <w:proofErr w:type="spellEnd"/>
      <w:r>
        <w:rPr>
          <w:rFonts w:eastAsia="Times New Roman"/>
          <w:color w:val="auto"/>
          <w:kern w:val="0"/>
          <w:sz w:val="24"/>
          <w:szCs w:val="24"/>
          <w:lang w:val="el-GR"/>
        </w:rPr>
        <w:t xml:space="preserve"> οφείλουν να προετοιμάζουν τα μαθήματα μελετώντας την προτεινόμενη βιβλιογραφία την οποία μπορούν να αναζητήσουν στην Βιβλιοθήκη του Τμήματος, στο διαδίκτυο ή στην ηλεκτρονική τάξη του μαθήματος και τις πρωτογενείς πηγές που αναρτώνται στην ηλεκτρονική τάξη του μαθήματος (</w:t>
      </w:r>
      <w:r>
        <w:rPr>
          <w:rFonts w:eastAsia="Times New Roman"/>
          <w:color w:val="auto"/>
          <w:kern w:val="0"/>
          <w:sz w:val="24"/>
          <w:szCs w:val="24"/>
          <w:lang w:val="en-US"/>
        </w:rPr>
        <w:t>e</w:t>
      </w:r>
      <w:r>
        <w:rPr>
          <w:rFonts w:eastAsia="Times New Roman"/>
          <w:color w:val="auto"/>
          <w:kern w:val="0"/>
          <w:sz w:val="24"/>
          <w:szCs w:val="24"/>
          <w:lang w:val="el-GR"/>
        </w:rPr>
        <w:t>-</w:t>
      </w:r>
      <w:r>
        <w:rPr>
          <w:rFonts w:eastAsia="Times New Roman"/>
          <w:color w:val="auto"/>
          <w:kern w:val="0"/>
          <w:sz w:val="24"/>
          <w:szCs w:val="24"/>
          <w:lang w:val="en-US"/>
        </w:rPr>
        <w:t>class</w:t>
      </w:r>
      <w:r>
        <w:rPr>
          <w:rFonts w:eastAsia="Times New Roman"/>
          <w:color w:val="auto"/>
          <w:kern w:val="0"/>
          <w:sz w:val="24"/>
          <w:szCs w:val="24"/>
          <w:lang w:val="el-GR"/>
        </w:rPr>
        <w:t xml:space="preserve">) ή είναι διαθέσιμες στο διαδίκτυο. Στην αξιολόγηση των φοιτητών/φοιτητριών θα συνεκτιμηθούν ο βαθμός προετοιμασίας και η συμμετοχή στα μαθήματα, η γραπτή εργασία και η προφορική παρουσίασή της (40%) καθώς και οι επιδόσεις στις τελικές γραπτές εξετάσεις  (60%) που θα πραγματοποιηθούν στο τέλος του εξαμήνου. </w:t>
      </w:r>
    </w:p>
    <w:p w14:paraId="4C34EE4D" w14:textId="77777777" w:rsidR="006D5BB7" w:rsidRDefault="006D5BB7">
      <w:pPr>
        <w:spacing w:after="0"/>
        <w:jc w:val="both"/>
        <w:rPr>
          <w:rFonts w:eastAsia="Times New Roman"/>
          <w:b/>
          <w:bCs/>
          <w:color w:val="auto"/>
          <w:kern w:val="0"/>
          <w:sz w:val="24"/>
          <w:szCs w:val="24"/>
          <w:lang w:val="el-GR"/>
        </w:rPr>
      </w:pPr>
    </w:p>
    <w:p w14:paraId="25A6DB89" w14:textId="77777777" w:rsidR="006D5BB7" w:rsidRDefault="00000000">
      <w:pPr>
        <w:spacing w:after="0"/>
        <w:jc w:val="both"/>
        <w:rPr>
          <w:rFonts w:eastAsia="Times New Roman"/>
          <w:b/>
          <w:bCs/>
          <w:color w:val="auto"/>
          <w:kern w:val="0"/>
          <w:sz w:val="24"/>
          <w:szCs w:val="24"/>
          <w:lang w:val="el-GR"/>
        </w:rPr>
      </w:pPr>
      <w:r>
        <w:rPr>
          <w:rFonts w:eastAsia="Times New Roman"/>
          <w:b/>
          <w:bCs/>
          <w:color w:val="auto"/>
          <w:kern w:val="0"/>
          <w:sz w:val="24"/>
          <w:szCs w:val="24"/>
          <w:lang w:val="el-GR"/>
        </w:rPr>
        <w:t>Σημειώνεται ότι για την συμμετοχή στις εξετάσεις του Φεβρουαρίου είναι υποχρεωτική η κατάθεση της γραπτής εργασίας στην προθεσμία που θα οριστεί από τους διδάσκοντες, η οποία δεν θα υπερβαίνει το πέρας του τρέχοντος εξαμήνου.</w:t>
      </w:r>
    </w:p>
    <w:p w14:paraId="0D40EF43" w14:textId="77777777" w:rsidR="006D5BB7" w:rsidRDefault="00000000">
      <w:pPr>
        <w:spacing w:after="0"/>
        <w:jc w:val="both"/>
        <w:rPr>
          <w:rFonts w:eastAsia="Times New Roman"/>
          <w:color w:val="auto"/>
          <w:kern w:val="0"/>
          <w:sz w:val="24"/>
          <w:szCs w:val="24"/>
          <w:lang w:val="el-GR"/>
        </w:rPr>
      </w:pPr>
      <w:r>
        <w:rPr>
          <w:rFonts w:eastAsia="Times New Roman"/>
          <w:color w:val="auto"/>
          <w:kern w:val="0"/>
          <w:sz w:val="24"/>
          <w:szCs w:val="24"/>
          <w:lang w:val="el-GR"/>
        </w:rPr>
        <w:t xml:space="preserve">Τα μαθήματα και οι προφορικές παρουσιάσεις θα καλύψουν τις παρακάτω επί μέρους θεματικές ενότητες. </w:t>
      </w:r>
    </w:p>
    <w:p w14:paraId="0F27A4AD" w14:textId="77777777" w:rsidR="006D5BB7" w:rsidRDefault="006D5BB7">
      <w:pPr>
        <w:spacing w:after="0"/>
        <w:jc w:val="both"/>
        <w:rPr>
          <w:rFonts w:eastAsia="Times New Roman"/>
          <w:color w:val="auto"/>
          <w:kern w:val="0"/>
          <w:sz w:val="24"/>
          <w:szCs w:val="24"/>
          <w:lang w:val="el-GR"/>
        </w:rPr>
      </w:pPr>
    </w:p>
    <w:p w14:paraId="7EE53153" w14:textId="77777777" w:rsidR="006D5BB7" w:rsidRDefault="006D5BB7">
      <w:pPr>
        <w:spacing w:after="0"/>
        <w:jc w:val="both"/>
        <w:rPr>
          <w:rFonts w:eastAsia="Times New Roman"/>
          <w:color w:val="auto"/>
          <w:kern w:val="0"/>
          <w:sz w:val="24"/>
          <w:szCs w:val="24"/>
          <w:lang w:val="el-GR"/>
        </w:rPr>
      </w:pPr>
    </w:p>
    <w:p w14:paraId="39A22AFF" w14:textId="77777777" w:rsidR="006D5BB7" w:rsidRDefault="00000000">
      <w:pPr>
        <w:spacing w:after="0"/>
        <w:jc w:val="both"/>
        <w:rPr>
          <w:rFonts w:eastAsia="Times New Roman"/>
          <w:color w:val="auto"/>
          <w:kern w:val="0"/>
          <w:sz w:val="24"/>
          <w:szCs w:val="24"/>
          <w:lang w:val="el-GR"/>
        </w:rPr>
      </w:pPr>
      <w:r>
        <w:rPr>
          <w:rFonts w:eastAsia="Times New Roman"/>
          <w:color w:val="auto"/>
          <w:kern w:val="0"/>
          <w:sz w:val="24"/>
          <w:szCs w:val="24"/>
          <w:lang w:val="el-GR"/>
        </w:rPr>
        <w:t xml:space="preserve">Συγκεκριμένα οι ενότητες του μαθήματος διαρθρώνονται ως εξής: </w:t>
      </w:r>
    </w:p>
    <w:p w14:paraId="1D585D91" w14:textId="77777777" w:rsidR="006D5BB7" w:rsidRDefault="006D5BB7">
      <w:pPr>
        <w:spacing w:after="0"/>
        <w:jc w:val="both"/>
        <w:rPr>
          <w:rFonts w:eastAsia="Times New Roman"/>
          <w:color w:val="auto"/>
          <w:kern w:val="0"/>
          <w:sz w:val="24"/>
          <w:szCs w:val="24"/>
          <w:lang w:val="el-GR"/>
        </w:rPr>
      </w:pPr>
    </w:p>
    <w:p w14:paraId="620A50DA" w14:textId="77777777" w:rsidR="006D5BB7" w:rsidRDefault="006D5BB7">
      <w:pPr>
        <w:spacing w:after="0"/>
        <w:jc w:val="both"/>
        <w:rPr>
          <w:rFonts w:eastAsia="Times New Roman"/>
          <w:color w:val="auto"/>
          <w:kern w:val="0"/>
          <w:sz w:val="24"/>
          <w:szCs w:val="24"/>
          <w:lang w:val="el-GR"/>
        </w:rPr>
      </w:pPr>
    </w:p>
    <w:p w14:paraId="40CC987B" w14:textId="77777777" w:rsidR="006D5BB7" w:rsidRDefault="006D5BB7">
      <w:pPr>
        <w:spacing w:after="0"/>
        <w:jc w:val="both"/>
        <w:rPr>
          <w:rFonts w:eastAsia="Times New Roman"/>
          <w:color w:val="auto"/>
          <w:kern w:val="0"/>
          <w:sz w:val="24"/>
          <w:szCs w:val="24"/>
          <w:lang w:val="el-GR"/>
        </w:rPr>
      </w:pPr>
    </w:p>
    <w:p w14:paraId="040285FF" w14:textId="77777777" w:rsidR="006D5BB7" w:rsidRDefault="006D5BB7">
      <w:pPr>
        <w:spacing w:after="0"/>
        <w:jc w:val="both"/>
        <w:rPr>
          <w:rFonts w:eastAsia="Times New Roman"/>
          <w:color w:val="auto"/>
          <w:kern w:val="0"/>
          <w:sz w:val="24"/>
          <w:szCs w:val="24"/>
          <w:lang w:val="el-GR"/>
        </w:rPr>
      </w:pPr>
    </w:p>
    <w:p w14:paraId="6FDB3CE8" w14:textId="77777777" w:rsidR="006D5BB7" w:rsidRPr="00BD492C" w:rsidRDefault="00000000">
      <w:pPr>
        <w:spacing w:after="0"/>
        <w:jc w:val="both"/>
        <w:rPr>
          <w:lang w:val="el-GR"/>
        </w:rPr>
      </w:pPr>
      <w:r>
        <w:rPr>
          <w:rFonts w:eastAsia="Times New Roman"/>
          <w:color w:val="auto"/>
          <w:kern w:val="0"/>
          <w:sz w:val="24"/>
          <w:szCs w:val="24"/>
          <w:lang w:val="el-GR"/>
        </w:rPr>
        <w:t xml:space="preserve">Εβδομάδες 1-2 – </w:t>
      </w:r>
      <w:r>
        <w:rPr>
          <w:rFonts w:eastAsia="Times New Roman"/>
          <w:b/>
          <w:color w:val="auto"/>
          <w:kern w:val="0"/>
          <w:sz w:val="24"/>
          <w:szCs w:val="24"/>
          <w:lang w:val="el-GR"/>
        </w:rPr>
        <w:t>Γενική εισαγωγή στο διεθνές δίκαιο</w:t>
      </w:r>
    </w:p>
    <w:p w14:paraId="48BC961A" w14:textId="77777777" w:rsidR="006D5BB7" w:rsidRDefault="006D5BB7">
      <w:pPr>
        <w:spacing w:after="0"/>
        <w:jc w:val="both"/>
        <w:rPr>
          <w:rFonts w:eastAsia="Times New Roman"/>
          <w:color w:val="auto"/>
          <w:kern w:val="0"/>
          <w:sz w:val="24"/>
          <w:szCs w:val="24"/>
          <w:lang w:val="el-GR"/>
        </w:rPr>
      </w:pPr>
    </w:p>
    <w:p w14:paraId="05D74D2C" w14:textId="77777777" w:rsidR="006D5BB7" w:rsidRDefault="006D5BB7">
      <w:pPr>
        <w:spacing w:after="0"/>
        <w:jc w:val="both"/>
        <w:rPr>
          <w:rFonts w:eastAsia="Times New Roman"/>
          <w:color w:val="auto"/>
          <w:kern w:val="0"/>
          <w:sz w:val="24"/>
          <w:szCs w:val="24"/>
          <w:lang w:val="el-GR"/>
        </w:rPr>
      </w:pPr>
    </w:p>
    <w:p w14:paraId="2FB84FC7" w14:textId="77777777" w:rsidR="006D5BB7" w:rsidRDefault="00000000">
      <w:pPr>
        <w:spacing w:after="0"/>
        <w:jc w:val="both"/>
        <w:rPr>
          <w:rFonts w:eastAsia="Times New Roman"/>
          <w:i/>
          <w:iCs/>
          <w:color w:val="auto"/>
          <w:kern w:val="0"/>
          <w:sz w:val="24"/>
          <w:szCs w:val="24"/>
          <w:lang w:val="el-GR"/>
        </w:rPr>
      </w:pPr>
      <w:r>
        <w:rPr>
          <w:rFonts w:eastAsia="Times New Roman"/>
          <w:i/>
          <w:iCs/>
          <w:color w:val="auto"/>
          <w:kern w:val="0"/>
          <w:sz w:val="24"/>
          <w:szCs w:val="24"/>
          <w:lang w:val="el-GR"/>
        </w:rPr>
        <w:t>Το δημόσιο διεθνές δίκαιο αναπτύσσεται και εξελίσσεται συνεχώς από τη γέννησή του, αλλά ιδιαίτερα μετά το τέλος του Β’ Παγκοσμίου Πολέμου. Ρυθμίζει νομικά τις διεθνείς σχέσεις των κρατών σε όλα τα επίπεδα και σε όλους τους τομείς. Το πρώτο από τα δύο μαθήματα θα εστιάσει στις θεμελιώδεις έννοιες του διεθνούς δικαίου. Θα εξετάσουμε τις έννοιες της κυριαρχίας, του κράτους (κατά το δημόσιο διεθνές δίκαιο), καθώς και των υπόλοιπων υποκειμένων του διεθνούς δικαίου. Στο δεύτερο μάθημα θα συζητήσουμε εκτενώς τις πηγές του διεθνούς δικαίου. Θα δούμε δηλαδή με λεπτομέρεια πώς παράγονται κανόνες στο διεθνές δίκαιο. Θα εξετάσουμε το δίκαιο των διεθνών συμβάσεων, το έθιμο, και τις επικουρικές πηγές του διεθνούς δικαίου.</w:t>
      </w:r>
    </w:p>
    <w:p w14:paraId="4CD94103" w14:textId="77777777" w:rsidR="006D5BB7" w:rsidRDefault="006D5BB7">
      <w:pPr>
        <w:spacing w:after="0"/>
        <w:jc w:val="both"/>
        <w:rPr>
          <w:rFonts w:eastAsia="Times New Roman"/>
          <w:color w:val="auto"/>
          <w:kern w:val="0"/>
          <w:sz w:val="24"/>
          <w:szCs w:val="24"/>
          <w:lang w:val="el-GR"/>
        </w:rPr>
      </w:pPr>
    </w:p>
    <w:p w14:paraId="459FE103" w14:textId="77777777" w:rsidR="006D5BB7" w:rsidRDefault="00000000">
      <w:pPr>
        <w:spacing w:after="0"/>
        <w:ind w:firstLine="360"/>
        <w:jc w:val="both"/>
        <w:rPr>
          <w:rFonts w:eastAsia="Times New Roman"/>
          <w:b/>
          <w:color w:val="auto"/>
          <w:kern w:val="0"/>
          <w:sz w:val="24"/>
          <w:szCs w:val="24"/>
          <w:lang w:val="en-US"/>
        </w:rPr>
      </w:pPr>
      <w:proofErr w:type="spellStart"/>
      <w:r>
        <w:rPr>
          <w:rFonts w:eastAsia="Times New Roman"/>
          <w:b/>
          <w:color w:val="auto"/>
          <w:kern w:val="0"/>
          <w:sz w:val="24"/>
          <w:szCs w:val="24"/>
          <w:lang w:val="en-US"/>
        </w:rPr>
        <w:t>Ενδεικτική</w:t>
      </w:r>
      <w:proofErr w:type="spellEnd"/>
      <w:r>
        <w:rPr>
          <w:rFonts w:eastAsia="Times New Roman"/>
          <w:b/>
          <w:color w:val="auto"/>
          <w:kern w:val="0"/>
          <w:sz w:val="24"/>
          <w:szCs w:val="24"/>
          <w:lang w:val="en-US"/>
        </w:rPr>
        <w:t xml:space="preserve"> βιβ</w:t>
      </w:r>
      <w:proofErr w:type="spellStart"/>
      <w:r>
        <w:rPr>
          <w:rFonts w:eastAsia="Times New Roman"/>
          <w:b/>
          <w:color w:val="auto"/>
          <w:kern w:val="0"/>
          <w:sz w:val="24"/>
          <w:szCs w:val="24"/>
          <w:lang w:val="en-US"/>
        </w:rPr>
        <w:t>λιογρ</w:t>
      </w:r>
      <w:proofErr w:type="spellEnd"/>
      <w:r>
        <w:rPr>
          <w:rFonts w:eastAsia="Times New Roman"/>
          <w:b/>
          <w:color w:val="auto"/>
          <w:kern w:val="0"/>
          <w:sz w:val="24"/>
          <w:szCs w:val="24"/>
          <w:lang w:val="en-US"/>
        </w:rPr>
        <w:t>αφία</w:t>
      </w:r>
    </w:p>
    <w:p w14:paraId="21881086" w14:textId="77777777" w:rsidR="006D5BB7" w:rsidRPr="00BD492C" w:rsidRDefault="00000000">
      <w:pPr>
        <w:numPr>
          <w:ilvl w:val="0"/>
          <w:numId w:val="1"/>
        </w:numPr>
        <w:spacing w:after="0"/>
        <w:ind w:right="-199"/>
        <w:jc w:val="both"/>
        <w:rPr>
          <w:lang w:val="el-GR"/>
        </w:rPr>
      </w:pPr>
      <w:r>
        <w:rPr>
          <w:rFonts w:eastAsia="Times New Roman"/>
          <w:color w:val="2A2A2A"/>
          <w:kern w:val="0"/>
          <w:sz w:val="24"/>
          <w:szCs w:val="24"/>
          <w:shd w:val="clear" w:color="auto" w:fill="FFFFFF"/>
        </w:rPr>
        <w:t>E</w:t>
      </w:r>
      <w:r>
        <w:rPr>
          <w:rFonts w:eastAsia="Times New Roman"/>
          <w:color w:val="2A2A2A"/>
          <w:kern w:val="0"/>
          <w:sz w:val="24"/>
          <w:szCs w:val="24"/>
          <w:shd w:val="clear" w:color="auto" w:fill="FFFFFF"/>
          <w:lang w:val="el-GR"/>
        </w:rPr>
        <w:t xml:space="preserve"> </w:t>
      </w:r>
      <w:proofErr w:type="spellStart"/>
      <w:r>
        <w:rPr>
          <w:rFonts w:eastAsia="Times New Roman"/>
          <w:color w:val="2A2A2A"/>
          <w:kern w:val="0"/>
          <w:sz w:val="24"/>
          <w:szCs w:val="24"/>
          <w:shd w:val="clear" w:color="auto" w:fill="FFFFFF"/>
          <w:lang w:val="el-GR"/>
        </w:rPr>
        <w:t>Ρούκουνας</w:t>
      </w:r>
      <w:proofErr w:type="spellEnd"/>
      <w:r>
        <w:rPr>
          <w:rFonts w:eastAsia="Times New Roman"/>
          <w:color w:val="2A2A2A"/>
          <w:kern w:val="0"/>
          <w:sz w:val="24"/>
          <w:szCs w:val="24"/>
          <w:shd w:val="clear" w:color="auto" w:fill="FFFFFF"/>
          <w:lang w:val="el-GR"/>
        </w:rPr>
        <w:t xml:space="preserve">, </w:t>
      </w:r>
      <w:r>
        <w:rPr>
          <w:rFonts w:eastAsia="Times New Roman"/>
          <w:i/>
          <w:iCs/>
          <w:color w:val="2A2A2A"/>
          <w:kern w:val="0"/>
          <w:sz w:val="24"/>
          <w:szCs w:val="24"/>
          <w:shd w:val="clear" w:color="auto" w:fill="FFFFFF"/>
          <w:lang w:val="el-GR"/>
        </w:rPr>
        <w:t>Δημόσιο Διεθνές Δίκαιο</w:t>
      </w:r>
      <w:r>
        <w:rPr>
          <w:rFonts w:eastAsia="Times New Roman"/>
          <w:color w:val="2A2A2A"/>
          <w:kern w:val="0"/>
          <w:sz w:val="24"/>
          <w:szCs w:val="24"/>
          <w:shd w:val="clear" w:color="auto" w:fill="FFFFFF"/>
          <w:lang w:val="el-GR"/>
        </w:rPr>
        <w:t xml:space="preserve"> (Νομική Βιβλιοθήκη), Κεφάλαια Ι-ΙΙΙ</w:t>
      </w:r>
    </w:p>
    <w:p w14:paraId="7BEEB5C0" w14:textId="77777777" w:rsidR="006D5BB7" w:rsidRDefault="00000000">
      <w:pPr>
        <w:numPr>
          <w:ilvl w:val="0"/>
          <w:numId w:val="1"/>
        </w:numPr>
        <w:spacing w:after="0"/>
        <w:ind w:right="-199"/>
        <w:jc w:val="both"/>
      </w:pPr>
      <w:r>
        <w:rPr>
          <w:rFonts w:eastAsia="Times New Roman"/>
          <w:color w:val="2A2A2A"/>
          <w:kern w:val="0"/>
          <w:sz w:val="24"/>
          <w:szCs w:val="24"/>
          <w:shd w:val="clear" w:color="auto" w:fill="FFFFFF"/>
          <w:lang w:val="en-US"/>
        </w:rPr>
        <w:t xml:space="preserve">R Kolb, </w:t>
      </w:r>
      <w:r>
        <w:rPr>
          <w:rFonts w:eastAsia="Times New Roman"/>
          <w:i/>
          <w:iCs/>
          <w:color w:val="2A2A2A"/>
          <w:kern w:val="0"/>
          <w:sz w:val="24"/>
          <w:szCs w:val="24"/>
          <w:shd w:val="clear" w:color="auto" w:fill="FFFFFF"/>
          <w:lang w:val="en-US"/>
        </w:rPr>
        <w:t>The Law of Treaties: An Introduction</w:t>
      </w:r>
      <w:r>
        <w:rPr>
          <w:rFonts w:eastAsia="Times New Roman"/>
          <w:color w:val="2A2A2A"/>
          <w:kern w:val="0"/>
          <w:sz w:val="24"/>
          <w:szCs w:val="24"/>
          <w:shd w:val="clear" w:color="auto" w:fill="FFFFFF"/>
          <w:lang w:val="en-US"/>
        </w:rPr>
        <w:t xml:space="preserve"> (Elgar 2016)</w:t>
      </w:r>
    </w:p>
    <w:p w14:paraId="0FBF751F" w14:textId="77777777" w:rsidR="006D5BB7" w:rsidRDefault="00000000">
      <w:pPr>
        <w:numPr>
          <w:ilvl w:val="0"/>
          <w:numId w:val="1"/>
        </w:numPr>
        <w:spacing w:after="0"/>
        <w:ind w:right="-199"/>
        <w:jc w:val="both"/>
      </w:pPr>
      <w:r>
        <w:rPr>
          <w:rFonts w:eastAsia="Times New Roman"/>
          <w:color w:val="2A2A2A"/>
          <w:kern w:val="0"/>
          <w:sz w:val="24"/>
          <w:szCs w:val="24"/>
          <w:shd w:val="clear" w:color="auto" w:fill="FFFFFF"/>
          <w:lang w:val="en-US"/>
        </w:rPr>
        <w:t xml:space="preserve">V Lowe, </w:t>
      </w:r>
      <w:r>
        <w:rPr>
          <w:rFonts w:eastAsia="Times New Roman"/>
          <w:i/>
          <w:iCs/>
          <w:color w:val="2A2A2A"/>
          <w:kern w:val="0"/>
          <w:sz w:val="24"/>
          <w:szCs w:val="24"/>
          <w:shd w:val="clear" w:color="auto" w:fill="FFFFFF"/>
          <w:lang w:val="en-US"/>
        </w:rPr>
        <w:t>International Law</w:t>
      </w:r>
      <w:r>
        <w:rPr>
          <w:rFonts w:eastAsia="Times New Roman"/>
          <w:color w:val="2A2A2A"/>
          <w:kern w:val="0"/>
          <w:sz w:val="24"/>
          <w:szCs w:val="24"/>
          <w:shd w:val="clear" w:color="auto" w:fill="FFFFFF"/>
          <w:lang w:val="en-US"/>
        </w:rPr>
        <w:t xml:space="preserve"> (Clarendon 2011)</w:t>
      </w:r>
    </w:p>
    <w:p w14:paraId="3EFCEF2B" w14:textId="77777777" w:rsidR="006D5BB7" w:rsidRDefault="00000000">
      <w:pPr>
        <w:numPr>
          <w:ilvl w:val="0"/>
          <w:numId w:val="1"/>
        </w:numPr>
        <w:spacing w:after="0"/>
        <w:ind w:right="-199"/>
        <w:jc w:val="both"/>
      </w:pPr>
      <w:r>
        <w:rPr>
          <w:rFonts w:eastAsia="Times New Roman"/>
          <w:color w:val="2A2A2A"/>
          <w:kern w:val="0"/>
          <w:sz w:val="24"/>
          <w:szCs w:val="24"/>
          <w:shd w:val="clear" w:color="auto" w:fill="FFFFFF"/>
          <w:lang w:val="en-US"/>
        </w:rPr>
        <w:t>M Akehurst, ‘Custom as a Source of International Law’ (1975) 47(1) British Yearbook of International Law 1</w:t>
      </w:r>
    </w:p>
    <w:p w14:paraId="08701459" w14:textId="77777777" w:rsidR="006D5BB7" w:rsidRDefault="00000000">
      <w:pPr>
        <w:numPr>
          <w:ilvl w:val="0"/>
          <w:numId w:val="1"/>
        </w:numPr>
        <w:spacing w:after="0"/>
        <w:ind w:right="-199"/>
        <w:jc w:val="both"/>
      </w:pPr>
      <w:r>
        <w:rPr>
          <w:rFonts w:eastAsia="Times New Roman"/>
          <w:color w:val="2A2A2A"/>
          <w:kern w:val="0"/>
          <w:sz w:val="24"/>
          <w:szCs w:val="24"/>
          <w:shd w:val="clear" w:color="auto" w:fill="FFFFFF"/>
        </w:rPr>
        <w:t>J Ellis ‘General Principles and Comparative Law’ (2011) 22(4) European Journal of International Law 949</w:t>
      </w:r>
    </w:p>
    <w:p w14:paraId="4EC957FF" w14:textId="77777777" w:rsidR="006D5BB7" w:rsidRDefault="006D5BB7">
      <w:pPr>
        <w:spacing w:after="0"/>
        <w:jc w:val="both"/>
        <w:rPr>
          <w:rFonts w:eastAsia="Times New Roman"/>
          <w:color w:val="auto"/>
          <w:kern w:val="0"/>
          <w:sz w:val="24"/>
          <w:szCs w:val="24"/>
          <w:lang w:val="en-US"/>
        </w:rPr>
      </w:pPr>
    </w:p>
    <w:p w14:paraId="1D41BE49" w14:textId="77777777" w:rsidR="006D5BB7" w:rsidRPr="00BD492C" w:rsidRDefault="00000000">
      <w:pPr>
        <w:spacing w:after="0"/>
        <w:rPr>
          <w:lang w:val="el-GR"/>
        </w:rPr>
      </w:pPr>
      <w:r>
        <w:rPr>
          <w:rFonts w:eastAsia="Times New Roman"/>
          <w:color w:val="auto"/>
          <w:kern w:val="0"/>
          <w:sz w:val="24"/>
          <w:szCs w:val="24"/>
          <w:lang w:val="el-GR"/>
        </w:rPr>
        <w:t xml:space="preserve">Εβδομάδα 3 – </w:t>
      </w:r>
      <w:r>
        <w:rPr>
          <w:rFonts w:eastAsia="Times New Roman"/>
          <w:b/>
          <w:bCs/>
          <w:color w:val="auto"/>
          <w:kern w:val="0"/>
          <w:sz w:val="24"/>
          <w:szCs w:val="24"/>
          <w:lang w:val="el-GR"/>
        </w:rPr>
        <w:t>Διεθνής Ευθύνη</w:t>
      </w:r>
    </w:p>
    <w:p w14:paraId="7E2DB887" w14:textId="77777777" w:rsidR="006D5BB7" w:rsidRPr="00BD492C" w:rsidRDefault="006D5BB7">
      <w:pPr>
        <w:spacing w:after="0"/>
        <w:rPr>
          <w:rFonts w:eastAsia="Times New Roman"/>
          <w:b/>
          <w:bCs/>
          <w:color w:val="auto"/>
          <w:kern w:val="0"/>
          <w:sz w:val="24"/>
          <w:szCs w:val="24"/>
          <w:lang w:val="el-GR"/>
        </w:rPr>
      </w:pPr>
    </w:p>
    <w:p w14:paraId="3B0D1438" w14:textId="77777777" w:rsidR="006D5BB7" w:rsidRDefault="00000000">
      <w:pPr>
        <w:spacing w:after="0"/>
        <w:rPr>
          <w:rFonts w:eastAsia="Times New Roman"/>
          <w:i/>
          <w:iCs/>
          <w:color w:val="auto"/>
          <w:kern w:val="0"/>
          <w:sz w:val="24"/>
          <w:szCs w:val="24"/>
          <w:lang w:val="el-GR"/>
        </w:rPr>
      </w:pPr>
      <w:r>
        <w:rPr>
          <w:rFonts w:eastAsia="Times New Roman"/>
          <w:i/>
          <w:iCs/>
          <w:color w:val="auto"/>
          <w:kern w:val="0"/>
          <w:sz w:val="24"/>
          <w:szCs w:val="24"/>
          <w:lang w:val="el-GR"/>
        </w:rPr>
        <w:t>Η διεθνώς άδική ενέργεια. Πράξη-παράλειψη, καταλογισμός, περιστάσεις άρσης του άδικου χαρακτήρα της πράξης. Αντίμετρα. Επανόρθωση. Ζητήματα επίκλησης της διεθνούς ευθύνης</w:t>
      </w:r>
    </w:p>
    <w:p w14:paraId="7FCD87E0" w14:textId="77777777" w:rsidR="006D5BB7" w:rsidRDefault="006D5BB7">
      <w:pPr>
        <w:spacing w:after="0"/>
        <w:rPr>
          <w:rFonts w:eastAsia="Times New Roman"/>
          <w:i/>
          <w:iCs/>
          <w:color w:val="auto"/>
          <w:kern w:val="0"/>
          <w:sz w:val="24"/>
          <w:szCs w:val="24"/>
          <w:lang w:val="el-GR"/>
        </w:rPr>
      </w:pPr>
    </w:p>
    <w:p w14:paraId="0AE28CEC" w14:textId="77777777" w:rsidR="006D5BB7" w:rsidRDefault="00000000">
      <w:pPr>
        <w:spacing w:after="0"/>
        <w:rPr>
          <w:rFonts w:eastAsia="Times New Roman"/>
          <w:b/>
          <w:bCs/>
          <w:color w:val="auto"/>
          <w:kern w:val="0"/>
          <w:sz w:val="24"/>
          <w:szCs w:val="24"/>
          <w:lang w:val="el-GR"/>
        </w:rPr>
      </w:pPr>
      <w:bookmarkStart w:id="0" w:name="_Hlk211199637"/>
      <w:r>
        <w:rPr>
          <w:rFonts w:eastAsia="Times New Roman"/>
          <w:b/>
          <w:bCs/>
          <w:color w:val="auto"/>
          <w:kern w:val="0"/>
          <w:sz w:val="24"/>
          <w:szCs w:val="24"/>
          <w:lang w:val="el-GR"/>
        </w:rPr>
        <w:t>Ενδεικτική βιβλιογραφία</w:t>
      </w:r>
    </w:p>
    <w:bookmarkEnd w:id="0"/>
    <w:p w14:paraId="3044E69E" w14:textId="77777777" w:rsidR="006D5BB7" w:rsidRDefault="006D5BB7">
      <w:pPr>
        <w:spacing w:after="0"/>
        <w:jc w:val="both"/>
        <w:rPr>
          <w:rFonts w:eastAsia="Times New Roman"/>
          <w:b/>
          <w:color w:val="auto"/>
          <w:kern w:val="0"/>
          <w:sz w:val="24"/>
          <w:szCs w:val="24"/>
        </w:rPr>
      </w:pPr>
    </w:p>
    <w:p w14:paraId="5E500DAB" w14:textId="77777777" w:rsidR="006D5BB7" w:rsidRDefault="00000000">
      <w:pPr>
        <w:pStyle w:val="ListParagraph"/>
        <w:numPr>
          <w:ilvl w:val="0"/>
          <w:numId w:val="2"/>
        </w:numPr>
        <w:spacing w:after="0"/>
        <w:jc w:val="both"/>
      </w:pPr>
      <w:r>
        <w:rPr>
          <w:rFonts w:eastAsia="Times New Roman"/>
          <w:bCs/>
          <w:color w:val="auto"/>
          <w:kern w:val="0"/>
          <w:sz w:val="24"/>
          <w:szCs w:val="24"/>
        </w:rPr>
        <w:t xml:space="preserve">J Crawford, </w:t>
      </w:r>
      <w:r>
        <w:rPr>
          <w:rFonts w:eastAsia="Times New Roman"/>
          <w:bCs/>
          <w:i/>
          <w:iCs/>
          <w:color w:val="auto"/>
          <w:kern w:val="0"/>
          <w:sz w:val="24"/>
          <w:szCs w:val="24"/>
        </w:rPr>
        <w:t>State Responsibility: The General Part</w:t>
      </w:r>
      <w:r>
        <w:rPr>
          <w:rFonts w:eastAsia="Times New Roman"/>
          <w:bCs/>
          <w:color w:val="auto"/>
          <w:kern w:val="0"/>
          <w:sz w:val="24"/>
          <w:szCs w:val="24"/>
        </w:rPr>
        <w:t xml:space="preserve"> (CUP 2013)</w:t>
      </w:r>
    </w:p>
    <w:p w14:paraId="402943E5" w14:textId="77777777" w:rsidR="006D5BB7" w:rsidRDefault="006D5BB7">
      <w:pPr>
        <w:spacing w:after="0"/>
        <w:jc w:val="both"/>
        <w:rPr>
          <w:rFonts w:eastAsia="Times New Roman"/>
          <w:color w:val="auto"/>
          <w:kern w:val="0"/>
          <w:sz w:val="24"/>
          <w:szCs w:val="24"/>
        </w:rPr>
      </w:pPr>
    </w:p>
    <w:p w14:paraId="0A1E7BD1" w14:textId="77777777" w:rsidR="006D5BB7" w:rsidRPr="00BD492C" w:rsidRDefault="00000000">
      <w:pPr>
        <w:spacing w:after="0"/>
        <w:rPr>
          <w:lang w:val="el-GR"/>
        </w:rPr>
      </w:pPr>
      <w:r>
        <w:rPr>
          <w:rFonts w:eastAsia="Times New Roman"/>
          <w:color w:val="auto"/>
          <w:kern w:val="0"/>
          <w:sz w:val="24"/>
          <w:szCs w:val="24"/>
          <w:lang w:val="el-GR"/>
        </w:rPr>
        <w:t xml:space="preserve">Εβδομάδα 4 - </w:t>
      </w:r>
      <w:r>
        <w:rPr>
          <w:rFonts w:eastAsia="Times New Roman"/>
          <w:b/>
          <w:bCs/>
          <w:color w:val="auto"/>
          <w:kern w:val="0"/>
          <w:sz w:val="24"/>
          <w:szCs w:val="24"/>
          <w:lang w:val="el-GR"/>
        </w:rPr>
        <w:t>Το κράτος</w:t>
      </w:r>
      <w:r>
        <w:rPr>
          <w:rFonts w:eastAsia="Times New Roman"/>
          <w:color w:val="auto"/>
          <w:kern w:val="0"/>
          <w:sz w:val="24"/>
          <w:szCs w:val="24"/>
          <w:lang w:val="el-GR"/>
        </w:rPr>
        <w:t xml:space="preserve"> </w:t>
      </w:r>
    </w:p>
    <w:p w14:paraId="4E80A950" w14:textId="77777777" w:rsidR="006D5BB7" w:rsidRDefault="006D5BB7">
      <w:pPr>
        <w:spacing w:after="0"/>
        <w:rPr>
          <w:rFonts w:eastAsia="Times New Roman"/>
          <w:color w:val="auto"/>
          <w:kern w:val="0"/>
          <w:sz w:val="24"/>
          <w:szCs w:val="24"/>
          <w:lang w:val="el-GR"/>
        </w:rPr>
      </w:pPr>
    </w:p>
    <w:p w14:paraId="38EC383B" w14:textId="77777777" w:rsidR="006D5BB7" w:rsidRDefault="00000000">
      <w:pPr>
        <w:spacing w:after="0"/>
      </w:pPr>
      <w:r>
        <w:rPr>
          <w:rFonts w:eastAsia="Times New Roman"/>
          <w:i/>
          <w:iCs/>
          <w:color w:val="auto"/>
          <w:kern w:val="0"/>
          <w:sz w:val="24"/>
          <w:szCs w:val="24"/>
          <w:lang w:val="el-GR"/>
        </w:rPr>
        <w:t>Συστατικά στοιχεία. Η έννοια της εθνικής κυριαρχίας. Δικαιοδοσία. Άλλοι φορείς δικαιωμάτων και υποχρεώσεων στο διεθνές δίκαιο (το Βατικανό, η Παλαιστινιακή Αρχή, τα εθνικοαπελευθερωτικά κινήματα, το αυτοαποκαλούμενο «Ισλαμικό κράτος»). Αναγνώριση του Κράτους – σύγχρονα προβλήματα</w:t>
      </w:r>
    </w:p>
    <w:p w14:paraId="593604ED" w14:textId="77777777" w:rsidR="006D5BB7" w:rsidRDefault="006D5BB7">
      <w:pPr>
        <w:spacing w:after="0"/>
        <w:rPr>
          <w:rFonts w:eastAsia="Times New Roman"/>
          <w:i/>
          <w:iCs/>
          <w:color w:val="auto"/>
          <w:kern w:val="0"/>
          <w:sz w:val="24"/>
          <w:szCs w:val="24"/>
        </w:rPr>
      </w:pPr>
    </w:p>
    <w:p w14:paraId="0867DB9B" w14:textId="77777777" w:rsidR="006D5BB7" w:rsidRDefault="00000000">
      <w:pPr>
        <w:spacing w:after="0"/>
        <w:rPr>
          <w:rFonts w:eastAsia="Times New Roman"/>
          <w:b/>
          <w:bCs/>
          <w:color w:val="auto"/>
          <w:kern w:val="0"/>
          <w:sz w:val="24"/>
          <w:szCs w:val="24"/>
          <w:lang w:val="el-GR"/>
        </w:rPr>
      </w:pPr>
      <w:r>
        <w:rPr>
          <w:rFonts w:eastAsia="Times New Roman"/>
          <w:b/>
          <w:bCs/>
          <w:color w:val="auto"/>
          <w:kern w:val="0"/>
          <w:sz w:val="24"/>
          <w:szCs w:val="24"/>
          <w:lang w:val="el-GR"/>
        </w:rPr>
        <w:lastRenderedPageBreak/>
        <w:t>Ενδεικτική βιβλιογραφία</w:t>
      </w:r>
    </w:p>
    <w:p w14:paraId="1360852E" w14:textId="77777777" w:rsidR="006D5BB7" w:rsidRDefault="006D5BB7">
      <w:pPr>
        <w:spacing w:after="0"/>
        <w:rPr>
          <w:rFonts w:eastAsia="Calibri"/>
          <w:color w:val="auto"/>
          <w:kern w:val="0"/>
          <w:sz w:val="24"/>
          <w:szCs w:val="24"/>
        </w:rPr>
      </w:pPr>
    </w:p>
    <w:p w14:paraId="78E1EE34" w14:textId="77777777" w:rsidR="006D5BB7" w:rsidRDefault="00000000">
      <w:pPr>
        <w:pStyle w:val="ListParagraph"/>
        <w:numPr>
          <w:ilvl w:val="0"/>
          <w:numId w:val="2"/>
        </w:numPr>
        <w:spacing w:after="0"/>
        <w:rPr>
          <w:rFonts w:eastAsia="Calibri"/>
          <w:color w:val="auto"/>
          <w:kern w:val="0"/>
          <w:sz w:val="24"/>
          <w:szCs w:val="24"/>
        </w:rPr>
      </w:pPr>
      <w:r>
        <w:rPr>
          <w:rFonts w:eastAsia="Calibri"/>
          <w:color w:val="auto"/>
          <w:kern w:val="0"/>
          <w:sz w:val="24"/>
          <w:szCs w:val="24"/>
        </w:rPr>
        <w:t xml:space="preserve">S Talmon, ‘The constitutive Versus the Declaratory Theory of Recognition: Tertium Non </w:t>
      </w:r>
      <w:proofErr w:type="spellStart"/>
      <w:r>
        <w:rPr>
          <w:rFonts w:eastAsia="Calibri"/>
          <w:color w:val="auto"/>
          <w:kern w:val="0"/>
          <w:sz w:val="24"/>
          <w:szCs w:val="24"/>
        </w:rPr>
        <w:t>Datur</w:t>
      </w:r>
      <w:proofErr w:type="spellEnd"/>
      <w:r>
        <w:rPr>
          <w:rFonts w:eastAsia="Calibri"/>
          <w:color w:val="auto"/>
          <w:kern w:val="0"/>
          <w:sz w:val="24"/>
          <w:szCs w:val="24"/>
        </w:rPr>
        <w:t>?’ (2004) 75(1) British Yearbook of International Law 101</w:t>
      </w:r>
    </w:p>
    <w:p w14:paraId="0E7C3F73" w14:textId="77777777" w:rsidR="006D5BB7" w:rsidRDefault="00000000">
      <w:pPr>
        <w:pStyle w:val="ListParagraph"/>
        <w:numPr>
          <w:ilvl w:val="0"/>
          <w:numId w:val="2"/>
        </w:numPr>
        <w:spacing w:after="0"/>
        <w:rPr>
          <w:rFonts w:eastAsia="Calibri"/>
          <w:color w:val="auto"/>
          <w:kern w:val="0"/>
          <w:sz w:val="24"/>
          <w:szCs w:val="24"/>
        </w:rPr>
      </w:pPr>
      <w:r>
        <w:rPr>
          <w:rFonts w:eastAsia="Calibri"/>
          <w:color w:val="auto"/>
          <w:kern w:val="0"/>
          <w:sz w:val="24"/>
          <w:szCs w:val="24"/>
        </w:rPr>
        <w:t>J Crawford, ‘The Criteria for Statehood in International Law’ (1976) 48(1) British Yearbook of International Law 93</w:t>
      </w:r>
    </w:p>
    <w:p w14:paraId="4F9ACA4F" w14:textId="77777777" w:rsidR="006D5BB7" w:rsidRDefault="006D5BB7">
      <w:pPr>
        <w:spacing w:after="0"/>
        <w:jc w:val="both"/>
        <w:rPr>
          <w:rFonts w:eastAsia="Times New Roman"/>
          <w:color w:val="auto"/>
          <w:kern w:val="0"/>
          <w:sz w:val="24"/>
          <w:szCs w:val="24"/>
        </w:rPr>
      </w:pPr>
    </w:p>
    <w:p w14:paraId="005026FF" w14:textId="77777777" w:rsidR="006D5BB7" w:rsidRPr="00BD492C" w:rsidRDefault="00000000">
      <w:pPr>
        <w:spacing w:after="0"/>
        <w:jc w:val="both"/>
        <w:rPr>
          <w:lang w:val="el-GR"/>
        </w:rPr>
      </w:pPr>
      <w:r>
        <w:rPr>
          <w:rFonts w:eastAsia="Times New Roman"/>
          <w:color w:val="auto"/>
          <w:kern w:val="0"/>
          <w:sz w:val="24"/>
          <w:szCs w:val="24"/>
          <w:lang w:val="el-GR"/>
        </w:rPr>
        <w:t xml:space="preserve">Εβδομάδα 5 – </w:t>
      </w:r>
      <w:r>
        <w:rPr>
          <w:rFonts w:eastAsia="Times New Roman"/>
          <w:b/>
          <w:bCs/>
          <w:color w:val="auto"/>
          <w:kern w:val="0"/>
          <w:sz w:val="24"/>
          <w:szCs w:val="24"/>
          <w:lang w:val="en-US"/>
        </w:rPr>
        <w:t>Jus</w:t>
      </w:r>
      <w:r>
        <w:rPr>
          <w:rFonts w:eastAsia="Times New Roman"/>
          <w:b/>
          <w:bCs/>
          <w:color w:val="auto"/>
          <w:kern w:val="0"/>
          <w:sz w:val="24"/>
          <w:szCs w:val="24"/>
          <w:lang w:val="el-GR"/>
        </w:rPr>
        <w:t xml:space="preserve"> </w:t>
      </w:r>
      <w:r>
        <w:rPr>
          <w:rFonts w:eastAsia="Times New Roman"/>
          <w:b/>
          <w:bCs/>
          <w:color w:val="auto"/>
          <w:kern w:val="0"/>
          <w:sz w:val="24"/>
          <w:szCs w:val="24"/>
          <w:lang w:val="en-US"/>
        </w:rPr>
        <w:t>ad</w:t>
      </w:r>
      <w:r>
        <w:rPr>
          <w:rFonts w:eastAsia="Times New Roman"/>
          <w:b/>
          <w:bCs/>
          <w:color w:val="auto"/>
          <w:kern w:val="0"/>
          <w:sz w:val="24"/>
          <w:szCs w:val="24"/>
          <w:lang w:val="el-GR"/>
        </w:rPr>
        <w:t xml:space="preserve"> </w:t>
      </w:r>
      <w:r>
        <w:rPr>
          <w:rFonts w:eastAsia="Times New Roman"/>
          <w:b/>
          <w:bCs/>
          <w:color w:val="auto"/>
          <w:kern w:val="0"/>
          <w:sz w:val="24"/>
          <w:szCs w:val="24"/>
          <w:lang w:val="en-US"/>
        </w:rPr>
        <w:t>bellum</w:t>
      </w:r>
    </w:p>
    <w:p w14:paraId="1DF4C680" w14:textId="77777777" w:rsidR="006D5BB7" w:rsidRDefault="006D5BB7">
      <w:pPr>
        <w:spacing w:after="0"/>
        <w:jc w:val="both"/>
        <w:rPr>
          <w:rFonts w:eastAsia="Times New Roman"/>
          <w:b/>
          <w:bCs/>
          <w:color w:val="auto"/>
          <w:kern w:val="0"/>
          <w:sz w:val="24"/>
          <w:szCs w:val="24"/>
          <w:lang w:val="el-GR"/>
        </w:rPr>
      </w:pPr>
    </w:p>
    <w:p w14:paraId="526FE961" w14:textId="77777777" w:rsidR="006D5BB7" w:rsidRPr="00BD492C" w:rsidRDefault="00000000">
      <w:pPr>
        <w:spacing w:after="0"/>
        <w:jc w:val="both"/>
        <w:rPr>
          <w:lang w:val="el-GR"/>
        </w:rPr>
      </w:pPr>
      <w:r>
        <w:rPr>
          <w:rFonts w:eastAsia="Times New Roman"/>
          <w:i/>
          <w:iCs/>
          <w:color w:val="auto"/>
          <w:kern w:val="0"/>
          <w:sz w:val="24"/>
          <w:szCs w:val="24"/>
          <w:lang w:val="el-GR"/>
        </w:rPr>
        <w:t xml:space="preserve">Το δίκαιο των ενόπλων συγκρούσεων είναι ένα ιδιαίτερα απαιτητικό και περίπλοκο μέρος του διεθνούς δικαίου. Θα εξετάσουμε τις διατάξεις του Χάρτη των Ηνωμένων Εθνών και ειδικότερα το Κεφάλαιο </w:t>
      </w:r>
      <w:r>
        <w:rPr>
          <w:rFonts w:eastAsia="Times New Roman"/>
          <w:i/>
          <w:iCs/>
          <w:color w:val="auto"/>
          <w:kern w:val="0"/>
          <w:sz w:val="24"/>
          <w:szCs w:val="24"/>
          <w:lang w:val="en-US"/>
        </w:rPr>
        <w:t>VII</w:t>
      </w:r>
      <w:r>
        <w:rPr>
          <w:rFonts w:eastAsia="Times New Roman"/>
          <w:i/>
          <w:iCs/>
          <w:color w:val="auto"/>
          <w:kern w:val="0"/>
          <w:sz w:val="24"/>
          <w:szCs w:val="24"/>
          <w:lang w:val="el-GR"/>
        </w:rPr>
        <w:t>. Θα αναλύσουμε όλες τις πτυχές τις χρήσης βίας στο διεθνές δίκαιο: την ένοπλη επίθεση, τη νόμιμη άμυνα, και τη χρήση βίας κατά μη κρατικών δρώντων. Κατά τη διάρκεια του μαθήματος θα δούμε πώς αποτυπώνονται οι κανόνες του διεθνούς δικαίου στις αποφάσεις των διεθνών δικαιοδοτικών οργάνων και ως εκ τούτου θα συζητήσουμε τις σχετικές αποφάσεις.</w:t>
      </w:r>
    </w:p>
    <w:p w14:paraId="2A58FE0A" w14:textId="77777777" w:rsidR="006D5BB7" w:rsidRDefault="006D5BB7">
      <w:pPr>
        <w:spacing w:after="0"/>
        <w:jc w:val="both"/>
        <w:rPr>
          <w:rFonts w:eastAsia="Times New Roman"/>
          <w:color w:val="auto"/>
          <w:kern w:val="0"/>
          <w:sz w:val="24"/>
          <w:szCs w:val="24"/>
          <w:lang w:val="el-GR"/>
        </w:rPr>
      </w:pPr>
    </w:p>
    <w:p w14:paraId="33168A45" w14:textId="77777777" w:rsidR="006D5BB7" w:rsidRDefault="00000000">
      <w:pPr>
        <w:spacing w:after="0"/>
        <w:jc w:val="both"/>
        <w:rPr>
          <w:rFonts w:eastAsia="Times New Roman"/>
          <w:b/>
          <w:bCs/>
          <w:color w:val="auto"/>
          <w:kern w:val="0"/>
          <w:sz w:val="24"/>
          <w:szCs w:val="24"/>
          <w:lang w:val="el-GR"/>
        </w:rPr>
      </w:pPr>
      <w:bookmarkStart w:id="1" w:name="_Hlk182907383"/>
      <w:r>
        <w:rPr>
          <w:rFonts w:eastAsia="Times New Roman"/>
          <w:b/>
          <w:bCs/>
          <w:color w:val="auto"/>
          <w:kern w:val="0"/>
          <w:sz w:val="24"/>
          <w:szCs w:val="24"/>
          <w:lang w:val="el-GR"/>
        </w:rPr>
        <w:t>Ενδεικτική βιβλιογραφία</w:t>
      </w:r>
      <w:bookmarkEnd w:id="1"/>
    </w:p>
    <w:p w14:paraId="02C33B3B" w14:textId="77777777" w:rsidR="006D5BB7" w:rsidRDefault="00000000">
      <w:pPr>
        <w:numPr>
          <w:ilvl w:val="0"/>
          <w:numId w:val="3"/>
        </w:numPr>
        <w:spacing w:after="200"/>
        <w:contextualSpacing/>
        <w:jc w:val="both"/>
      </w:pPr>
      <w:r>
        <w:rPr>
          <w:rFonts w:eastAsia="Calibri"/>
          <w:color w:val="auto"/>
          <w:kern w:val="0"/>
          <w:sz w:val="24"/>
          <w:szCs w:val="24"/>
          <w:lang w:val="en-US"/>
        </w:rPr>
        <w:t xml:space="preserve">T. Ruys, O. Corten (eds), </w:t>
      </w:r>
      <w:r>
        <w:rPr>
          <w:rFonts w:eastAsia="Calibri"/>
          <w:i/>
          <w:iCs/>
          <w:color w:val="auto"/>
          <w:kern w:val="0"/>
          <w:sz w:val="24"/>
          <w:szCs w:val="24"/>
          <w:lang w:val="en-US"/>
        </w:rPr>
        <w:t>The Use of Force in International Law, A Case-Based Approach</w:t>
      </w:r>
      <w:r>
        <w:rPr>
          <w:rFonts w:eastAsia="Calibri"/>
          <w:color w:val="auto"/>
          <w:kern w:val="0"/>
          <w:sz w:val="24"/>
          <w:szCs w:val="24"/>
          <w:lang w:val="en-US"/>
        </w:rPr>
        <w:t xml:space="preserve"> (Oxford University Press 2018)</w:t>
      </w:r>
    </w:p>
    <w:p w14:paraId="16C408D3" w14:textId="77777777" w:rsidR="006D5BB7" w:rsidRDefault="00000000">
      <w:pPr>
        <w:numPr>
          <w:ilvl w:val="0"/>
          <w:numId w:val="3"/>
        </w:numPr>
        <w:spacing w:after="200"/>
        <w:contextualSpacing/>
        <w:jc w:val="both"/>
      </w:pPr>
      <w:r>
        <w:rPr>
          <w:rFonts w:eastAsia="Calibri"/>
          <w:color w:val="auto"/>
          <w:kern w:val="0"/>
          <w:sz w:val="24"/>
          <w:szCs w:val="24"/>
          <w:lang w:val="en-US"/>
        </w:rPr>
        <w:t xml:space="preserve">C. Gray, </w:t>
      </w:r>
      <w:r>
        <w:rPr>
          <w:rFonts w:eastAsia="Calibri"/>
          <w:i/>
          <w:iCs/>
          <w:color w:val="auto"/>
          <w:kern w:val="0"/>
          <w:sz w:val="24"/>
          <w:szCs w:val="24"/>
          <w:lang w:val="en-US"/>
        </w:rPr>
        <w:t>International Law and the Use of Force</w:t>
      </w:r>
      <w:r>
        <w:rPr>
          <w:rFonts w:eastAsia="Calibri"/>
          <w:color w:val="auto"/>
          <w:kern w:val="0"/>
          <w:sz w:val="24"/>
          <w:szCs w:val="24"/>
          <w:lang w:val="en-US"/>
        </w:rPr>
        <w:t>. (Oxford University Press 2018)</w:t>
      </w:r>
    </w:p>
    <w:p w14:paraId="79933794" w14:textId="77777777" w:rsidR="006D5BB7" w:rsidRDefault="00000000">
      <w:pPr>
        <w:numPr>
          <w:ilvl w:val="0"/>
          <w:numId w:val="3"/>
        </w:numPr>
        <w:spacing w:after="200"/>
        <w:contextualSpacing/>
        <w:jc w:val="both"/>
      </w:pPr>
      <w:r>
        <w:rPr>
          <w:rFonts w:eastAsia="Calibri"/>
          <w:color w:val="auto"/>
          <w:kern w:val="0"/>
          <w:sz w:val="24"/>
          <w:szCs w:val="24"/>
          <w:lang w:val="en-US"/>
        </w:rPr>
        <w:t xml:space="preserve">O. Corten, </w:t>
      </w:r>
      <w:r>
        <w:rPr>
          <w:rFonts w:eastAsia="Calibri"/>
          <w:i/>
          <w:iCs/>
          <w:color w:val="auto"/>
          <w:kern w:val="0"/>
          <w:sz w:val="24"/>
          <w:szCs w:val="24"/>
          <w:lang w:val="en-US"/>
        </w:rPr>
        <w:t xml:space="preserve">The Law Against War: The Prohibition on the Use of Force in Contemporary International Law </w:t>
      </w:r>
      <w:r>
        <w:rPr>
          <w:rFonts w:eastAsia="Calibri"/>
          <w:color w:val="auto"/>
          <w:kern w:val="0"/>
          <w:sz w:val="24"/>
          <w:szCs w:val="24"/>
          <w:lang w:val="en-US"/>
        </w:rPr>
        <w:t>(Hart 2010)</w:t>
      </w:r>
    </w:p>
    <w:p w14:paraId="1FC83110" w14:textId="77777777" w:rsidR="006D5BB7" w:rsidRDefault="00000000">
      <w:pPr>
        <w:spacing w:after="0"/>
        <w:jc w:val="both"/>
        <w:rPr>
          <w:rFonts w:eastAsia="Times New Roman"/>
          <w:color w:val="auto"/>
          <w:kern w:val="0"/>
          <w:sz w:val="24"/>
          <w:szCs w:val="24"/>
          <w:lang w:val="en-US"/>
        </w:rPr>
      </w:pPr>
      <w:r>
        <w:rPr>
          <w:rFonts w:eastAsia="Times New Roman"/>
          <w:color w:val="auto"/>
          <w:kern w:val="0"/>
          <w:sz w:val="24"/>
          <w:szCs w:val="24"/>
          <w:lang w:val="en-US"/>
        </w:rPr>
        <w:t xml:space="preserve"> </w:t>
      </w:r>
    </w:p>
    <w:p w14:paraId="5E0EF5DF" w14:textId="77777777" w:rsidR="006D5BB7" w:rsidRPr="00BD492C" w:rsidRDefault="00000000">
      <w:pPr>
        <w:spacing w:after="0"/>
        <w:jc w:val="both"/>
        <w:rPr>
          <w:lang w:val="el-GR"/>
        </w:rPr>
      </w:pPr>
      <w:r>
        <w:rPr>
          <w:rFonts w:eastAsia="Times New Roman"/>
          <w:color w:val="auto"/>
          <w:kern w:val="0"/>
          <w:sz w:val="24"/>
          <w:szCs w:val="24"/>
          <w:lang w:val="el-GR"/>
        </w:rPr>
        <w:t xml:space="preserve">Εβδομάδα 6 – </w:t>
      </w:r>
      <w:r>
        <w:rPr>
          <w:rFonts w:eastAsia="Times New Roman"/>
          <w:b/>
          <w:bCs/>
          <w:color w:val="auto"/>
          <w:kern w:val="0"/>
          <w:sz w:val="24"/>
          <w:szCs w:val="24"/>
          <w:lang w:val="en-US"/>
        </w:rPr>
        <w:t>Jus</w:t>
      </w:r>
      <w:r>
        <w:rPr>
          <w:rFonts w:eastAsia="Times New Roman"/>
          <w:b/>
          <w:bCs/>
          <w:color w:val="auto"/>
          <w:kern w:val="0"/>
          <w:sz w:val="24"/>
          <w:szCs w:val="24"/>
          <w:lang w:val="el-GR"/>
        </w:rPr>
        <w:t xml:space="preserve"> </w:t>
      </w:r>
      <w:r>
        <w:rPr>
          <w:rFonts w:eastAsia="Times New Roman"/>
          <w:b/>
          <w:bCs/>
          <w:color w:val="auto"/>
          <w:kern w:val="0"/>
          <w:sz w:val="24"/>
          <w:szCs w:val="24"/>
          <w:lang w:val="en-US"/>
        </w:rPr>
        <w:t>in</w:t>
      </w:r>
      <w:r>
        <w:rPr>
          <w:rFonts w:eastAsia="Times New Roman"/>
          <w:b/>
          <w:bCs/>
          <w:color w:val="auto"/>
          <w:kern w:val="0"/>
          <w:sz w:val="24"/>
          <w:szCs w:val="24"/>
          <w:lang w:val="el-GR"/>
        </w:rPr>
        <w:t xml:space="preserve"> </w:t>
      </w:r>
      <w:r>
        <w:rPr>
          <w:rFonts w:eastAsia="Times New Roman"/>
          <w:b/>
          <w:bCs/>
          <w:color w:val="auto"/>
          <w:kern w:val="0"/>
          <w:sz w:val="24"/>
          <w:szCs w:val="24"/>
          <w:lang w:val="en-US"/>
        </w:rPr>
        <w:t>bello</w:t>
      </w:r>
    </w:p>
    <w:p w14:paraId="7EFB5BA7" w14:textId="77777777" w:rsidR="006D5BB7" w:rsidRDefault="006D5BB7">
      <w:pPr>
        <w:spacing w:after="0"/>
        <w:jc w:val="both"/>
        <w:rPr>
          <w:rFonts w:eastAsia="Times New Roman"/>
          <w:b/>
          <w:bCs/>
          <w:color w:val="auto"/>
          <w:kern w:val="0"/>
          <w:sz w:val="24"/>
          <w:szCs w:val="24"/>
          <w:lang w:val="el-GR"/>
        </w:rPr>
      </w:pPr>
    </w:p>
    <w:p w14:paraId="0BF8083D" w14:textId="77777777" w:rsidR="006D5BB7" w:rsidRPr="00BD492C" w:rsidRDefault="00000000">
      <w:pPr>
        <w:spacing w:after="0"/>
        <w:jc w:val="both"/>
        <w:rPr>
          <w:lang w:val="el-GR"/>
        </w:rPr>
      </w:pPr>
      <w:r>
        <w:rPr>
          <w:rFonts w:eastAsia="Times New Roman"/>
          <w:i/>
          <w:iCs/>
          <w:color w:val="auto"/>
          <w:kern w:val="0"/>
          <w:sz w:val="24"/>
          <w:szCs w:val="24"/>
          <w:lang w:val="el-GR"/>
        </w:rPr>
        <w:t>Το διεθνές ανθρωπιστικό δίκαιο (</w:t>
      </w:r>
      <w:r>
        <w:rPr>
          <w:rFonts w:eastAsia="Times New Roman"/>
          <w:i/>
          <w:iCs/>
          <w:color w:val="auto"/>
          <w:kern w:val="0"/>
          <w:sz w:val="24"/>
          <w:szCs w:val="24"/>
          <w:lang w:val="en-US"/>
        </w:rPr>
        <w:t>international</w:t>
      </w:r>
      <w:r>
        <w:rPr>
          <w:rFonts w:eastAsia="Times New Roman"/>
          <w:i/>
          <w:iCs/>
          <w:color w:val="auto"/>
          <w:kern w:val="0"/>
          <w:sz w:val="24"/>
          <w:szCs w:val="24"/>
          <w:lang w:val="el-GR"/>
        </w:rPr>
        <w:t xml:space="preserve"> </w:t>
      </w:r>
      <w:r>
        <w:rPr>
          <w:rFonts w:eastAsia="Times New Roman"/>
          <w:i/>
          <w:iCs/>
          <w:color w:val="auto"/>
          <w:kern w:val="0"/>
          <w:sz w:val="24"/>
          <w:szCs w:val="24"/>
          <w:lang w:val="en-US"/>
        </w:rPr>
        <w:t>humanitarian</w:t>
      </w:r>
      <w:r>
        <w:rPr>
          <w:rFonts w:eastAsia="Times New Roman"/>
          <w:i/>
          <w:iCs/>
          <w:color w:val="auto"/>
          <w:kern w:val="0"/>
          <w:sz w:val="24"/>
          <w:szCs w:val="24"/>
          <w:lang w:val="el-GR"/>
        </w:rPr>
        <w:t xml:space="preserve"> </w:t>
      </w:r>
      <w:r>
        <w:rPr>
          <w:rFonts w:eastAsia="Times New Roman"/>
          <w:i/>
          <w:iCs/>
          <w:color w:val="auto"/>
          <w:kern w:val="0"/>
          <w:sz w:val="24"/>
          <w:szCs w:val="24"/>
          <w:lang w:val="en-US"/>
        </w:rPr>
        <w:t>law</w:t>
      </w:r>
      <w:r>
        <w:rPr>
          <w:rFonts w:eastAsia="Times New Roman"/>
          <w:i/>
          <w:iCs/>
          <w:color w:val="auto"/>
          <w:kern w:val="0"/>
          <w:sz w:val="24"/>
          <w:szCs w:val="24"/>
          <w:lang w:val="el-GR"/>
        </w:rPr>
        <w:t>) παρά τον παραπλανητικό τίτλο του αναφέρεται στους κανόνες του διεθνούς δικαίου που διέπουν τις ένοπλες συγκρούσεις. Η συμπεριφορά στο πεδίο των εμπλεκομένων μερών καθορίζεται από ένα πλέγμα συμβάσεων, τις Συμβάσεις της Γενεύης (τέσσερις Συμβάσεις με τρία Συμπληρωματικά Πρωτόκολλα), που καλύπτουν ζητήματα όπως οι τραυματίες πολέμου, οι πολίτες εν καιρώ πολέμου και τα θύματα διεθνών και μη διεθνών ενόπλων συγκρούσεων. Στο μάθημα θα διατρέξουμε τους βασικούς κανόνες του διεθνούς ανθρωπιστικού δικαίου.</w:t>
      </w:r>
    </w:p>
    <w:p w14:paraId="4560B54C" w14:textId="77777777" w:rsidR="006D5BB7" w:rsidRDefault="006D5BB7">
      <w:pPr>
        <w:spacing w:after="0"/>
        <w:jc w:val="both"/>
        <w:rPr>
          <w:rFonts w:eastAsia="Times New Roman"/>
          <w:color w:val="auto"/>
          <w:kern w:val="0"/>
          <w:sz w:val="24"/>
          <w:szCs w:val="24"/>
          <w:lang w:val="el-GR"/>
        </w:rPr>
      </w:pPr>
    </w:p>
    <w:p w14:paraId="2A17F3BC" w14:textId="77777777" w:rsidR="006D5BB7" w:rsidRDefault="00000000">
      <w:pPr>
        <w:spacing w:after="0"/>
        <w:jc w:val="both"/>
        <w:rPr>
          <w:rFonts w:eastAsia="Times New Roman"/>
          <w:b/>
          <w:bCs/>
          <w:color w:val="auto"/>
          <w:kern w:val="0"/>
          <w:sz w:val="24"/>
          <w:szCs w:val="24"/>
          <w:lang w:val="el-GR"/>
        </w:rPr>
      </w:pPr>
      <w:bookmarkStart w:id="2" w:name="_Hlk211199813"/>
      <w:r>
        <w:rPr>
          <w:rFonts w:eastAsia="Times New Roman"/>
          <w:b/>
          <w:bCs/>
          <w:color w:val="auto"/>
          <w:kern w:val="0"/>
          <w:sz w:val="24"/>
          <w:szCs w:val="24"/>
          <w:lang w:val="el-GR"/>
        </w:rPr>
        <w:t>Ενδεικτική βιβλιογραφία</w:t>
      </w:r>
    </w:p>
    <w:bookmarkEnd w:id="2"/>
    <w:p w14:paraId="73EE45F1" w14:textId="77777777" w:rsidR="006D5BB7" w:rsidRDefault="00000000">
      <w:pPr>
        <w:numPr>
          <w:ilvl w:val="0"/>
          <w:numId w:val="4"/>
        </w:numPr>
        <w:spacing w:after="200"/>
        <w:contextualSpacing/>
        <w:jc w:val="both"/>
      </w:pPr>
      <w:r>
        <w:rPr>
          <w:rFonts w:eastAsia="Calibri"/>
          <w:color w:val="auto"/>
          <w:kern w:val="0"/>
          <w:sz w:val="24"/>
          <w:szCs w:val="24"/>
          <w:lang w:val="en-US"/>
        </w:rPr>
        <w:t xml:space="preserve">M. </w:t>
      </w:r>
      <w:proofErr w:type="spellStart"/>
      <w:r>
        <w:rPr>
          <w:rFonts w:eastAsia="Calibri"/>
          <w:color w:val="auto"/>
          <w:kern w:val="0"/>
          <w:sz w:val="24"/>
          <w:szCs w:val="24"/>
          <w:lang w:val="en-US"/>
        </w:rPr>
        <w:t>Sassòli</w:t>
      </w:r>
      <w:proofErr w:type="spellEnd"/>
      <w:r>
        <w:rPr>
          <w:rFonts w:eastAsia="Calibri"/>
          <w:color w:val="auto"/>
          <w:kern w:val="0"/>
          <w:sz w:val="24"/>
          <w:szCs w:val="24"/>
          <w:lang w:val="en-US"/>
        </w:rPr>
        <w:t xml:space="preserve">, A. Bouvier, and A. Quintin (eds), </w:t>
      </w:r>
      <w:r>
        <w:rPr>
          <w:rFonts w:eastAsia="Calibri"/>
          <w:i/>
          <w:iCs/>
          <w:color w:val="auto"/>
          <w:kern w:val="0"/>
          <w:sz w:val="24"/>
          <w:szCs w:val="24"/>
          <w:lang w:val="en-US"/>
        </w:rPr>
        <w:t>How Does Law Protect in War? Cases, Documents and Teaching Materials on Contemporary Practice in International Humanitarian Law</w:t>
      </w:r>
      <w:r>
        <w:rPr>
          <w:rFonts w:eastAsia="Calibri"/>
          <w:color w:val="auto"/>
          <w:kern w:val="0"/>
          <w:sz w:val="24"/>
          <w:szCs w:val="24"/>
          <w:lang w:val="en-US"/>
        </w:rPr>
        <w:t xml:space="preserve"> (ICRC 2011)</w:t>
      </w:r>
    </w:p>
    <w:p w14:paraId="16FE15CE" w14:textId="77777777" w:rsidR="006D5BB7" w:rsidRDefault="00000000">
      <w:pPr>
        <w:numPr>
          <w:ilvl w:val="0"/>
          <w:numId w:val="4"/>
        </w:numPr>
        <w:spacing w:after="200"/>
        <w:contextualSpacing/>
        <w:jc w:val="both"/>
      </w:pPr>
      <w:r>
        <w:rPr>
          <w:rFonts w:eastAsia="Calibri"/>
          <w:color w:val="auto"/>
          <w:kern w:val="0"/>
          <w:sz w:val="24"/>
          <w:szCs w:val="24"/>
          <w:lang w:val="en-US"/>
        </w:rPr>
        <w:t xml:space="preserve">A. Clapham, P. Gaeta (eds) </w:t>
      </w:r>
      <w:r>
        <w:rPr>
          <w:rFonts w:eastAsia="Calibri"/>
          <w:i/>
          <w:iCs/>
          <w:color w:val="auto"/>
          <w:kern w:val="0"/>
          <w:sz w:val="24"/>
          <w:szCs w:val="24"/>
          <w:lang w:val="en-US"/>
        </w:rPr>
        <w:t>The Oxford Handbook of International Law in Armed Conflict</w:t>
      </w:r>
      <w:r>
        <w:rPr>
          <w:rFonts w:eastAsia="Calibri"/>
          <w:color w:val="auto"/>
          <w:kern w:val="0"/>
          <w:sz w:val="24"/>
          <w:szCs w:val="24"/>
          <w:lang w:val="en-US"/>
        </w:rPr>
        <w:t xml:space="preserve"> (Oxford University Press 2014)</w:t>
      </w:r>
    </w:p>
    <w:p w14:paraId="2C973F01" w14:textId="77777777" w:rsidR="006D5BB7" w:rsidRDefault="006D5BB7">
      <w:pPr>
        <w:spacing w:after="0"/>
        <w:jc w:val="both"/>
        <w:rPr>
          <w:rFonts w:eastAsia="Times New Roman"/>
          <w:color w:val="auto"/>
          <w:kern w:val="0"/>
          <w:sz w:val="24"/>
          <w:szCs w:val="24"/>
          <w:lang w:val="en-US"/>
        </w:rPr>
      </w:pPr>
    </w:p>
    <w:p w14:paraId="4158C18F" w14:textId="77777777" w:rsidR="006D5BB7" w:rsidRDefault="006D5BB7">
      <w:pPr>
        <w:spacing w:after="0"/>
        <w:jc w:val="both"/>
        <w:rPr>
          <w:rFonts w:eastAsia="Times New Roman"/>
          <w:color w:val="auto"/>
          <w:kern w:val="0"/>
          <w:sz w:val="24"/>
          <w:szCs w:val="24"/>
          <w:lang w:val="en-US"/>
        </w:rPr>
      </w:pPr>
    </w:p>
    <w:p w14:paraId="05066DA2" w14:textId="77777777" w:rsidR="006D5BB7" w:rsidRPr="00BD492C" w:rsidRDefault="00000000">
      <w:pPr>
        <w:spacing w:after="0"/>
        <w:jc w:val="both"/>
        <w:rPr>
          <w:lang w:val="el-GR"/>
        </w:rPr>
      </w:pPr>
      <w:r>
        <w:rPr>
          <w:rFonts w:eastAsia="Times New Roman"/>
          <w:color w:val="auto"/>
          <w:kern w:val="0"/>
          <w:sz w:val="24"/>
          <w:szCs w:val="24"/>
          <w:lang w:val="el-GR"/>
        </w:rPr>
        <w:t xml:space="preserve">Εβδομάδα 7 – </w:t>
      </w:r>
      <w:r>
        <w:rPr>
          <w:rFonts w:eastAsia="Times New Roman"/>
          <w:b/>
          <w:bCs/>
          <w:color w:val="auto"/>
          <w:kern w:val="0"/>
          <w:sz w:val="24"/>
          <w:szCs w:val="24"/>
          <w:lang w:val="el-GR"/>
        </w:rPr>
        <w:t>Ανθρώπινα Δικαιώματα</w:t>
      </w:r>
    </w:p>
    <w:p w14:paraId="62A89BCB" w14:textId="77777777" w:rsidR="006D5BB7" w:rsidRDefault="006D5BB7">
      <w:pPr>
        <w:spacing w:after="0"/>
        <w:jc w:val="both"/>
        <w:rPr>
          <w:rFonts w:eastAsia="Times New Roman"/>
          <w:b/>
          <w:bCs/>
          <w:color w:val="auto"/>
          <w:kern w:val="0"/>
          <w:sz w:val="24"/>
          <w:szCs w:val="24"/>
          <w:lang w:val="el-GR"/>
        </w:rPr>
      </w:pPr>
    </w:p>
    <w:p w14:paraId="796DA092" w14:textId="77777777" w:rsidR="006D5BB7" w:rsidRDefault="00000000">
      <w:pPr>
        <w:spacing w:after="0"/>
        <w:jc w:val="both"/>
        <w:rPr>
          <w:rFonts w:eastAsia="Times New Roman"/>
          <w:i/>
          <w:iCs/>
          <w:spacing w:val="-2"/>
          <w:kern w:val="0"/>
          <w:sz w:val="24"/>
          <w:szCs w:val="24"/>
          <w:lang w:val="el-GR"/>
        </w:rPr>
      </w:pPr>
      <w:r>
        <w:rPr>
          <w:rFonts w:eastAsia="Times New Roman"/>
          <w:i/>
          <w:iCs/>
          <w:spacing w:val="-2"/>
          <w:kern w:val="0"/>
          <w:sz w:val="24"/>
          <w:szCs w:val="24"/>
          <w:lang w:val="el-GR"/>
        </w:rPr>
        <w:t>Ιστορία των ανθρωπίνων δικαιωμάτων στο διεθνές δίκαιο. Το σύστημα προστασίας του ΟΗΕ και το σύστημα των Συμβάσεων. Η Ευρωπαϊκή Σύμβαση για τα Δικαιώματα του Ανθρώπου και το Ευρωπαϊκό Δικαστήριο για τα Δικαιώματα του Ανθρώπου</w:t>
      </w:r>
    </w:p>
    <w:p w14:paraId="7DB5FB78" w14:textId="77777777" w:rsidR="006D5BB7" w:rsidRDefault="006D5BB7">
      <w:pPr>
        <w:spacing w:after="0"/>
        <w:jc w:val="both"/>
        <w:rPr>
          <w:rFonts w:eastAsia="Times New Roman"/>
          <w:spacing w:val="-2"/>
          <w:kern w:val="0"/>
          <w:sz w:val="24"/>
          <w:szCs w:val="24"/>
          <w:lang w:val="el-GR"/>
        </w:rPr>
      </w:pPr>
    </w:p>
    <w:p w14:paraId="497D234E" w14:textId="77777777" w:rsidR="006D5BB7" w:rsidRDefault="00000000">
      <w:pPr>
        <w:spacing w:after="0"/>
        <w:jc w:val="both"/>
        <w:rPr>
          <w:rFonts w:eastAsia="Times New Roman"/>
          <w:b/>
          <w:bCs/>
          <w:color w:val="auto"/>
          <w:kern w:val="0"/>
          <w:sz w:val="24"/>
          <w:szCs w:val="24"/>
          <w:lang w:val="el-GR"/>
        </w:rPr>
      </w:pPr>
      <w:r>
        <w:rPr>
          <w:rFonts w:eastAsia="Times New Roman"/>
          <w:b/>
          <w:bCs/>
          <w:color w:val="auto"/>
          <w:kern w:val="0"/>
          <w:sz w:val="24"/>
          <w:szCs w:val="24"/>
          <w:lang w:val="el-GR"/>
        </w:rPr>
        <w:t>Ενδεικτική βιβλιογραφία</w:t>
      </w:r>
    </w:p>
    <w:p w14:paraId="60C032C9" w14:textId="77777777" w:rsidR="006D5BB7" w:rsidRDefault="006D5BB7">
      <w:pPr>
        <w:spacing w:after="0"/>
        <w:jc w:val="both"/>
        <w:rPr>
          <w:rFonts w:eastAsia="Times New Roman"/>
          <w:spacing w:val="-2"/>
          <w:kern w:val="0"/>
          <w:sz w:val="24"/>
          <w:szCs w:val="24"/>
          <w:lang w:val="el-GR"/>
        </w:rPr>
      </w:pPr>
    </w:p>
    <w:p w14:paraId="486945DA" w14:textId="77777777" w:rsidR="006D5BB7" w:rsidRPr="00BD492C" w:rsidRDefault="00000000">
      <w:pPr>
        <w:pStyle w:val="ListParagraph"/>
        <w:numPr>
          <w:ilvl w:val="0"/>
          <w:numId w:val="2"/>
        </w:numPr>
        <w:spacing w:after="0"/>
        <w:jc w:val="both"/>
        <w:rPr>
          <w:lang w:val="el-GR"/>
        </w:rPr>
      </w:pPr>
      <w:r>
        <w:rPr>
          <w:rFonts w:eastAsia="Times New Roman"/>
          <w:color w:val="auto"/>
          <w:kern w:val="0"/>
          <w:sz w:val="24"/>
          <w:szCs w:val="24"/>
          <w:lang w:val="el-GR"/>
        </w:rPr>
        <w:t xml:space="preserve">Λ-Α </w:t>
      </w:r>
      <w:proofErr w:type="spellStart"/>
      <w:r>
        <w:rPr>
          <w:rFonts w:eastAsia="Times New Roman"/>
          <w:color w:val="auto"/>
          <w:kern w:val="0"/>
          <w:sz w:val="24"/>
          <w:szCs w:val="24"/>
          <w:lang w:val="el-GR"/>
        </w:rPr>
        <w:t>Σισιλιάνος</w:t>
      </w:r>
      <w:proofErr w:type="spellEnd"/>
      <w:r>
        <w:rPr>
          <w:rFonts w:eastAsia="Times New Roman"/>
          <w:color w:val="auto"/>
          <w:kern w:val="0"/>
          <w:sz w:val="24"/>
          <w:szCs w:val="24"/>
          <w:lang w:val="el-GR"/>
        </w:rPr>
        <w:t xml:space="preserve">, </w:t>
      </w:r>
      <w:r>
        <w:rPr>
          <w:rFonts w:eastAsia="Times New Roman"/>
          <w:i/>
          <w:iCs/>
          <w:color w:val="auto"/>
          <w:kern w:val="0"/>
          <w:sz w:val="24"/>
          <w:szCs w:val="24"/>
          <w:lang w:val="el-GR"/>
        </w:rPr>
        <w:t>Η Ανθρώπινη Διάσταση του Διεθνούς Δικαίου</w:t>
      </w:r>
      <w:r>
        <w:rPr>
          <w:rFonts w:eastAsia="Times New Roman"/>
          <w:color w:val="auto"/>
          <w:kern w:val="0"/>
          <w:sz w:val="24"/>
          <w:szCs w:val="24"/>
          <w:lang w:val="el-GR"/>
        </w:rPr>
        <w:t xml:space="preserve"> (ΝΒ 2024)</w:t>
      </w:r>
    </w:p>
    <w:p w14:paraId="09A98734" w14:textId="77777777" w:rsidR="006D5BB7" w:rsidRDefault="006D5BB7">
      <w:pPr>
        <w:spacing w:after="0"/>
        <w:jc w:val="both"/>
        <w:rPr>
          <w:rFonts w:eastAsia="Times New Roman"/>
          <w:spacing w:val="-2"/>
          <w:kern w:val="0"/>
          <w:sz w:val="24"/>
          <w:szCs w:val="24"/>
          <w:lang w:val="el-GR"/>
        </w:rPr>
      </w:pPr>
    </w:p>
    <w:p w14:paraId="47B4828C" w14:textId="77777777" w:rsidR="006D5BB7" w:rsidRPr="00BD492C" w:rsidRDefault="006D5BB7">
      <w:pPr>
        <w:spacing w:after="0"/>
        <w:jc w:val="both"/>
        <w:rPr>
          <w:rFonts w:eastAsia="Times New Roman"/>
          <w:spacing w:val="-2"/>
          <w:kern w:val="0"/>
          <w:sz w:val="24"/>
          <w:szCs w:val="24"/>
          <w:lang w:val="el-GR"/>
        </w:rPr>
      </w:pPr>
    </w:p>
    <w:p w14:paraId="73011896" w14:textId="77777777" w:rsidR="006D5BB7" w:rsidRPr="00BD492C" w:rsidRDefault="00000000">
      <w:pPr>
        <w:spacing w:after="0"/>
        <w:jc w:val="both"/>
        <w:rPr>
          <w:lang w:val="el-GR"/>
        </w:rPr>
      </w:pPr>
      <w:r>
        <w:rPr>
          <w:rFonts w:eastAsia="Times New Roman"/>
          <w:spacing w:val="-2"/>
          <w:kern w:val="0"/>
          <w:sz w:val="24"/>
          <w:szCs w:val="24"/>
          <w:lang w:val="el-GR"/>
        </w:rPr>
        <w:t>Εβδομάδα 8</w:t>
      </w:r>
      <w:r>
        <w:rPr>
          <w:rFonts w:eastAsia="Times New Roman"/>
          <w:color w:val="0000FF"/>
          <w:spacing w:val="-2"/>
          <w:kern w:val="0"/>
          <w:sz w:val="24"/>
          <w:szCs w:val="24"/>
          <w:lang w:val="el-GR"/>
        </w:rPr>
        <w:t xml:space="preserve"> </w:t>
      </w:r>
      <w:r>
        <w:rPr>
          <w:rFonts w:eastAsia="Times New Roman"/>
          <w:spacing w:val="-2"/>
          <w:kern w:val="0"/>
          <w:sz w:val="24"/>
          <w:szCs w:val="24"/>
          <w:lang w:val="el-GR"/>
        </w:rPr>
        <w:t xml:space="preserve">– </w:t>
      </w:r>
      <w:r>
        <w:rPr>
          <w:rFonts w:eastAsia="Times New Roman"/>
          <w:b/>
          <w:bCs/>
          <w:spacing w:val="-2"/>
          <w:kern w:val="0"/>
          <w:sz w:val="24"/>
          <w:szCs w:val="24"/>
          <w:lang w:val="el-GR"/>
        </w:rPr>
        <w:t>Οι κανόνες του διεθνούς δικαίου</w:t>
      </w:r>
    </w:p>
    <w:p w14:paraId="0C1929A2" w14:textId="77777777" w:rsidR="006D5BB7" w:rsidRDefault="006D5BB7">
      <w:pPr>
        <w:spacing w:after="0"/>
        <w:jc w:val="both"/>
        <w:rPr>
          <w:rFonts w:eastAsia="Times New Roman"/>
          <w:b/>
          <w:bCs/>
          <w:spacing w:val="-2"/>
          <w:kern w:val="0"/>
          <w:sz w:val="24"/>
          <w:szCs w:val="24"/>
          <w:lang w:val="el-GR"/>
        </w:rPr>
      </w:pPr>
    </w:p>
    <w:p w14:paraId="3C5ED822" w14:textId="77777777" w:rsidR="006D5BB7" w:rsidRDefault="006D5BB7">
      <w:pPr>
        <w:spacing w:after="0"/>
        <w:jc w:val="both"/>
        <w:rPr>
          <w:rFonts w:eastAsia="Times New Roman"/>
          <w:i/>
          <w:iCs/>
          <w:spacing w:val="-2"/>
          <w:kern w:val="0"/>
          <w:sz w:val="24"/>
          <w:szCs w:val="24"/>
          <w:lang w:val="el-GR"/>
        </w:rPr>
      </w:pPr>
    </w:p>
    <w:p w14:paraId="1D96779B" w14:textId="77777777" w:rsidR="006D5BB7" w:rsidRPr="00BD492C" w:rsidRDefault="00000000">
      <w:pPr>
        <w:spacing w:after="0"/>
        <w:jc w:val="both"/>
        <w:rPr>
          <w:lang w:val="el-GR"/>
        </w:rPr>
      </w:pPr>
      <w:r>
        <w:rPr>
          <w:rFonts w:eastAsia="Times New Roman"/>
          <w:i/>
          <w:iCs/>
          <w:spacing w:val="-2"/>
          <w:kern w:val="0"/>
          <w:sz w:val="24"/>
          <w:szCs w:val="24"/>
        </w:rPr>
        <w:t>Erga</w:t>
      </w:r>
      <w:r>
        <w:rPr>
          <w:rFonts w:eastAsia="Times New Roman"/>
          <w:i/>
          <w:iCs/>
          <w:spacing w:val="-2"/>
          <w:kern w:val="0"/>
          <w:sz w:val="24"/>
          <w:szCs w:val="24"/>
          <w:lang w:val="el-GR"/>
        </w:rPr>
        <w:t xml:space="preserve"> </w:t>
      </w:r>
      <w:r>
        <w:rPr>
          <w:rFonts w:eastAsia="Times New Roman"/>
          <w:i/>
          <w:iCs/>
          <w:spacing w:val="-2"/>
          <w:kern w:val="0"/>
          <w:sz w:val="24"/>
          <w:szCs w:val="24"/>
        </w:rPr>
        <w:t>omnes</w:t>
      </w:r>
      <w:r>
        <w:rPr>
          <w:rFonts w:eastAsia="Times New Roman"/>
          <w:i/>
          <w:iCs/>
          <w:spacing w:val="-2"/>
          <w:kern w:val="0"/>
          <w:sz w:val="24"/>
          <w:szCs w:val="24"/>
          <w:lang w:val="el-GR"/>
        </w:rPr>
        <w:t xml:space="preserve">, </w:t>
      </w:r>
      <w:r>
        <w:rPr>
          <w:rFonts w:eastAsia="Times New Roman"/>
          <w:i/>
          <w:iCs/>
          <w:spacing w:val="-2"/>
          <w:kern w:val="0"/>
          <w:sz w:val="24"/>
          <w:szCs w:val="24"/>
        </w:rPr>
        <w:t>jus</w:t>
      </w:r>
      <w:r>
        <w:rPr>
          <w:rFonts w:eastAsia="Times New Roman"/>
          <w:i/>
          <w:iCs/>
          <w:spacing w:val="-2"/>
          <w:kern w:val="0"/>
          <w:sz w:val="24"/>
          <w:szCs w:val="24"/>
          <w:lang w:val="el-GR"/>
        </w:rPr>
        <w:t xml:space="preserve"> </w:t>
      </w:r>
      <w:r>
        <w:rPr>
          <w:rFonts w:eastAsia="Times New Roman"/>
          <w:i/>
          <w:iCs/>
          <w:spacing w:val="-2"/>
          <w:kern w:val="0"/>
          <w:sz w:val="24"/>
          <w:szCs w:val="24"/>
        </w:rPr>
        <w:t>cogens</w:t>
      </w:r>
      <w:r>
        <w:rPr>
          <w:rFonts w:eastAsia="Times New Roman"/>
          <w:i/>
          <w:iCs/>
          <w:spacing w:val="-2"/>
          <w:kern w:val="0"/>
          <w:sz w:val="24"/>
          <w:szCs w:val="24"/>
          <w:lang w:val="el-GR"/>
        </w:rPr>
        <w:t xml:space="preserve"> και διεθνές δίκαιο. Διεθνείς κανόνες ποινικού δικαίου. Κανονιστική ιεραρχία και ετεροδικία.</w:t>
      </w:r>
    </w:p>
    <w:p w14:paraId="30773453" w14:textId="77777777" w:rsidR="006D5BB7" w:rsidRDefault="006D5BB7">
      <w:pPr>
        <w:spacing w:after="0"/>
        <w:jc w:val="both"/>
        <w:rPr>
          <w:rFonts w:eastAsia="Times New Roman"/>
          <w:b/>
          <w:bCs/>
          <w:color w:val="auto"/>
          <w:kern w:val="0"/>
          <w:sz w:val="24"/>
          <w:szCs w:val="24"/>
          <w:lang w:val="el-GR"/>
        </w:rPr>
      </w:pPr>
    </w:p>
    <w:p w14:paraId="681F24C6" w14:textId="77777777" w:rsidR="006D5BB7" w:rsidRDefault="00000000">
      <w:pPr>
        <w:spacing w:after="0"/>
        <w:jc w:val="both"/>
        <w:rPr>
          <w:rFonts w:eastAsia="Times New Roman"/>
          <w:b/>
          <w:bCs/>
          <w:color w:val="auto"/>
          <w:kern w:val="0"/>
          <w:sz w:val="24"/>
          <w:szCs w:val="24"/>
          <w:lang w:val="el-GR"/>
        </w:rPr>
      </w:pPr>
      <w:r>
        <w:rPr>
          <w:rFonts w:eastAsia="Times New Roman"/>
          <w:b/>
          <w:bCs/>
          <w:color w:val="auto"/>
          <w:kern w:val="0"/>
          <w:sz w:val="24"/>
          <w:szCs w:val="24"/>
          <w:lang w:val="el-GR"/>
        </w:rPr>
        <w:t>Ενδεικτική βιβλιογραφία</w:t>
      </w:r>
    </w:p>
    <w:p w14:paraId="0DD2AADB" w14:textId="77777777" w:rsidR="006D5BB7" w:rsidRDefault="006D5BB7">
      <w:pPr>
        <w:spacing w:after="0"/>
        <w:jc w:val="both"/>
        <w:rPr>
          <w:rFonts w:eastAsia="Times New Roman"/>
          <w:color w:val="auto"/>
          <w:kern w:val="0"/>
          <w:sz w:val="24"/>
          <w:szCs w:val="24"/>
          <w:lang w:val="el-GR"/>
        </w:rPr>
      </w:pPr>
    </w:p>
    <w:p w14:paraId="65F14EC0" w14:textId="77777777" w:rsidR="006D5BB7" w:rsidRDefault="00000000">
      <w:pPr>
        <w:pStyle w:val="ListParagraph"/>
        <w:numPr>
          <w:ilvl w:val="0"/>
          <w:numId w:val="2"/>
        </w:numPr>
        <w:spacing w:after="0"/>
        <w:jc w:val="both"/>
        <w:rPr>
          <w:rFonts w:eastAsia="Times New Roman"/>
          <w:color w:val="auto"/>
          <w:kern w:val="0"/>
          <w:sz w:val="24"/>
          <w:szCs w:val="24"/>
        </w:rPr>
      </w:pPr>
      <w:r>
        <w:rPr>
          <w:rFonts w:eastAsia="Times New Roman"/>
          <w:color w:val="auto"/>
          <w:kern w:val="0"/>
          <w:sz w:val="24"/>
          <w:szCs w:val="24"/>
        </w:rPr>
        <w:t>P Weil, ‘Towards Relative Normativity in International Law?’ (1983) 77(3) America Journal of International Law 413</w:t>
      </w:r>
    </w:p>
    <w:p w14:paraId="7567089E" w14:textId="77777777" w:rsidR="006D5BB7" w:rsidRDefault="00000000">
      <w:pPr>
        <w:pStyle w:val="ListParagraph"/>
        <w:numPr>
          <w:ilvl w:val="0"/>
          <w:numId w:val="2"/>
        </w:numPr>
        <w:spacing w:after="0"/>
        <w:jc w:val="both"/>
        <w:rPr>
          <w:rFonts w:eastAsia="Times New Roman"/>
          <w:color w:val="auto"/>
          <w:kern w:val="0"/>
          <w:sz w:val="24"/>
          <w:szCs w:val="24"/>
        </w:rPr>
      </w:pPr>
      <w:r>
        <w:rPr>
          <w:rFonts w:eastAsia="Times New Roman"/>
          <w:color w:val="auto"/>
          <w:kern w:val="0"/>
          <w:sz w:val="24"/>
          <w:szCs w:val="24"/>
        </w:rPr>
        <w:t>L-A Sicilianos, ‘The Classification of Obligations and the Multilateral Dimension of the Relations of International Responsibility’ (2002) 13(5) European Journal of International Law 1127</w:t>
      </w:r>
    </w:p>
    <w:p w14:paraId="0CC292AF" w14:textId="77777777" w:rsidR="006D5BB7" w:rsidRDefault="00000000">
      <w:pPr>
        <w:pStyle w:val="ListParagraph"/>
        <w:numPr>
          <w:ilvl w:val="0"/>
          <w:numId w:val="2"/>
        </w:numPr>
        <w:spacing w:after="0"/>
        <w:jc w:val="both"/>
      </w:pPr>
      <w:r>
        <w:rPr>
          <w:rFonts w:eastAsia="Times New Roman"/>
          <w:color w:val="auto"/>
          <w:kern w:val="0"/>
          <w:sz w:val="24"/>
          <w:szCs w:val="24"/>
        </w:rPr>
        <w:t xml:space="preserve">C Tams, </w:t>
      </w:r>
      <w:r>
        <w:rPr>
          <w:rFonts w:eastAsia="Times New Roman"/>
          <w:i/>
          <w:iCs/>
          <w:color w:val="auto"/>
          <w:kern w:val="0"/>
          <w:sz w:val="24"/>
          <w:szCs w:val="24"/>
        </w:rPr>
        <w:t>Enforcing Erga Omnes Obligations in International Law</w:t>
      </w:r>
      <w:r>
        <w:rPr>
          <w:rFonts w:eastAsia="Times New Roman"/>
          <w:color w:val="auto"/>
          <w:kern w:val="0"/>
          <w:sz w:val="24"/>
          <w:szCs w:val="24"/>
        </w:rPr>
        <w:t xml:space="preserve"> (CUP 2005)</w:t>
      </w:r>
    </w:p>
    <w:p w14:paraId="1F81EBAA" w14:textId="77777777" w:rsidR="006D5BB7" w:rsidRDefault="006D5BB7">
      <w:pPr>
        <w:spacing w:after="0"/>
        <w:jc w:val="both"/>
        <w:rPr>
          <w:rFonts w:eastAsia="Times New Roman"/>
          <w:color w:val="auto"/>
          <w:kern w:val="0"/>
          <w:sz w:val="24"/>
          <w:szCs w:val="24"/>
        </w:rPr>
      </w:pPr>
    </w:p>
    <w:p w14:paraId="563A930D" w14:textId="77777777" w:rsidR="006D5BB7" w:rsidRPr="00BD492C" w:rsidRDefault="00000000">
      <w:pPr>
        <w:spacing w:after="0"/>
        <w:jc w:val="both"/>
        <w:rPr>
          <w:lang w:val="el-GR"/>
        </w:rPr>
      </w:pPr>
      <w:r>
        <w:rPr>
          <w:rFonts w:eastAsia="Times New Roman"/>
          <w:color w:val="auto"/>
          <w:kern w:val="0"/>
          <w:sz w:val="24"/>
          <w:szCs w:val="24"/>
          <w:lang w:val="el-GR"/>
        </w:rPr>
        <w:t xml:space="preserve">Εβδομάδα 9 – </w:t>
      </w:r>
      <w:r>
        <w:rPr>
          <w:rFonts w:eastAsia="Times New Roman"/>
          <w:b/>
          <w:color w:val="auto"/>
          <w:kern w:val="0"/>
          <w:sz w:val="24"/>
          <w:szCs w:val="24"/>
          <w:lang w:val="el-GR"/>
        </w:rPr>
        <w:t>Διεθνής Δικαιοσύνη</w:t>
      </w:r>
    </w:p>
    <w:p w14:paraId="20283FB4" w14:textId="77777777" w:rsidR="006D5BB7" w:rsidRDefault="006D5BB7">
      <w:pPr>
        <w:spacing w:after="0"/>
        <w:jc w:val="both"/>
        <w:rPr>
          <w:rFonts w:eastAsia="Times New Roman"/>
          <w:b/>
          <w:color w:val="auto"/>
          <w:kern w:val="0"/>
          <w:sz w:val="24"/>
          <w:szCs w:val="24"/>
          <w:lang w:val="el-GR"/>
        </w:rPr>
      </w:pPr>
    </w:p>
    <w:p w14:paraId="43209809" w14:textId="77777777" w:rsidR="006D5BB7" w:rsidRPr="00BD492C" w:rsidRDefault="00000000">
      <w:pPr>
        <w:spacing w:after="0"/>
        <w:jc w:val="both"/>
        <w:rPr>
          <w:lang w:val="el-GR"/>
        </w:rPr>
      </w:pPr>
      <w:r>
        <w:rPr>
          <w:rFonts w:eastAsia="Times New Roman"/>
          <w:bCs/>
          <w:i/>
          <w:iCs/>
          <w:color w:val="auto"/>
          <w:kern w:val="0"/>
          <w:sz w:val="24"/>
          <w:szCs w:val="24"/>
          <w:lang w:val="el-GR"/>
        </w:rPr>
        <w:t>Στο μάθημα αυτό θα δούμε εις βάθος όλο το φάσμα της επίλυσης των διεθνών διαφορών. Θα εξετάσουμε την αρχιτεκτονική των διεθνών δικαιοδοτικών οργάνων, ξεκινώντας από το Διεθνές Δικαστήριο του ΟΗΕ. Θα εξετάσουμε επίσης όλα τα ειδικά διεθνή δικαιοδοτικά όργανα και τον τρόπο λειτουργίας τους (</w:t>
      </w:r>
      <w:proofErr w:type="spellStart"/>
      <w:r>
        <w:rPr>
          <w:rFonts w:eastAsia="Times New Roman"/>
          <w:bCs/>
          <w:i/>
          <w:iCs/>
          <w:color w:val="auto"/>
          <w:kern w:val="0"/>
          <w:sz w:val="24"/>
          <w:szCs w:val="24"/>
          <w:lang w:val="el-GR"/>
        </w:rPr>
        <w:t>π.χ</w:t>
      </w:r>
      <w:proofErr w:type="spellEnd"/>
      <w:r>
        <w:rPr>
          <w:rFonts w:eastAsia="Times New Roman"/>
          <w:bCs/>
          <w:i/>
          <w:iCs/>
          <w:color w:val="auto"/>
          <w:kern w:val="0"/>
          <w:sz w:val="24"/>
          <w:szCs w:val="24"/>
          <w:lang w:val="el-GR"/>
        </w:rPr>
        <w:t xml:space="preserve"> Δικαστήριο για το Δίκαιο της Θάλασσας, Διεθνές Ποινικό Δικαστήριο, περιφερειακά δικαστήρια ανθρωπίνων δικαιωμάτων). Θα δούμε πώς λειτουργεί η διεθνής διαιτησία και άλλες </w:t>
      </w:r>
      <w:r>
        <w:rPr>
          <w:rFonts w:eastAsia="Times New Roman"/>
          <w:bCs/>
          <w:i/>
          <w:iCs/>
          <w:color w:val="auto"/>
          <w:kern w:val="0"/>
          <w:sz w:val="24"/>
          <w:szCs w:val="24"/>
          <w:lang w:val="en-US"/>
        </w:rPr>
        <w:t>ad</w:t>
      </w:r>
      <w:r>
        <w:rPr>
          <w:rFonts w:eastAsia="Times New Roman"/>
          <w:bCs/>
          <w:i/>
          <w:iCs/>
          <w:color w:val="auto"/>
          <w:kern w:val="0"/>
          <w:sz w:val="24"/>
          <w:szCs w:val="24"/>
          <w:lang w:val="el-GR"/>
        </w:rPr>
        <w:t xml:space="preserve"> </w:t>
      </w:r>
      <w:r>
        <w:rPr>
          <w:rFonts w:eastAsia="Times New Roman"/>
          <w:bCs/>
          <w:i/>
          <w:iCs/>
          <w:color w:val="auto"/>
          <w:kern w:val="0"/>
          <w:sz w:val="24"/>
          <w:szCs w:val="24"/>
          <w:lang w:val="en-US"/>
        </w:rPr>
        <w:t>hoc</w:t>
      </w:r>
      <w:r>
        <w:rPr>
          <w:rFonts w:eastAsia="Times New Roman"/>
          <w:bCs/>
          <w:i/>
          <w:iCs/>
          <w:color w:val="auto"/>
          <w:kern w:val="0"/>
          <w:sz w:val="24"/>
          <w:szCs w:val="24"/>
          <w:lang w:val="el-GR"/>
        </w:rPr>
        <w:t xml:space="preserve"> μορφές διεθνούς δικαιοσύνης όπως τα διεθνή ποινικά δικαστήρια για την πρώην Γιουγκοσλαβία και τη Ρουάντα. </w:t>
      </w:r>
    </w:p>
    <w:p w14:paraId="54755B39" w14:textId="77777777" w:rsidR="006D5BB7" w:rsidRDefault="006D5BB7">
      <w:pPr>
        <w:spacing w:after="0"/>
        <w:jc w:val="both"/>
        <w:rPr>
          <w:rFonts w:eastAsia="Times New Roman"/>
          <w:bCs/>
          <w:color w:val="auto"/>
          <w:kern w:val="0"/>
          <w:sz w:val="24"/>
          <w:szCs w:val="24"/>
        </w:rPr>
      </w:pPr>
    </w:p>
    <w:p w14:paraId="2644CE67" w14:textId="77777777" w:rsidR="00BD492C" w:rsidRPr="00BD492C" w:rsidRDefault="00BD492C">
      <w:pPr>
        <w:spacing w:after="0"/>
        <w:jc w:val="both"/>
        <w:rPr>
          <w:rFonts w:eastAsia="Times New Roman"/>
          <w:bCs/>
          <w:color w:val="auto"/>
          <w:kern w:val="0"/>
          <w:sz w:val="24"/>
          <w:szCs w:val="24"/>
        </w:rPr>
      </w:pPr>
    </w:p>
    <w:p w14:paraId="35397E43" w14:textId="77777777" w:rsidR="006D5BB7" w:rsidRPr="00BD492C" w:rsidRDefault="006D5BB7">
      <w:pPr>
        <w:spacing w:after="0"/>
        <w:jc w:val="both"/>
        <w:rPr>
          <w:rFonts w:eastAsia="Times New Roman"/>
          <w:b/>
          <w:color w:val="auto"/>
          <w:kern w:val="0"/>
          <w:sz w:val="24"/>
          <w:szCs w:val="24"/>
          <w:lang w:val="el-GR"/>
        </w:rPr>
      </w:pPr>
    </w:p>
    <w:p w14:paraId="79ADA109" w14:textId="77777777" w:rsidR="006D5BB7" w:rsidRPr="00BD492C" w:rsidRDefault="006D5BB7">
      <w:pPr>
        <w:spacing w:after="0"/>
        <w:jc w:val="both"/>
        <w:rPr>
          <w:rFonts w:eastAsia="Times New Roman"/>
          <w:b/>
          <w:color w:val="auto"/>
          <w:kern w:val="0"/>
          <w:sz w:val="24"/>
          <w:szCs w:val="24"/>
          <w:lang w:val="el-GR"/>
        </w:rPr>
      </w:pPr>
    </w:p>
    <w:p w14:paraId="1507C82A" w14:textId="77777777" w:rsidR="006D5BB7" w:rsidRDefault="00000000">
      <w:pPr>
        <w:spacing w:after="0"/>
        <w:jc w:val="both"/>
      </w:pPr>
      <w:proofErr w:type="spellStart"/>
      <w:r>
        <w:rPr>
          <w:rFonts w:eastAsia="Times New Roman"/>
          <w:b/>
          <w:color w:val="auto"/>
          <w:kern w:val="0"/>
          <w:sz w:val="24"/>
          <w:szCs w:val="24"/>
          <w:lang w:val="en-US"/>
        </w:rPr>
        <w:lastRenderedPageBreak/>
        <w:t>Ενδεικτική</w:t>
      </w:r>
      <w:proofErr w:type="spellEnd"/>
      <w:r>
        <w:rPr>
          <w:rFonts w:eastAsia="Times New Roman"/>
          <w:b/>
          <w:color w:val="auto"/>
          <w:kern w:val="0"/>
          <w:sz w:val="24"/>
          <w:szCs w:val="24"/>
          <w:lang w:val="en-US"/>
        </w:rPr>
        <w:t xml:space="preserve"> βιβ</w:t>
      </w:r>
      <w:proofErr w:type="spellStart"/>
      <w:r>
        <w:rPr>
          <w:rFonts w:eastAsia="Times New Roman"/>
          <w:b/>
          <w:color w:val="auto"/>
          <w:kern w:val="0"/>
          <w:sz w:val="24"/>
          <w:szCs w:val="24"/>
          <w:lang w:val="en-US"/>
        </w:rPr>
        <w:t>λιογρ</w:t>
      </w:r>
      <w:proofErr w:type="spellEnd"/>
      <w:r>
        <w:rPr>
          <w:rFonts w:eastAsia="Times New Roman"/>
          <w:b/>
          <w:color w:val="auto"/>
          <w:kern w:val="0"/>
          <w:sz w:val="24"/>
          <w:szCs w:val="24"/>
          <w:lang w:val="en-US"/>
        </w:rPr>
        <w:t>αφία</w:t>
      </w:r>
    </w:p>
    <w:p w14:paraId="6696AA54" w14:textId="77777777" w:rsidR="006D5BB7" w:rsidRDefault="00000000">
      <w:pPr>
        <w:numPr>
          <w:ilvl w:val="0"/>
          <w:numId w:val="5"/>
        </w:numPr>
        <w:spacing w:after="0"/>
        <w:ind w:left="284" w:hanging="284"/>
        <w:contextualSpacing/>
        <w:jc w:val="both"/>
      </w:pPr>
      <w:r>
        <w:rPr>
          <w:rFonts w:eastAsia="Calibri"/>
          <w:color w:val="auto"/>
          <w:kern w:val="0"/>
          <w:sz w:val="24"/>
          <w:szCs w:val="24"/>
          <w:lang w:val="en-US"/>
        </w:rPr>
        <w:t xml:space="preserve">I. Brownlie ‘The Peaceful Settlement of International Disputes’ </w:t>
      </w:r>
      <w:r>
        <w:rPr>
          <w:rFonts w:eastAsia="Calibri"/>
          <w:i/>
          <w:iCs/>
          <w:color w:val="auto"/>
          <w:kern w:val="0"/>
          <w:sz w:val="24"/>
          <w:szCs w:val="24"/>
          <w:lang w:val="en-US"/>
        </w:rPr>
        <w:t>Chinese Journal of International Law</w:t>
      </w:r>
      <w:r>
        <w:rPr>
          <w:rFonts w:eastAsia="Calibri"/>
          <w:color w:val="auto"/>
          <w:kern w:val="0"/>
          <w:sz w:val="24"/>
          <w:szCs w:val="24"/>
          <w:lang w:val="en-US"/>
        </w:rPr>
        <w:t xml:space="preserve"> 8.2 (2009): 267–283.</w:t>
      </w:r>
    </w:p>
    <w:p w14:paraId="3D1145C3" w14:textId="77777777" w:rsidR="006D5BB7" w:rsidRDefault="00000000">
      <w:pPr>
        <w:numPr>
          <w:ilvl w:val="0"/>
          <w:numId w:val="5"/>
        </w:numPr>
        <w:spacing w:after="0"/>
        <w:ind w:left="284" w:hanging="284"/>
        <w:contextualSpacing/>
        <w:jc w:val="both"/>
      </w:pPr>
      <w:r>
        <w:rPr>
          <w:rFonts w:eastAsia="Calibri"/>
          <w:color w:val="auto"/>
          <w:kern w:val="0"/>
          <w:sz w:val="24"/>
          <w:szCs w:val="24"/>
          <w:lang w:val="en-US"/>
        </w:rPr>
        <w:t xml:space="preserve">J. Merrills, </w:t>
      </w:r>
      <w:r>
        <w:rPr>
          <w:rFonts w:eastAsia="Calibri"/>
          <w:i/>
          <w:iCs/>
          <w:color w:val="auto"/>
          <w:kern w:val="0"/>
          <w:sz w:val="24"/>
          <w:szCs w:val="24"/>
          <w:lang w:val="en-US"/>
        </w:rPr>
        <w:t>International Dispute Settlement</w:t>
      </w:r>
      <w:r>
        <w:rPr>
          <w:rFonts w:eastAsia="Calibri"/>
          <w:color w:val="auto"/>
          <w:kern w:val="0"/>
          <w:sz w:val="24"/>
          <w:szCs w:val="24"/>
          <w:lang w:val="en-US"/>
        </w:rPr>
        <w:t xml:space="preserve"> (Cambridge University Press 2017)</w:t>
      </w:r>
    </w:p>
    <w:p w14:paraId="5AAE1D3C" w14:textId="77777777" w:rsidR="006D5BB7" w:rsidRDefault="00000000">
      <w:pPr>
        <w:numPr>
          <w:ilvl w:val="0"/>
          <w:numId w:val="5"/>
        </w:numPr>
        <w:spacing w:after="0"/>
        <w:ind w:left="284" w:hanging="284"/>
        <w:contextualSpacing/>
        <w:jc w:val="both"/>
      </w:pPr>
      <w:r>
        <w:rPr>
          <w:rFonts w:eastAsia="Calibri"/>
          <w:color w:val="auto"/>
          <w:kern w:val="0"/>
          <w:sz w:val="24"/>
          <w:szCs w:val="24"/>
          <w:lang w:val="en-US"/>
        </w:rPr>
        <w:t xml:space="preserve">M. Reisman, ‘The Diversity of Contemporary International Dispute Resolution: Functions and Policies’ </w:t>
      </w:r>
      <w:r>
        <w:rPr>
          <w:rFonts w:eastAsia="Calibri"/>
          <w:i/>
          <w:iCs/>
          <w:color w:val="auto"/>
          <w:kern w:val="0"/>
          <w:sz w:val="24"/>
          <w:szCs w:val="24"/>
          <w:lang w:val="en-US"/>
        </w:rPr>
        <w:t>Journal of International Dispute Settlement</w:t>
      </w:r>
      <w:r>
        <w:rPr>
          <w:rFonts w:eastAsia="Calibri"/>
          <w:color w:val="auto"/>
          <w:kern w:val="0"/>
          <w:sz w:val="24"/>
          <w:szCs w:val="24"/>
          <w:lang w:val="en-US"/>
        </w:rPr>
        <w:t xml:space="preserve"> 3.1 (2012): 1–17.</w:t>
      </w:r>
    </w:p>
    <w:p w14:paraId="64A46701" w14:textId="77777777" w:rsidR="006D5BB7" w:rsidRDefault="006D5BB7">
      <w:pPr>
        <w:spacing w:after="0"/>
        <w:jc w:val="both"/>
        <w:rPr>
          <w:rFonts w:eastAsia="Times New Roman"/>
          <w:bCs/>
          <w:color w:val="auto"/>
          <w:kern w:val="0"/>
          <w:sz w:val="24"/>
          <w:szCs w:val="24"/>
          <w:lang w:val="en-US"/>
        </w:rPr>
      </w:pPr>
    </w:p>
    <w:p w14:paraId="121073E6" w14:textId="77777777" w:rsidR="006D5BB7" w:rsidRDefault="006D5BB7">
      <w:pPr>
        <w:spacing w:after="0"/>
        <w:jc w:val="both"/>
        <w:rPr>
          <w:rFonts w:eastAsia="Times New Roman"/>
          <w:color w:val="auto"/>
          <w:kern w:val="0"/>
          <w:sz w:val="24"/>
          <w:szCs w:val="24"/>
        </w:rPr>
      </w:pPr>
    </w:p>
    <w:p w14:paraId="1C3AEC90" w14:textId="77777777" w:rsidR="006D5BB7" w:rsidRPr="00BD492C" w:rsidRDefault="00000000">
      <w:pPr>
        <w:spacing w:after="0"/>
        <w:jc w:val="both"/>
        <w:rPr>
          <w:lang w:val="el-GR"/>
        </w:rPr>
      </w:pPr>
      <w:r>
        <w:rPr>
          <w:rFonts w:eastAsia="Times New Roman"/>
          <w:color w:val="auto"/>
          <w:kern w:val="0"/>
          <w:sz w:val="24"/>
          <w:szCs w:val="24"/>
          <w:lang w:val="el-GR"/>
        </w:rPr>
        <w:t xml:space="preserve">Εβδομάδα 10 </w:t>
      </w:r>
    </w:p>
    <w:p w14:paraId="1B921805" w14:textId="77777777" w:rsidR="006D5BB7" w:rsidRPr="00BD492C" w:rsidRDefault="006D5BB7">
      <w:pPr>
        <w:spacing w:after="0"/>
        <w:jc w:val="both"/>
        <w:rPr>
          <w:rFonts w:eastAsia="Times New Roman"/>
          <w:color w:val="auto"/>
          <w:kern w:val="0"/>
          <w:sz w:val="24"/>
          <w:szCs w:val="24"/>
          <w:lang w:val="el-GR"/>
        </w:rPr>
      </w:pPr>
    </w:p>
    <w:p w14:paraId="4EB04B23" w14:textId="77777777" w:rsidR="006D5BB7" w:rsidRPr="00BD492C" w:rsidRDefault="006D5BB7">
      <w:pPr>
        <w:spacing w:after="0"/>
        <w:rPr>
          <w:rFonts w:eastAsia="Times New Roman"/>
          <w:b/>
          <w:color w:val="auto"/>
          <w:kern w:val="0"/>
          <w:sz w:val="24"/>
          <w:szCs w:val="24"/>
          <w:lang w:val="el-GR"/>
        </w:rPr>
      </w:pPr>
    </w:p>
    <w:p w14:paraId="5C3F56F4" w14:textId="77777777" w:rsidR="006D5BB7" w:rsidRDefault="00000000">
      <w:pPr>
        <w:spacing w:after="0"/>
        <w:rPr>
          <w:rFonts w:eastAsia="Times New Roman"/>
          <w:b/>
          <w:color w:val="auto"/>
          <w:kern w:val="0"/>
          <w:sz w:val="24"/>
          <w:szCs w:val="24"/>
          <w:lang w:val="el-GR"/>
        </w:rPr>
      </w:pPr>
      <w:r>
        <w:rPr>
          <w:rFonts w:eastAsia="Times New Roman"/>
          <w:b/>
          <w:color w:val="auto"/>
          <w:kern w:val="0"/>
          <w:sz w:val="24"/>
          <w:szCs w:val="24"/>
          <w:lang w:val="el-GR"/>
        </w:rPr>
        <w:t>Εκπόνηση εργασιών – προετοιμασία παρουσιάσεων</w:t>
      </w:r>
    </w:p>
    <w:p w14:paraId="04F7B54C" w14:textId="77777777" w:rsidR="006D5BB7" w:rsidRDefault="00000000">
      <w:pPr>
        <w:spacing w:after="0"/>
        <w:jc w:val="both"/>
        <w:rPr>
          <w:rFonts w:eastAsia="Times New Roman"/>
          <w:color w:val="auto"/>
          <w:kern w:val="0"/>
          <w:sz w:val="24"/>
          <w:szCs w:val="24"/>
          <w:lang w:val="el-GR"/>
        </w:rPr>
      </w:pPr>
      <w:r>
        <w:rPr>
          <w:rFonts w:eastAsia="Times New Roman"/>
          <w:color w:val="auto"/>
          <w:kern w:val="0"/>
          <w:sz w:val="24"/>
          <w:szCs w:val="24"/>
          <w:lang w:val="el-GR"/>
        </w:rPr>
        <w:t xml:space="preserve">Οι φοιτητές/φοιτήτριες θα αναλάβουν να εκπονήσουν μια ομαδική γραπτή εργασία την οποία θα καταθέσουν μέσω της ηλεκτρονικής τάξης του μαθήματος. Η εργασία θα έχει έκταση 3.500 -4.000 λέξεις (χωρίς να συμπεριλαμβάνονται η βιβλιογραφία και οι </w:t>
      </w:r>
      <w:proofErr w:type="spellStart"/>
      <w:r>
        <w:rPr>
          <w:rFonts w:eastAsia="Times New Roman"/>
          <w:color w:val="auto"/>
          <w:kern w:val="0"/>
          <w:sz w:val="24"/>
          <w:szCs w:val="24"/>
          <w:lang w:val="el-GR"/>
        </w:rPr>
        <w:t>ενδοκειμενικές</w:t>
      </w:r>
      <w:proofErr w:type="spellEnd"/>
      <w:r>
        <w:rPr>
          <w:rFonts w:eastAsia="Times New Roman"/>
          <w:color w:val="auto"/>
          <w:kern w:val="0"/>
          <w:sz w:val="24"/>
          <w:szCs w:val="24"/>
          <w:lang w:val="el-GR"/>
        </w:rPr>
        <w:t xml:space="preserve"> αναφορές). Οι παρουσιάσεις των φοιτητών θα πραγματοποιηθούν κατά τις εβδομάδες 11-13. Οι φοιτητές/φοιτήτριες μπορούν να επιλέξουν να ενταχθούν σε ομάδες 4-5 ατόμων και να εργαστούν σε ένα από τα ακόλουθα θέματα.</w:t>
      </w:r>
    </w:p>
    <w:p w14:paraId="2DF2D23E" w14:textId="77777777" w:rsidR="006D5BB7" w:rsidRDefault="006D5BB7">
      <w:pPr>
        <w:spacing w:after="0"/>
        <w:jc w:val="both"/>
        <w:rPr>
          <w:rFonts w:eastAsia="Times New Roman"/>
          <w:color w:val="auto"/>
          <w:kern w:val="0"/>
          <w:sz w:val="24"/>
          <w:szCs w:val="24"/>
          <w:lang w:val="el-GR"/>
        </w:rPr>
      </w:pPr>
    </w:p>
    <w:p w14:paraId="57785FC0" w14:textId="77777777" w:rsidR="006D5BB7" w:rsidRDefault="00000000">
      <w:pPr>
        <w:spacing w:after="0"/>
        <w:rPr>
          <w:rFonts w:eastAsia="Times New Roman"/>
          <w:b/>
          <w:color w:val="auto"/>
          <w:kern w:val="0"/>
          <w:sz w:val="24"/>
          <w:szCs w:val="24"/>
          <w:lang w:val="el-GR"/>
        </w:rPr>
      </w:pPr>
      <w:r>
        <w:rPr>
          <w:rFonts w:eastAsia="Times New Roman"/>
          <w:b/>
          <w:color w:val="auto"/>
          <w:kern w:val="0"/>
          <w:sz w:val="24"/>
          <w:szCs w:val="24"/>
          <w:lang w:val="el-GR"/>
        </w:rPr>
        <w:t>Θέματα εργασιών</w:t>
      </w:r>
    </w:p>
    <w:p w14:paraId="3FFE30AD" w14:textId="77777777" w:rsidR="006D5BB7" w:rsidRDefault="00000000">
      <w:pPr>
        <w:numPr>
          <w:ilvl w:val="0"/>
          <w:numId w:val="6"/>
        </w:numPr>
        <w:spacing w:after="200"/>
        <w:contextualSpacing/>
        <w:rPr>
          <w:rFonts w:eastAsia="Calibri"/>
          <w:color w:val="auto"/>
          <w:kern w:val="0"/>
          <w:sz w:val="24"/>
          <w:szCs w:val="24"/>
          <w:lang w:val="el-GR"/>
        </w:rPr>
      </w:pPr>
      <w:r>
        <w:rPr>
          <w:rFonts w:eastAsia="Calibri"/>
          <w:color w:val="auto"/>
          <w:kern w:val="0"/>
          <w:sz w:val="24"/>
          <w:szCs w:val="24"/>
          <w:lang w:val="el-GR"/>
        </w:rPr>
        <w:t>Διεθνής Ευθύνη: Το ζήτημα του καταλογισμού</w:t>
      </w:r>
    </w:p>
    <w:p w14:paraId="159E3438" w14:textId="77777777" w:rsidR="006D5BB7" w:rsidRDefault="00000000">
      <w:pPr>
        <w:numPr>
          <w:ilvl w:val="0"/>
          <w:numId w:val="6"/>
        </w:numPr>
        <w:spacing w:after="200"/>
        <w:contextualSpacing/>
        <w:rPr>
          <w:rFonts w:eastAsia="Calibri"/>
          <w:color w:val="auto"/>
          <w:kern w:val="0"/>
          <w:sz w:val="24"/>
          <w:szCs w:val="24"/>
          <w:lang w:val="el-GR"/>
        </w:rPr>
      </w:pPr>
      <w:r>
        <w:rPr>
          <w:rFonts w:eastAsia="Calibri"/>
          <w:color w:val="auto"/>
          <w:kern w:val="0"/>
          <w:sz w:val="24"/>
          <w:szCs w:val="24"/>
          <w:lang w:val="el-GR"/>
        </w:rPr>
        <w:t>Το δικαίωμα στην αυτοδιάθεση: κράτος, αναγνώριση, ανεξαρτησία από το Κόσοβο στην Παλαιστίνη</w:t>
      </w:r>
    </w:p>
    <w:p w14:paraId="7145F3E0" w14:textId="77777777" w:rsidR="006D5BB7" w:rsidRPr="00BD492C" w:rsidRDefault="00000000">
      <w:pPr>
        <w:numPr>
          <w:ilvl w:val="0"/>
          <w:numId w:val="6"/>
        </w:numPr>
        <w:spacing w:after="200"/>
        <w:contextualSpacing/>
        <w:rPr>
          <w:lang w:val="el-GR"/>
        </w:rPr>
      </w:pPr>
      <w:r>
        <w:rPr>
          <w:rFonts w:eastAsia="Calibri"/>
          <w:color w:val="auto"/>
          <w:kern w:val="0"/>
          <w:sz w:val="24"/>
          <w:szCs w:val="24"/>
          <w:lang w:val="el-GR"/>
        </w:rPr>
        <w:t xml:space="preserve">Διεθνής τρομοκρατία και </w:t>
      </w:r>
      <w:r>
        <w:rPr>
          <w:rFonts w:eastAsia="Calibri"/>
          <w:color w:val="auto"/>
          <w:kern w:val="0"/>
          <w:sz w:val="24"/>
          <w:szCs w:val="24"/>
        </w:rPr>
        <w:t>jus</w:t>
      </w:r>
      <w:r>
        <w:rPr>
          <w:rFonts w:eastAsia="Calibri"/>
          <w:color w:val="auto"/>
          <w:kern w:val="0"/>
          <w:sz w:val="24"/>
          <w:szCs w:val="24"/>
          <w:lang w:val="el-GR"/>
        </w:rPr>
        <w:t xml:space="preserve"> </w:t>
      </w:r>
      <w:r>
        <w:rPr>
          <w:rFonts w:eastAsia="Calibri"/>
          <w:color w:val="auto"/>
          <w:kern w:val="0"/>
          <w:sz w:val="24"/>
          <w:szCs w:val="24"/>
        </w:rPr>
        <w:t>ad</w:t>
      </w:r>
      <w:r>
        <w:rPr>
          <w:rFonts w:eastAsia="Calibri"/>
          <w:color w:val="auto"/>
          <w:kern w:val="0"/>
          <w:sz w:val="24"/>
          <w:szCs w:val="24"/>
          <w:lang w:val="el-GR"/>
        </w:rPr>
        <w:t xml:space="preserve"> </w:t>
      </w:r>
      <w:r>
        <w:rPr>
          <w:rFonts w:eastAsia="Calibri"/>
          <w:color w:val="auto"/>
          <w:kern w:val="0"/>
          <w:sz w:val="24"/>
          <w:szCs w:val="24"/>
        </w:rPr>
        <w:t>bellum</w:t>
      </w:r>
    </w:p>
    <w:p w14:paraId="23A9C6AC" w14:textId="77777777" w:rsidR="006D5BB7" w:rsidRPr="00BD492C" w:rsidRDefault="00000000">
      <w:pPr>
        <w:numPr>
          <w:ilvl w:val="0"/>
          <w:numId w:val="6"/>
        </w:numPr>
        <w:spacing w:after="200"/>
        <w:contextualSpacing/>
        <w:rPr>
          <w:lang w:val="el-GR"/>
        </w:rPr>
      </w:pPr>
      <w:r>
        <w:rPr>
          <w:rFonts w:eastAsia="Calibri"/>
          <w:color w:val="auto"/>
          <w:kern w:val="0"/>
          <w:sz w:val="24"/>
          <w:szCs w:val="24"/>
          <w:lang w:val="en-US"/>
        </w:rPr>
        <w:t>Jus</w:t>
      </w:r>
      <w:r>
        <w:rPr>
          <w:rFonts w:eastAsia="Calibri"/>
          <w:color w:val="auto"/>
          <w:kern w:val="0"/>
          <w:sz w:val="24"/>
          <w:szCs w:val="24"/>
          <w:lang w:val="el-GR"/>
        </w:rPr>
        <w:t xml:space="preserve"> </w:t>
      </w:r>
      <w:r>
        <w:rPr>
          <w:rFonts w:eastAsia="Calibri"/>
          <w:color w:val="auto"/>
          <w:kern w:val="0"/>
          <w:sz w:val="24"/>
          <w:szCs w:val="24"/>
          <w:lang w:val="en-US"/>
        </w:rPr>
        <w:t>ad</w:t>
      </w:r>
      <w:r>
        <w:rPr>
          <w:rFonts w:eastAsia="Calibri"/>
          <w:color w:val="auto"/>
          <w:kern w:val="0"/>
          <w:sz w:val="24"/>
          <w:szCs w:val="24"/>
          <w:lang w:val="el-GR"/>
        </w:rPr>
        <w:t xml:space="preserve"> </w:t>
      </w:r>
      <w:r>
        <w:rPr>
          <w:rFonts w:eastAsia="Calibri"/>
          <w:color w:val="auto"/>
          <w:kern w:val="0"/>
          <w:sz w:val="24"/>
          <w:szCs w:val="24"/>
          <w:lang w:val="en-US"/>
        </w:rPr>
        <w:t>Bellum</w:t>
      </w:r>
      <w:r>
        <w:rPr>
          <w:rFonts w:eastAsia="Calibri"/>
          <w:color w:val="auto"/>
          <w:kern w:val="0"/>
          <w:sz w:val="24"/>
          <w:szCs w:val="24"/>
          <w:lang w:val="el-GR"/>
        </w:rPr>
        <w:t>: η περίπτωση της Ουκρανίας</w:t>
      </w:r>
    </w:p>
    <w:p w14:paraId="43377659" w14:textId="77777777" w:rsidR="006D5BB7" w:rsidRPr="00BD492C" w:rsidRDefault="00000000">
      <w:pPr>
        <w:numPr>
          <w:ilvl w:val="0"/>
          <w:numId w:val="6"/>
        </w:numPr>
        <w:spacing w:after="200"/>
        <w:contextualSpacing/>
        <w:rPr>
          <w:lang w:val="el-GR"/>
        </w:rPr>
      </w:pPr>
      <w:r>
        <w:rPr>
          <w:rFonts w:eastAsia="Calibri"/>
          <w:color w:val="auto"/>
          <w:kern w:val="0"/>
          <w:sz w:val="24"/>
          <w:szCs w:val="24"/>
          <w:lang w:val="en-US"/>
        </w:rPr>
        <w:t>Jus</w:t>
      </w:r>
      <w:r>
        <w:rPr>
          <w:rFonts w:eastAsia="Calibri"/>
          <w:color w:val="auto"/>
          <w:kern w:val="0"/>
          <w:sz w:val="24"/>
          <w:szCs w:val="24"/>
          <w:lang w:val="el-GR"/>
        </w:rPr>
        <w:t xml:space="preserve"> </w:t>
      </w:r>
      <w:r>
        <w:rPr>
          <w:rFonts w:eastAsia="Calibri"/>
          <w:color w:val="auto"/>
          <w:kern w:val="0"/>
          <w:sz w:val="24"/>
          <w:szCs w:val="24"/>
          <w:lang w:val="en-US"/>
        </w:rPr>
        <w:t>in</w:t>
      </w:r>
      <w:r>
        <w:rPr>
          <w:rFonts w:eastAsia="Calibri"/>
          <w:color w:val="auto"/>
          <w:kern w:val="0"/>
          <w:sz w:val="24"/>
          <w:szCs w:val="24"/>
          <w:lang w:val="el-GR"/>
        </w:rPr>
        <w:t xml:space="preserve"> </w:t>
      </w:r>
      <w:r>
        <w:rPr>
          <w:rFonts w:eastAsia="Calibri"/>
          <w:color w:val="auto"/>
          <w:kern w:val="0"/>
          <w:sz w:val="24"/>
          <w:szCs w:val="24"/>
          <w:lang w:val="en-US"/>
        </w:rPr>
        <w:t>Bello</w:t>
      </w:r>
      <w:r>
        <w:rPr>
          <w:rFonts w:eastAsia="Calibri"/>
          <w:color w:val="auto"/>
          <w:kern w:val="0"/>
          <w:sz w:val="24"/>
          <w:szCs w:val="24"/>
          <w:lang w:val="el-GR"/>
        </w:rPr>
        <w:t xml:space="preserve">: ο πόλεμος Ισραήλ - </w:t>
      </w:r>
      <w:proofErr w:type="spellStart"/>
      <w:r>
        <w:rPr>
          <w:rFonts w:eastAsia="Calibri"/>
          <w:color w:val="auto"/>
          <w:kern w:val="0"/>
          <w:sz w:val="24"/>
          <w:szCs w:val="24"/>
          <w:lang w:val="el-GR"/>
        </w:rPr>
        <w:t>Χαμάς</w:t>
      </w:r>
      <w:proofErr w:type="spellEnd"/>
    </w:p>
    <w:p w14:paraId="41C40135" w14:textId="77777777" w:rsidR="006D5BB7" w:rsidRDefault="00000000">
      <w:pPr>
        <w:numPr>
          <w:ilvl w:val="0"/>
          <w:numId w:val="6"/>
        </w:numPr>
        <w:spacing w:after="200"/>
        <w:contextualSpacing/>
        <w:rPr>
          <w:rFonts w:eastAsia="Calibri"/>
          <w:color w:val="auto"/>
          <w:kern w:val="0"/>
          <w:sz w:val="24"/>
          <w:szCs w:val="24"/>
          <w:lang w:val="el-GR"/>
        </w:rPr>
      </w:pPr>
      <w:r>
        <w:rPr>
          <w:rFonts w:eastAsia="Calibri"/>
          <w:color w:val="auto"/>
          <w:kern w:val="0"/>
          <w:sz w:val="24"/>
          <w:szCs w:val="24"/>
          <w:lang w:val="el-GR"/>
        </w:rPr>
        <w:t>Προστατεύοντας τα ανθρώπινα δικαιώματα στην πράξη: η διακρατική προσφυγή Γεωργία κ. Ρωσία στα διεθνή δικαιοδοτικά όργανα</w:t>
      </w:r>
    </w:p>
    <w:p w14:paraId="176F3608" w14:textId="77777777" w:rsidR="006D5BB7" w:rsidRDefault="00000000">
      <w:pPr>
        <w:numPr>
          <w:ilvl w:val="0"/>
          <w:numId w:val="6"/>
        </w:numPr>
        <w:spacing w:after="200"/>
        <w:contextualSpacing/>
        <w:rPr>
          <w:rFonts w:eastAsia="Calibri"/>
          <w:color w:val="auto"/>
          <w:kern w:val="0"/>
          <w:sz w:val="24"/>
          <w:szCs w:val="24"/>
          <w:lang w:val="el-GR"/>
        </w:rPr>
      </w:pPr>
      <w:r>
        <w:rPr>
          <w:rFonts w:eastAsia="Calibri"/>
          <w:color w:val="auto"/>
          <w:kern w:val="0"/>
          <w:sz w:val="24"/>
          <w:szCs w:val="24"/>
          <w:lang w:val="el-GR"/>
        </w:rPr>
        <w:t xml:space="preserve"> Διεθνής δικαιοσύνη: η περίπτωση της Ουκρανίας</w:t>
      </w:r>
    </w:p>
    <w:p w14:paraId="20789A57" w14:textId="77777777" w:rsidR="006D5BB7" w:rsidRDefault="006D5BB7">
      <w:pPr>
        <w:rPr>
          <w:sz w:val="24"/>
          <w:szCs w:val="24"/>
          <w:lang w:val="el-GR"/>
        </w:rPr>
      </w:pPr>
    </w:p>
    <w:sectPr w:rsidR="006D5BB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32AE6" w14:textId="77777777" w:rsidR="00875368" w:rsidRDefault="00875368">
      <w:pPr>
        <w:spacing w:after="0" w:line="240" w:lineRule="auto"/>
      </w:pPr>
      <w:r>
        <w:separator/>
      </w:r>
    </w:p>
  </w:endnote>
  <w:endnote w:type="continuationSeparator" w:id="0">
    <w:p w14:paraId="7CFAE83C" w14:textId="77777777" w:rsidR="00875368" w:rsidRDefault="00875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B3C11" w14:textId="77777777" w:rsidR="00875368" w:rsidRDefault="00875368">
      <w:pPr>
        <w:spacing w:after="0" w:line="240" w:lineRule="auto"/>
      </w:pPr>
      <w:r>
        <w:separator/>
      </w:r>
    </w:p>
  </w:footnote>
  <w:footnote w:type="continuationSeparator" w:id="0">
    <w:p w14:paraId="69B82028" w14:textId="77777777" w:rsidR="00875368" w:rsidRDefault="008753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3818F7"/>
    <w:multiLevelType w:val="multilevel"/>
    <w:tmpl w:val="052CBC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DB87D0F"/>
    <w:multiLevelType w:val="multilevel"/>
    <w:tmpl w:val="0F18515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52CA4A26"/>
    <w:multiLevelType w:val="multilevel"/>
    <w:tmpl w:val="9CF4B2B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5E133EDC"/>
    <w:multiLevelType w:val="multilevel"/>
    <w:tmpl w:val="96A0FC6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66D40E96"/>
    <w:multiLevelType w:val="multilevel"/>
    <w:tmpl w:val="9CF01CD6"/>
    <w:lvl w:ilvl="0">
      <w:numFmt w:val="bullet"/>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7D8D57ED"/>
    <w:multiLevelType w:val="multilevel"/>
    <w:tmpl w:val="E744B530"/>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193297736">
    <w:abstractNumId w:val="4"/>
  </w:num>
  <w:num w:numId="2" w16cid:durableId="661398749">
    <w:abstractNumId w:val="2"/>
  </w:num>
  <w:num w:numId="3" w16cid:durableId="1228151227">
    <w:abstractNumId w:val="5"/>
  </w:num>
  <w:num w:numId="4" w16cid:durableId="1993606245">
    <w:abstractNumId w:val="3"/>
  </w:num>
  <w:num w:numId="5" w16cid:durableId="2041590688">
    <w:abstractNumId w:val="0"/>
  </w:num>
  <w:num w:numId="6" w16cid:durableId="596519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6D5BB7"/>
    <w:rsid w:val="006D5BB7"/>
    <w:rsid w:val="007822CF"/>
    <w:rsid w:val="00875368"/>
    <w:rsid w:val="00BD49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0A230"/>
  <w15:docId w15:val="{02F4297E-973D-4594-82B5-E26354667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ptos" w:hAnsi="Times New Roman" w:cs="Times New Roman"/>
        <w:color w:val="000000"/>
        <w:kern w:val="3"/>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ascii="Aptos" w:eastAsia="Times New Roman" w:hAnsi="Aptos"/>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ascii="Aptos" w:eastAsia="Times New Roman" w:hAnsi="Aptos"/>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ascii="Aptos" w:eastAsia="Times New Roman" w:hAnsi="Aptos"/>
      <w:color w:val="0F4761"/>
    </w:rPr>
  </w:style>
  <w:style w:type="paragraph" w:styleId="Heading6">
    <w:name w:val="heading 6"/>
    <w:basedOn w:val="Normal"/>
    <w:next w:val="Normal"/>
    <w:uiPriority w:val="9"/>
    <w:semiHidden/>
    <w:unhideWhenUsed/>
    <w:qFormat/>
    <w:pPr>
      <w:keepNext/>
      <w:keepLines/>
      <w:spacing w:before="40" w:after="0"/>
      <w:outlineLvl w:val="5"/>
    </w:pPr>
    <w:rPr>
      <w:rFonts w:ascii="Aptos" w:eastAsia="Times New Roman" w:hAnsi="Aptos"/>
      <w:i/>
      <w:iCs/>
      <w:color w:val="595959"/>
    </w:rPr>
  </w:style>
  <w:style w:type="paragraph" w:styleId="Heading7">
    <w:name w:val="heading 7"/>
    <w:basedOn w:val="Normal"/>
    <w:next w:val="Normal"/>
    <w:pPr>
      <w:keepNext/>
      <w:keepLines/>
      <w:spacing w:before="40" w:after="0"/>
      <w:outlineLvl w:val="6"/>
    </w:pPr>
    <w:rPr>
      <w:rFonts w:ascii="Aptos" w:eastAsia="Times New Roman" w:hAnsi="Aptos"/>
      <w:color w:val="595959"/>
    </w:rPr>
  </w:style>
  <w:style w:type="paragraph" w:styleId="Heading8">
    <w:name w:val="heading 8"/>
    <w:basedOn w:val="Normal"/>
    <w:next w:val="Normal"/>
    <w:pPr>
      <w:keepNext/>
      <w:keepLines/>
      <w:spacing w:after="0"/>
      <w:outlineLvl w:val="7"/>
    </w:pPr>
    <w:rPr>
      <w:rFonts w:ascii="Aptos" w:eastAsia="Times New Roman" w:hAnsi="Aptos"/>
      <w:i/>
      <w:iCs/>
      <w:color w:val="272727"/>
    </w:rPr>
  </w:style>
  <w:style w:type="paragraph" w:styleId="Heading9">
    <w:name w:val="heading 9"/>
    <w:basedOn w:val="Normal"/>
    <w:next w:val="Normal"/>
    <w:pPr>
      <w:keepNext/>
      <w:keepLines/>
      <w:spacing w:after="0"/>
      <w:outlineLvl w:val="8"/>
    </w:pPr>
    <w:rPr>
      <w:rFonts w:ascii="Aptos" w:eastAsia="Times New Roman" w:hAnsi="Aptos"/>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pPr>
      <w:spacing w:after="0" w:line="240" w:lineRule="auto"/>
    </w:pPr>
  </w:style>
  <w:style w:type="character" w:customStyle="1" w:styleId="FootnoteTextChar">
    <w:name w:val="Footnote Text Char"/>
    <w:basedOn w:val="DefaultParagraphFont"/>
    <w:rPr>
      <w:rFonts w:eastAsia="Aptos"/>
    </w:rPr>
  </w:style>
  <w:style w:type="character" w:styleId="FootnoteReference">
    <w:name w:val="footnote reference"/>
    <w:basedOn w:val="DefaultParagraphFont"/>
    <w:rPr>
      <w:rFonts w:ascii="Times New Roman" w:hAnsi="Times New Roman"/>
      <w:position w:val="0"/>
      <w:sz w:val="20"/>
      <w:vertAlign w:val="superscript"/>
    </w:rPr>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ascii="Aptos" w:eastAsia="Times New Roman" w:hAnsi="Aptos" w:cs="Times New Roman"/>
      <w:color w:val="0F4761"/>
      <w:sz w:val="28"/>
      <w:szCs w:val="28"/>
    </w:rPr>
  </w:style>
  <w:style w:type="character" w:customStyle="1" w:styleId="Heading4Char">
    <w:name w:val="Heading 4 Char"/>
    <w:basedOn w:val="DefaultParagraphFont"/>
    <w:rPr>
      <w:rFonts w:ascii="Aptos" w:eastAsia="Times New Roman" w:hAnsi="Aptos" w:cs="Times New Roman"/>
      <w:i/>
      <w:iCs/>
      <w:color w:val="0F4761"/>
    </w:rPr>
  </w:style>
  <w:style w:type="character" w:customStyle="1" w:styleId="Heading5Char">
    <w:name w:val="Heading 5 Char"/>
    <w:basedOn w:val="DefaultParagraphFont"/>
    <w:rPr>
      <w:rFonts w:ascii="Aptos" w:eastAsia="Times New Roman" w:hAnsi="Aptos" w:cs="Times New Roman"/>
      <w:color w:val="0F4761"/>
    </w:rPr>
  </w:style>
  <w:style w:type="character" w:customStyle="1" w:styleId="Heading6Char">
    <w:name w:val="Heading 6 Char"/>
    <w:basedOn w:val="DefaultParagraphFont"/>
    <w:rPr>
      <w:rFonts w:ascii="Aptos" w:eastAsia="Times New Roman" w:hAnsi="Aptos" w:cs="Times New Roman"/>
      <w:i/>
      <w:iCs/>
      <w:color w:val="595959"/>
    </w:rPr>
  </w:style>
  <w:style w:type="character" w:customStyle="1" w:styleId="Heading7Char">
    <w:name w:val="Heading 7 Char"/>
    <w:basedOn w:val="DefaultParagraphFont"/>
    <w:rPr>
      <w:rFonts w:ascii="Aptos" w:eastAsia="Times New Roman" w:hAnsi="Aptos" w:cs="Times New Roman"/>
      <w:color w:val="595959"/>
    </w:rPr>
  </w:style>
  <w:style w:type="character" w:customStyle="1" w:styleId="Heading8Char">
    <w:name w:val="Heading 8 Char"/>
    <w:basedOn w:val="DefaultParagraphFont"/>
    <w:rPr>
      <w:rFonts w:ascii="Aptos" w:eastAsia="Times New Roman" w:hAnsi="Aptos" w:cs="Times New Roman"/>
      <w:i/>
      <w:iCs/>
      <w:color w:val="272727"/>
    </w:rPr>
  </w:style>
  <w:style w:type="character" w:customStyle="1" w:styleId="Heading9Char">
    <w:name w:val="Heading 9 Char"/>
    <w:basedOn w:val="DefaultParagraphFont"/>
    <w:rPr>
      <w:rFonts w:ascii="Aptos" w:eastAsia="Times New Roman" w:hAnsi="Aptos"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color w:val="auto"/>
      <w:spacing w:val="-10"/>
      <w:sz w:val="56"/>
      <w:szCs w:val="56"/>
    </w:rPr>
  </w:style>
  <w:style w:type="character" w:customStyle="1" w:styleId="TitleChar">
    <w:name w:val="Title Char"/>
    <w:basedOn w:val="DefaultParagraphFont"/>
    <w:rPr>
      <w:rFonts w:ascii="Aptos Display" w:eastAsia="Times New Roman" w:hAnsi="Aptos Display" w:cs="Times New Roman"/>
      <w:color w:val="auto"/>
      <w:spacing w:val="-10"/>
      <w:kern w:val="3"/>
      <w:sz w:val="56"/>
      <w:szCs w:val="56"/>
    </w:rPr>
  </w:style>
  <w:style w:type="paragraph" w:styleId="Subtitle">
    <w:name w:val="Subtitle"/>
    <w:basedOn w:val="Normal"/>
    <w:next w:val="Normal"/>
    <w:uiPriority w:val="11"/>
    <w:qFormat/>
    <w:rPr>
      <w:rFonts w:ascii="Aptos" w:eastAsia="Times New Roman" w:hAnsi="Aptos"/>
      <w:color w:val="595959"/>
      <w:spacing w:val="15"/>
      <w:sz w:val="28"/>
      <w:szCs w:val="28"/>
    </w:rPr>
  </w:style>
  <w:style w:type="character" w:customStyle="1" w:styleId="SubtitleChar">
    <w:name w:val="Subtitle Char"/>
    <w:basedOn w:val="DefaultParagraphFont"/>
    <w:rPr>
      <w:rFonts w:ascii="Aptos" w:eastAsia="Times New Roman" w:hAnsi="Aptos"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1627</Words>
  <Characters>7111</Characters>
  <Application>Microsoft Office Word</Application>
  <DocSecurity>0</DocSecurity>
  <Lines>418</Lines>
  <Paragraphs>242</Paragraphs>
  <ScaleCrop>false</ScaleCrop>
  <Company/>
  <LinksUpToDate>false</LinksUpToDate>
  <CharactersWithSpaces>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dc:description/>
  <cp:lastModifiedBy>Author</cp:lastModifiedBy>
  <cp:revision>2</cp:revision>
  <dcterms:created xsi:type="dcterms:W3CDTF">2025-11-06T09:18:00Z</dcterms:created>
  <dcterms:modified xsi:type="dcterms:W3CDTF">2025-11-06T09:18:00Z</dcterms:modified>
</cp:coreProperties>
</file>