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DAF" w:rsidRPr="00CD5DAF" w:rsidRDefault="00CD5DAF" w:rsidP="00CD5DAF">
      <w:pPr>
        <w:pStyle w:val="Web"/>
        <w:rPr>
          <w:lang w:val="en-US"/>
        </w:rPr>
      </w:pPr>
      <w:r>
        <w:rPr>
          <w:rStyle w:val="a3"/>
        </w:rPr>
        <w:t>1) Ιστορική – Αρχειακή Έρευνα</w:t>
      </w:r>
      <w:r>
        <w:br/>
      </w:r>
      <w:proofErr w:type="spellStart"/>
      <w:r>
        <w:t>Symes</w:t>
      </w:r>
      <w:proofErr w:type="spellEnd"/>
      <w:r>
        <w:t xml:space="preserve">, </w:t>
      </w:r>
      <w:proofErr w:type="spellStart"/>
      <w:r>
        <w:t>Carol</w:t>
      </w:r>
      <w:proofErr w:type="spellEnd"/>
      <w:r>
        <w:t xml:space="preserve">. </w:t>
      </w:r>
      <w:r w:rsidRPr="00CD5DAF">
        <w:rPr>
          <w:lang w:val="en-US"/>
        </w:rPr>
        <w:t xml:space="preserve">“The Medieval Archive and the History of Theatre: Assessing the Written and Unwritten Evidence for </w:t>
      </w:r>
      <w:proofErr w:type="spellStart"/>
      <w:r w:rsidRPr="00CD5DAF">
        <w:rPr>
          <w:lang w:val="en-US"/>
        </w:rPr>
        <w:t>Premodern</w:t>
      </w:r>
      <w:proofErr w:type="spellEnd"/>
      <w:r w:rsidRPr="00CD5DAF">
        <w:rPr>
          <w:lang w:val="en-US"/>
        </w:rPr>
        <w:t xml:space="preserve"> Performance.” </w:t>
      </w:r>
      <w:r w:rsidRPr="00CD5DAF">
        <w:rPr>
          <w:rStyle w:val="a4"/>
          <w:lang w:val="en-US"/>
        </w:rPr>
        <w:t>Theatre Survey</w:t>
      </w:r>
      <w:r w:rsidRPr="00CD5DAF">
        <w:rPr>
          <w:lang w:val="en-US"/>
        </w:rPr>
        <w:t xml:space="preserve"> 52, no. 1 (2011): 29–58. </w:t>
      </w:r>
      <w:hyperlink r:id="rId4" w:tgtFrame="_new" w:history="1">
        <w:r w:rsidRPr="00CD5DAF">
          <w:rPr>
            <w:rStyle w:val="-"/>
            <w:lang w:val="en-US"/>
          </w:rPr>
          <w:t>https://doi.org/10.1017/S0040557411000056</w:t>
        </w:r>
      </w:hyperlink>
      <w:r w:rsidRPr="00CD5DAF">
        <w:rPr>
          <w:lang w:val="en-US"/>
        </w:rPr>
        <w:t>.</w:t>
      </w:r>
      <w:r w:rsidRPr="00CD5DAF">
        <w:rPr>
          <w:lang w:val="en-US"/>
        </w:rPr>
        <w:br/>
        <w:t xml:space="preserve">Stern, Tiffany. “‘A Small-Beer Health to his Second Day’: Playwrights, Prologues, and First Performances in the Early Modern Theatre.” </w:t>
      </w:r>
      <w:r w:rsidRPr="00CD5DAF">
        <w:rPr>
          <w:rStyle w:val="a4"/>
          <w:lang w:val="en-US"/>
        </w:rPr>
        <w:t>Studies in Philology</w:t>
      </w:r>
      <w:r w:rsidRPr="00CD5DAF">
        <w:rPr>
          <w:lang w:val="en-US"/>
        </w:rPr>
        <w:t xml:space="preserve"> 101, no. 2 (2004): 172–199. https://doi.org/10.1353/sip.2004.0010.</w:t>
      </w:r>
      <w:r w:rsidRPr="00CD5DAF">
        <w:rPr>
          <w:lang w:val="en-US"/>
        </w:rPr>
        <w:br/>
      </w:r>
      <w:proofErr w:type="spellStart"/>
      <w:r w:rsidRPr="00CD5DAF">
        <w:rPr>
          <w:lang w:val="en-US"/>
        </w:rPr>
        <w:t>Zelenak</w:t>
      </w:r>
      <w:proofErr w:type="spellEnd"/>
      <w:r w:rsidRPr="00CD5DAF">
        <w:rPr>
          <w:lang w:val="en-US"/>
        </w:rPr>
        <w:t xml:space="preserve">, Michael X. “The Troublesome Reign of King Oedipus: Civic Discourse and Civil Discord in Greek Tragedy.” </w:t>
      </w:r>
      <w:r w:rsidRPr="00CD5DAF">
        <w:rPr>
          <w:rStyle w:val="a4"/>
          <w:lang w:val="en-US"/>
        </w:rPr>
        <w:t>Theatre Research International</w:t>
      </w:r>
      <w:r w:rsidRPr="00CD5DAF">
        <w:rPr>
          <w:lang w:val="en-US"/>
        </w:rPr>
        <w:t xml:space="preserve"> 23, no. 1 (1998): 69–78.</w:t>
      </w:r>
    </w:p>
    <w:p w:rsidR="00CD5DAF" w:rsidRDefault="00CD5DAF" w:rsidP="00CD5DAF">
      <w:pPr>
        <w:pStyle w:val="Web"/>
      </w:pPr>
      <w:r w:rsidRPr="00CD5DAF">
        <w:rPr>
          <w:rStyle w:val="a3"/>
          <w:lang w:val="en-US"/>
        </w:rPr>
        <w:t xml:space="preserve">2) </w:t>
      </w:r>
      <w:r>
        <w:rPr>
          <w:rStyle w:val="a3"/>
        </w:rPr>
        <w:t>Θεωρητική</w:t>
      </w:r>
      <w:r w:rsidRPr="00CD5DAF">
        <w:rPr>
          <w:rStyle w:val="a3"/>
          <w:lang w:val="en-US"/>
        </w:rPr>
        <w:t xml:space="preserve"> – </w:t>
      </w:r>
      <w:r>
        <w:rPr>
          <w:rStyle w:val="a3"/>
        </w:rPr>
        <w:t>Εννοιολογική</w:t>
      </w:r>
      <w:r w:rsidRPr="00CD5DAF">
        <w:rPr>
          <w:rStyle w:val="a3"/>
          <w:lang w:val="en-US"/>
        </w:rPr>
        <w:t xml:space="preserve"> </w:t>
      </w:r>
      <w:r>
        <w:rPr>
          <w:rStyle w:val="a3"/>
        </w:rPr>
        <w:t>Έρευνα</w:t>
      </w:r>
      <w:r w:rsidRPr="00CD5DAF">
        <w:rPr>
          <w:rStyle w:val="a3"/>
          <w:lang w:val="en-US"/>
        </w:rPr>
        <w:t xml:space="preserve"> (</w:t>
      </w:r>
      <w:r>
        <w:rPr>
          <w:rStyle w:val="a3"/>
        </w:rPr>
        <w:t>Θεωρία</w:t>
      </w:r>
      <w:r w:rsidRPr="00CD5DAF">
        <w:rPr>
          <w:rStyle w:val="a3"/>
          <w:lang w:val="en-US"/>
        </w:rPr>
        <w:t xml:space="preserve"> </w:t>
      </w:r>
      <w:r>
        <w:rPr>
          <w:rStyle w:val="a3"/>
        </w:rPr>
        <w:t>Παράστασης</w:t>
      </w:r>
      <w:r w:rsidRPr="00CD5DAF">
        <w:rPr>
          <w:rStyle w:val="a3"/>
          <w:lang w:val="en-US"/>
        </w:rPr>
        <w:t>)</w:t>
      </w:r>
      <w:r w:rsidRPr="00CD5DAF">
        <w:rPr>
          <w:lang w:val="en-US"/>
        </w:rPr>
        <w:br/>
      </w:r>
      <w:proofErr w:type="spellStart"/>
      <w:r w:rsidRPr="00CD5DAF">
        <w:rPr>
          <w:lang w:val="en-US"/>
        </w:rPr>
        <w:t>Schechner</w:t>
      </w:r>
      <w:proofErr w:type="spellEnd"/>
      <w:r w:rsidRPr="00CD5DAF">
        <w:rPr>
          <w:lang w:val="en-US"/>
        </w:rPr>
        <w:t xml:space="preserve">, Richard. “Performance Studies: Interventions and Radical Research.” </w:t>
      </w:r>
      <w:r w:rsidRPr="00CD5DAF">
        <w:rPr>
          <w:rStyle w:val="a4"/>
          <w:lang w:val="en-US"/>
        </w:rPr>
        <w:t>TDR: The Drama Review</w:t>
      </w:r>
      <w:r w:rsidRPr="00CD5DAF">
        <w:rPr>
          <w:lang w:val="en-US"/>
        </w:rPr>
        <w:t xml:space="preserve"> 46, no. 2 (2002): 145–156. https://doi.org/10.1162/105420402320980550.</w:t>
      </w:r>
      <w:r w:rsidRPr="00CD5DAF">
        <w:rPr>
          <w:lang w:val="en-US"/>
        </w:rPr>
        <w:br/>
        <w:t>Lehmann, Hans-</w:t>
      </w:r>
      <w:proofErr w:type="spellStart"/>
      <w:r w:rsidRPr="00CD5DAF">
        <w:rPr>
          <w:lang w:val="en-US"/>
        </w:rPr>
        <w:t>Thies</w:t>
      </w:r>
      <w:proofErr w:type="spellEnd"/>
      <w:r w:rsidRPr="00CD5DAF">
        <w:rPr>
          <w:lang w:val="en-US"/>
        </w:rPr>
        <w:t xml:space="preserve">. “From Logos to Landscape: Text in Contemporary Dramaturgy.” </w:t>
      </w:r>
      <w:r w:rsidRPr="00CD5DAF">
        <w:rPr>
          <w:rStyle w:val="a4"/>
          <w:lang w:val="en-US"/>
        </w:rPr>
        <w:t>Performance Research</w:t>
      </w:r>
      <w:r w:rsidRPr="00CD5DAF">
        <w:rPr>
          <w:lang w:val="en-US"/>
        </w:rPr>
        <w:t xml:space="preserve"> 2, no. 1 (1997): 55–60. https://doi.org/10.1080/13528165.1997.10871532.</w:t>
      </w:r>
      <w:r w:rsidRPr="00CD5DAF">
        <w:rPr>
          <w:lang w:val="en-US"/>
        </w:rPr>
        <w:br/>
      </w:r>
      <w:proofErr w:type="spellStart"/>
      <w:r w:rsidRPr="00CD5DAF">
        <w:rPr>
          <w:lang w:val="en-US"/>
        </w:rPr>
        <w:t>Reinelt</w:t>
      </w:r>
      <w:proofErr w:type="spellEnd"/>
      <w:r w:rsidRPr="00CD5DAF">
        <w:rPr>
          <w:lang w:val="en-US"/>
        </w:rPr>
        <w:t xml:space="preserve">, Janelle G. “The Politics of Discourse: Performativity Meets Theatricality.” </w:t>
      </w:r>
      <w:proofErr w:type="spellStart"/>
      <w:r>
        <w:rPr>
          <w:rStyle w:val="a4"/>
        </w:rPr>
        <w:t>SubStance</w:t>
      </w:r>
      <w:proofErr w:type="spellEnd"/>
      <w:r>
        <w:t xml:space="preserve"> 31, </w:t>
      </w:r>
      <w:proofErr w:type="spellStart"/>
      <w:r>
        <w:t>no</w:t>
      </w:r>
      <w:proofErr w:type="spellEnd"/>
      <w:r>
        <w:t>. 2 (2002): 201–215. https://doi.org/10.1353/sub.2002.0037.</w:t>
      </w:r>
    </w:p>
    <w:p w:rsidR="00CD5DAF" w:rsidRPr="00CD5DAF" w:rsidRDefault="00CD5DAF" w:rsidP="00CD5DAF">
      <w:pPr>
        <w:pStyle w:val="Web"/>
        <w:rPr>
          <w:lang w:val="en-US"/>
        </w:rPr>
      </w:pPr>
      <w:r>
        <w:rPr>
          <w:rStyle w:val="a3"/>
        </w:rPr>
        <w:t>3) Κειμενοκεντρική / Δραματουργική Έρευνα</w:t>
      </w:r>
      <w:r>
        <w:br/>
      </w:r>
      <w:proofErr w:type="spellStart"/>
      <w:r>
        <w:t>Bassnett</w:t>
      </w:r>
      <w:proofErr w:type="spellEnd"/>
      <w:r>
        <w:t xml:space="preserve">, </w:t>
      </w:r>
      <w:proofErr w:type="spellStart"/>
      <w:r>
        <w:t>Susan</w:t>
      </w:r>
      <w:proofErr w:type="spellEnd"/>
      <w:r>
        <w:t xml:space="preserve">. </w:t>
      </w:r>
      <w:r w:rsidRPr="00CD5DAF">
        <w:rPr>
          <w:lang w:val="en-US"/>
        </w:rPr>
        <w:t xml:space="preserve">“Translating for the Theatre: The Case Against </w:t>
      </w:r>
      <w:proofErr w:type="spellStart"/>
      <w:r w:rsidRPr="00CD5DAF">
        <w:rPr>
          <w:rStyle w:val="a4"/>
          <w:lang w:val="en-US"/>
        </w:rPr>
        <w:t>Performability</w:t>
      </w:r>
      <w:proofErr w:type="spellEnd"/>
      <w:r w:rsidRPr="00CD5DAF">
        <w:rPr>
          <w:lang w:val="en-US"/>
        </w:rPr>
        <w:t xml:space="preserve">.” </w:t>
      </w:r>
      <w:r w:rsidRPr="00CD5DAF">
        <w:rPr>
          <w:rStyle w:val="a4"/>
          <w:lang w:val="en-US"/>
        </w:rPr>
        <w:t xml:space="preserve">TTR: </w:t>
      </w:r>
      <w:proofErr w:type="spellStart"/>
      <w:r w:rsidRPr="00CD5DAF">
        <w:rPr>
          <w:rStyle w:val="a4"/>
          <w:lang w:val="en-US"/>
        </w:rPr>
        <w:t>Traduction</w:t>
      </w:r>
      <w:proofErr w:type="spellEnd"/>
      <w:r w:rsidRPr="00CD5DAF">
        <w:rPr>
          <w:rStyle w:val="a4"/>
          <w:lang w:val="en-US"/>
        </w:rPr>
        <w:t xml:space="preserve">, </w:t>
      </w:r>
      <w:proofErr w:type="spellStart"/>
      <w:r w:rsidRPr="00CD5DAF">
        <w:rPr>
          <w:rStyle w:val="a4"/>
          <w:lang w:val="en-US"/>
        </w:rPr>
        <w:t>Terminologie</w:t>
      </w:r>
      <w:proofErr w:type="spellEnd"/>
      <w:r w:rsidRPr="00CD5DAF">
        <w:rPr>
          <w:rStyle w:val="a4"/>
          <w:lang w:val="en-US"/>
        </w:rPr>
        <w:t xml:space="preserve">, </w:t>
      </w:r>
      <w:proofErr w:type="spellStart"/>
      <w:r w:rsidRPr="00CD5DAF">
        <w:rPr>
          <w:rStyle w:val="a4"/>
          <w:lang w:val="en-US"/>
        </w:rPr>
        <w:t>Rédaction</w:t>
      </w:r>
      <w:proofErr w:type="spellEnd"/>
      <w:r w:rsidRPr="00CD5DAF">
        <w:rPr>
          <w:lang w:val="en-US"/>
        </w:rPr>
        <w:t xml:space="preserve"> 4, no. 1 (1991): 99–111. https://doi.org/10.7202/037084ar.</w:t>
      </w:r>
      <w:r w:rsidRPr="00CD5DAF">
        <w:rPr>
          <w:lang w:val="en-US"/>
        </w:rPr>
        <w:br/>
        <w:t xml:space="preserve">Godard, Barbara. “Between Performative and Performance: Translation and Theatre in the Canadian/Quebec Context.” </w:t>
      </w:r>
      <w:r w:rsidRPr="00CD5DAF">
        <w:rPr>
          <w:rStyle w:val="a4"/>
          <w:lang w:val="en-US"/>
        </w:rPr>
        <w:t>Modern Drama</w:t>
      </w:r>
      <w:r w:rsidRPr="00CD5DAF">
        <w:rPr>
          <w:lang w:val="en-US"/>
        </w:rPr>
        <w:t xml:space="preserve"> 43, no. 3 (2000): 327–358. https://doi.org/10.3138/md.43.3.327.</w:t>
      </w:r>
      <w:r w:rsidRPr="00CD5DAF">
        <w:rPr>
          <w:lang w:val="en-US"/>
        </w:rPr>
        <w:br/>
        <w:t xml:space="preserve">Carlson, Marvin. “Memory, Performance, and Event.” In </w:t>
      </w:r>
      <w:r w:rsidRPr="00CD5DAF">
        <w:rPr>
          <w:rStyle w:val="a4"/>
          <w:lang w:val="en-US"/>
        </w:rPr>
        <w:t>Performing the Past: Memory, History, and Identity in Modern Theatre</w:t>
      </w:r>
      <w:r w:rsidRPr="00CD5DAF">
        <w:rPr>
          <w:lang w:val="en-US"/>
        </w:rPr>
        <w:t xml:space="preserve">, edited by Freddie </w:t>
      </w:r>
      <w:proofErr w:type="spellStart"/>
      <w:r w:rsidRPr="00CD5DAF">
        <w:rPr>
          <w:lang w:val="en-US"/>
        </w:rPr>
        <w:t>Rokem</w:t>
      </w:r>
      <w:proofErr w:type="spellEnd"/>
      <w:r w:rsidRPr="00CD5DAF">
        <w:rPr>
          <w:lang w:val="en-US"/>
        </w:rPr>
        <w:t xml:space="preserve"> and Gabriella </w:t>
      </w:r>
      <w:proofErr w:type="spellStart"/>
      <w:r w:rsidRPr="00CD5DAF">
        <w:rPr>
          <w:lang w:val="en-US"/>
        </w:rPr>
        <w:t>Giannachi</w:t>
      </w:r>
      <w:proofErr w:type="spellEnd"/>
      <w:r w:rsidRPr="00CD5DAF">
        <w:rPr>
          <w:lang w:val="en-US"/>
        </w:rPr>
        <w:t>, 7–20. Amsterdam: Amsterdam University Press, 2007.</w:t>
      </w:r>
    </w:p>
    <w:p w:rsidR="00CD5DAF" w:rsidRDefault="00CD5DAF" w:rsidP="00CD5DAF">
      <w:pPr>
        <w:pStyle w:val="Web"/>
      </w:pPr>
      <w:r w:rsidRPr="00CD5DAF">
        <w:rPr>
          <w:rStyle w:val="a3"/>
          <w:lang w:val="en-US"/>
        </w:rPr>
        <w:t xml:space="preserve">4) </w:t>
      </w:r>
      <w:r>
        <w:rPr>
          <w:rStyle w:val="a3"/>
        </w:rPr>
        <w:t>Έρευνα</w:t>
      </w:r>
      <w:r w:rsidRPr="00CD5DAF">
        <w:rPr>
          <w:rStyle w:val="a3"/>
          <w:lang w:val="en-US"/>
        </w:rPr>
        <w:t xml:space="preserve"> </w:t>
      </w:r>
      <w:r>
        <w:rPr>
          <w:rStyle w:val="a3"/>
        </w:rPr>
        <w:t>Παράστασης</w:t>
      </w:r>
      <w:r w:rsidRPr="00CD5DAF">
        <w:rPr>
          <w:rStyle w:val="a3"/>
          <w:lang w:val="en-US"/>
        </w:rPr>
        <w:t xml:space="preserve"> / Practice-as-Research (</w:t>
      </w:r>
      <w:proofErr w:type="spellStart"/>
      <w:r w:rsidRPr="00CD5DAF">
        <w:rPr>
          <w:rStyle w:val="a3"/>
          <w:lang w:val="en-US"/>
        </w:rPr>
        <w:t>PaR</w:t>
      </w:r>
      <w:proofErr w:type="spellEnd"/>
      <w:r w:rsidRPr="00CD5DAF">
        <w:rPr>
          <w:rStyle w:val="a3"/>
          <w:lang w:val="en-US"/>
        </w:rPr>
        <w:t>)</w:t>
      </w:r>
      <w:r w:rsidRPr="00CD5DAF">
        <w:rPr>
          <w:lang w:val="en-US"/>
        </w:rPr>
        <w:br/>
      </w:r>
      <w:proofErr w:type="spellStart"/>
      <w:r w:rsidRPr="00CD5DAF">
        <w:rPr>
          <w:lang w:val="en-US"/>
        </w:rPr>
        <w:t>Haseman</w:t>
      </w:r>
      <w:proofErr w:type="spellEnd"/>
      <w:r w:rsidRPr="00CD5DAF">
        <w:rPr>
          <w:lang w:val="en-US"/>
        </w:rPr>
        <w:t xml:space="preserve">, Brad. “A Manifesto for Performative Research.” </w:t>
      </w:r>
      <w:r w:rsidRPr="00CD5DAF">
        <w:rPr>
          <w:rStyle w:val="a4"/>
          <w:lang w:val="en-US"/>
        </w:rPr>
        <w:t>Media International Australia</w:t>
      </w:r>
      <w:r w:rsidRPr="00CD5DAF">
        <w:rPr>
          <w:lang w:val="en-US"/>
        </w:rPr>
        <w:t xml:space="preserve"> 118, no. 1 (2006): 98–106. </w:t>
      </w:r>
      <w:hyperlink r:id="rId5" w:tgtFrame="_new" w:history="1">
        <w:r w:rsidRPr="00CD5DAF">
          <w:rPr>
            <w:rStyle w:val="-"/>
            <w:lang w:val="en-US"/>
          </w:rPr>
          <w:t>https://doi.org/10.1177/1329878X0611800113</w:t>
        </w:r>
      </w:hyperlink>
      <w:r w:rsidRPr="00CD5DAF">
        <w:rPr>
          <w:lang w:val="en-US"/>
        </w:rPr>
        <w:t>.</w:t>
      </w:r>
      <w:r w:rsidRPr="00CD5DAF">
        <w:rPr>
          <w:lang w:val="en-US"/>
        </w:rPr>
        <w:br/>
        <w:t xml:space="preserve">Nelson, Robin. “Practice-as-Research and the Problem of Knowledge.” </w:t>
      </w:r>
      <w:r w:rsidRPr="00CD5DAF">
        <w:rPr>
          <w:rStyle w:val="a4"/>
          <w:lang w:val="en-US"/>
        </w:rPr>
        <w:t>Performance Research</w:t>
      </w:r>
      <w:r w:rsidRPr="00CD5DAF">
        <w:rPr>
          <w:lang w:val="en-US"/>
        </w:rPr>
        <w:t xml:space="preserve"> 11, no. 4 (2006): 105–116. </w:t>
      </w:r>
      <w:hyperlink r:id="rId6" w:tgtFrame="_new" w:history="1">
        <w:r w:rsidRPr="00CD5DAF">
          <w:rPr>
            <w:rStyle w:val="-"/>
            <w:lang w:val="en-US"/>
          </w:rPr>
          <w:t>https://doi.org/10.1080/13528160701363556</w:t>
        </w:r>
      </w:hyperlink>
      <w:r w:rsidRPr="00CD5DAF">
        <w:rPr>
          <w:lang w:val="en-US"/>
        </w:rPr>
        <w:t>.</w:t>
      </w:r>
      <w:r w:rsidRPr="00CD5DAF">
        <w:rPr>
          <w:lang w:val="en-US"/>
        </w:rPr>
        <w:br/>
      </w:r>
      <w:proofErr w:type="spellStart"/>
      <w:r w:rsidRPr="00CD5DAF">
        <w:rPr>
          <w:lang w:val="en-US"/>
        </w:rPr>
        <w:t>Schechner</w:t>
      </w:r>
      <w:proofErr w:type="spellEnd"/>
      <w:r w:rsidRPr="00CD5DAF">
        <w:rPr>
          <w:lang w:val="en-US"/>
        </w:rPr>
        <w:t xml:space="preserve">, Richard. “Performance Studies: Interventions and Radical Research.” </w:t>
      </w:r>
      <w:r>
        <w:rPr>
          <w:rStyle w:val="a4"/>
        </w:rPr>
        <w:t xml:space="preserve">TDR: The </w:t>
      </w:r>
      <w:proofErr w:type="spellStart"/>
      <w:r>
        <w:rPr>
          <w:rStyle w:val="a4"/>
        </w:rPr>
        <w:t>Drama</w:t>
      </w:r>
      <w:proofErr w:type="spellEnd"/>
      <w:r>
        <w:rPr>
          <w:rStyle w:val="a4"/>
        </w:rPr>
        <w:t xml:space="preserve"> Review</w:t>
      </w:r>
      <w:r>
        <w:t xml:space="preserve"> 46, </w:t>
      </w:r>
      <w:proofErr w:type="spellStart"/>
      <w:r>
        <w:t>no</w:t>
      </w:r>
      <w:proofErr w:type="spellEnd"/>
      <w:r>
        <w:t>. 2 (2002): 145–156. https://doi.org/10.1162/105420402320980550.</w:t>
      </w:r>
    </w:p>
    <w:p w:rsidR="00CD5DAF" w:rsidRPr="00CD5DAF" w:rsidRDefault="00CD5DAF" w:rsidP="00CD5DAF">
      <w:pPr>
        <w:pStyle w:val="Web"/>
        <w:rPr>
          <w:lang w:val="en-US"/>
        </w:rPr>
      </w:pPr>
      <w:r>
        <w:rPr>
          <w:rStyle w:val="a3"/>
        </w:rPr>
        <w:t>5) Κοινωνιολογική και Πολιτισμική Έρευνα του Θεάτρου</w:t>
      </w:r>
      <w:r>
        <w:br/>
      </w:r>
      <w:proofErr w:type="spellStart"/>
      <w:r>
        <w:t>Sedgman</w:t>
      </w:r>
      <w:proofErr w:type="spellEnd"/>
      <w:r>
        <w:t xml:space="preserve">, </w:t>
      </w:r>
      <w:proofErr w:type="spellStart"/>
      <w:r>
        <w:t>Kirsty</w:t>
      </w:r>
      <w:proofErr w:type="spellEnd"/>
      <w:r>
        <w:t xml:space="preserve">. </w:t>
      </w:r>
      <w:r w:rsidRPr="00CD5DAF">
        <w:rPr>
          <w:lang w:val="en-US"/>
        </w:rPr>
        <w:t xml:space="preserve">“On </w:t>
      </w:r>
      <w:proofErr w:type="spellStart"/>
      <w:r w:rsidRPr="00CD5DAF">
        <w:rPr>
          <w:lang w:val="en-US"/>
        </w:rPr>
        <w:t>Rigour</w:t>
      </w:r>
      <w:proofErr w:type="spellEnd"/>
      <w:r w:rsidRPr="00CD5DAF">
        <w:rPr>
          <w:lang w:val="en-US"/>
        </w:rPr>
        <w:t xml:space="preserve"> in Theatre Audience Research.” </w:t>
      </w:r>
      <w:r w:rsidRPr="00CD5DAF">
        <w:rPr>
          <w:rStyle w:val="a4"/>
          <w:lang w:val="en-US"/>
        </w:rPr>
        <w:t>Contemporary Theatre Review</w:t>
      </w:r>
      <w:r w:rsidRPr="00CD5DAF">
        <w:rPr>
          <w:lang w:val="en-US"/>
        </w:rPr>
        <w:t xml:space="preserve"> 29, no. 4 (2019): 462–479. </w:t>
      </w:r>
      <w:hyperlink r:id="rId7" w:tgtFrame="_new" w:history="1">
        <w:r w:rsidRPr="00CD5DAF">
          <w:rPr>
            <w:rStyle w:val="-"/>
            <w:lang w:val="en-US"/>
          </w:rPr>
          <w:t>https://doi.org/10.1080/10486801.2019.1657424</w:t>
        </w:r>
      </w:hyperlink>
      <w:r w:rsidRPr="00CD5DAF">
        <w:rPr>
          <w:lang w:val="en-US"/>
        </w:rPr>
        <w:t>.</w:t>
      </w:r>
      <w:r w:rsidRPr="00CD5DAF">
        <w:rPr>
          <w:lang w:val="en-US"/>
        </w:rPr>
        <w:br/>
        <w:t xml:space="preserve">Reason, Matthew. “Young Audiences and Live Theatre, Part 1: Methods, Participation and Memory in Audience Research.” </w:t>
      </w:r>
      <w:r w:rsidRPr="00CD5DAF">
        <w:rPr>
          <w:rStyle w:val="a4"/>
          <w:lang w:val="en-US"/>
        </w:rPr>
        <w:t>Studies in Theatre and Performance</w:t>
      </w:r>
      <w:r w:rsidRPr="00CD5DAF">
        <w:rPr>
          <w:lang w:val="en-US"/>
        </w:rPr>
        <w:t xml:space="preserve"> 26, no. 2 (2006): 129–145. https://doi.org/10.1386/stap.26.2.129/1.</w:t>
      </w:r>
      <w:r w:rsidRPr="00CD5DAF">
        <w:rPr>
          <w:lang w:val="en-US"/>
        </w:rPr>
        <w:br/>
      </w:r>
      <w:proofErr w:type="spellStart"/>
      <w:r w:rsidRPr="00CD5DAF">
        <w:rPr>
          <w:lang w:val="en-US"/>
        </w:rPr>
        <w:t>Vasiliou</w:t>
      </w:r>
      <w:proofErr w:type="spellEnd"/>
      <w:r w:rsidRPr="00CD5DAF">
        <w:rPr>
          <w:lang w:val="en-US"/>
        </w:rPr>
        <w:t xml:space="preserve">, </w:t>
      </w:r>
      <w:proofErr w:type="spellStart"/>
      <w:r w:rsidRPr="00CD5DAF">
        <w:rPr>
          <w:lang w:val="en-US"/>
        </w:rPr>
        <w:t>Areti</w:t>
      </w:r>
      <w:proofErr w:type="spellEnd"/>
      <w:r w:rsidRPr="00CD5DAF">
        <w:rPr>
          <w:lang w:val="en-US"/>
        </w:rPr>
        <w:t xml:space="preserve">. “Transatlantic Art and International Politics: The Chronicle of George Gershwin’s ‘Folk Opera’ </w:t>
      </w:r>
      <w:r w:rsidRPr="00CD5DAF">
        <w:rPr>
          <w:rStyle w:val="a4"/>
          <w:lang w:val="en-US"/>
        </w:rPr>
        <w:t>Porgy and Bess</w:t>
      </w:r>
      <w:r w:rsidRPr="00CD5DAF">
        <w:rPr>
          <w:lang w:val="en-US"/>
        </w:rPr>
        <w:t xml:space="preserve"> in Cold War Athens (1955).” </w:t>
      </w:r>
      <w:proofErr w:type="spellStart"/>
      <w:r>
        <w:rPr>
          <w:rStyle w:val="a4"/>
        </w:rPr>
        <w:t>Παράβασις</w:t>
      </w:r>
      <w:proofErr w:type="spellEnd"/>
      <w:r w:rsidRPr="00CD5DAF">
        <w:rPr>
          <w:lang w:val="en-US"/>
        </w:rPr>
        <w:t xml:space="preserve"> 15, no. 1 (2017): 27–48.</w:t>
      </w:r>
    </w:p>
    <w:p w:rsidR="00CD5DAF" w:rsidRPr="00CD5DAF" w:rsidRDefault="00CD5DAF" w:rsidP="00CD5DAF">
      <w:pPr>
        <w:pStyle w:val="Web"/>
        <w:rPr>
          <w:lang w:val="en-US"/>
        </w:rPr>
      </w:pPr>
      <w:r w:rsidRPr="00CD5DAF">
        <w:rPr>
          <w:rStyle w:val="a3"/>
          <w:lang w:val="en-US"/>
        </w:rPr>
        <w:lastRenderedPageBreak/>
        <w:t xml:space="preserve">6) </w:t>
      </w:r>
      <w:r>
        <w:rPr>
          <w:rStyle w:val="a3"/>
        </w:rPr>
        <w:t>Εφαρμοσμένη</w:t>
      </w:r>
      <w:r w:rsidRPr="00CD5DAF">
        <w:rPr>
          <w:rStyle w:val="a3"/>
          <w:lang w:val="en-US"/>
        </w:rPr>
        <w:t xml:space="preserve"> </w:t>
      </w:r>
      <w:r>
        <w:rPr>
          <w:rStyle w:val="a3"/>
        </w:rPr>
        <w:t>Θεατρική</w:t>
      </w:r>
      <w:r w:rsidRPr="00CD5DAF">
        <w:rPr>
          <w:rStyle w:val="a3"/>
          <w:lang w:val="en-US"/>
        </w:rPr>
        <w:t xml:space="preserve"> </w:t>
      </w:r>
      <w:r>
        <w:rPr>
          <w:rStyle w:val="a3"/>
        </w:rPr>
        <w:t>Πράξη</w:t>
      </w:r>
      <w:r w:rsidRPr="00CD5DAF">
        <w:rPr>
          <w:rStyle w:val="a3"/>
          <w:lang w:val="en-US"/>
        </w:rPr>
        <w:t xml:space="preserve"> (Applied Theatre: </w:t>
      </w:r>
      <w:r>
        <w:rPr>
          <w:rStyle w:val="a3"/>
        </w:rPr>
        <w:t>Εκπαίδευση</w:t>
      </w:r>
      <w:r w:rsidRPr="00CD5DAF">
        <w:rPr>
          <w:rStyle w:val="a3"/>
          <w:lang w:val="en-US"/>
        </w:rPr>
        <w:t xml:space="preserve">, </w:t>
      </w:r>
      <w:r>
        <w:rPr>
          <w:rStyle w:val="a3"/>
        </w:rPr>
        <w:t>Κοινότητα</w:t>
      </w:r>
      <w:r w:rsidRPr="00CD5DAF">
        <w:rPr>
          <w:rStyle w:val="a3"/>
          <w:lang w:val="en-US"/>
        </w:rPr>
        <w:t xml:space="preserve">, </w:t>
      </w:r>
      <w:r>
        <w:rPr>
          <w:rStyle w:val="a3"/>
        </w:rPr>
        <w:t>Κλινική</w:t>
      </w:r>
      <w:r w:rsidRPr="00CD5DAF">
        <w:rPr>
          <w:rStyle w:val="a3"/>
          <w:lang w:val="en-US"/>
        </w:rPr>
        <w:t>)</w:t>
      </w:r>
      <w:r w:rsidRPr="00CD5DAF">
        <w:rPr>
          <w:lang w:val="en-US"/>
        </w:rPr>
        <w:br/>
        <w:t xml:space="preserve">Fletcher-Watson, Ben. “Seen and Not Heard: Participation as Tyranny in Theatre for Early Years.” </w:t>
      </w:r>
      <w:r w:rsidRPr="00CD5DAF">
        <w:rPr>
          <w:rStyle w:val="a4"/>
          <w:lang w:val="en-US"/>
        </w:rPr>
        <w:t>Research in Drama Education: The Journal of Applied Theatre and Performance</w:t>
      </w:r>
      <w:r w:rsidRPr="00CD5DAF">
        <w:rPr>
          <w:lang w:val="en-US"/>
        </w:rPr>
        <w:t xml:space="preserve"> 20, no. 1 (2015): 24–38. https://doi.org/10.1080/13569783.2014.953470.</w:t>
      </w:r>
      <w:r w:rsidRPr="00CD5DAF">
        <w:rPr>
          <w:lang w:val="en-US"/>
        </w:rPr>
        <w:br/>
        <w:t xml:space="preserve">Young, Susan. “‘It’s a Bit like Flying’: Developing Participatory Theatre with the Under-Twos—A Case Study of Oily Cart.” </w:t>
      </w:r>
      <w:r w:rsidRPr="00CD5DAF">
        <w:rPr>
          <w:rStyle w:val="a4"/>
          <w:lang w:val="en-US"/>
        </w:rPr>
        <w:t>Research in Drama Education: The Journal of Applied Theatre and Performance</w:t>
      </w:r>
      <w:r w:rsidRPr="00CD5DAF">
        <w:rPr>
          <w:lang w:val="en-US"/>
        </w:rPr>
        <w:t xml:space="preserve"> 9, no. 1 (2004): 13–28. https://doi.org/10.1080/1356978042000185885.</w:t>
      </w:r>
      <w:r w:rsidRPr="00CD5DAF">
        <w:rPr>
          <w:lang w:val="en-US"/>
        </w:rPr>
        <w:br/>
        <w:t xml:space="preserve">Shaughnessy, Nicola. “Truths and Lies: Exploring the Ethics of Performance Applications.” </w:t>
      </w:r>
      <w:r w:rsidRPr="00CD5DAF">
        <w:rPr>
          <w:rStyle w:val="a4"/>
          <w:lang w:val="en-US"/>
        </w:rPr>
        <w:t>Research in Drama Education: The Journal of Applied Theatre and Performance</w:t>
      </w:r>
      <w:r w:rsidRPr="00CD5DAF">
        <w:rPr>
          <w:lang w:val="en-US"/>
        </w:rPr>
        <w:t xml:space="preserve"> 10, no. 2 (2005): 201–212.</w:t>
      </w:r>
    </w:p>
    <w:p w:rsidR="001F3581" w:rsidRPr="00CD5DAF" w:rsidRDefault="001F3581">
      <w:pPr>
        <w:rPr>
          <w:lang w:val="en-US"/>
        </w:rPr>
      </w:pPr>
      <w:bookmarkStart w:id="0" w:name="_GoBack"/>
      <w:bookmarkEnd w:id="0"/>
    </w:p>
    <w:sectPr w:rsidR="001F3581" w:rsidRPr="00CD5D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DAF"/>
    <w:rsid w:val="001F3581"/>
    <w:rsid w:val="00C87F32"/>
    <w:rsid w:val="00CD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62D67-B90F-4B98-AA67-FEE168F8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F32"/>
    <w:pPr>
      <w:spacing w:before="120" w:after="120" w:line="360" w:lineRule="auto"/>
      <w:jc w:val="both"/>
    </w:pPr>
    <w:rPr>
      <w:rFonts w:ascii="Times New Roman" w:hAnsi="Times New Roman"/>
      <w:kern w:val="2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D5DAF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eastAsia="el-GR"/>
      <w14:ligatures w14:val="none"/>
    </w:rPr>
  </w:style>
  <w:style w:type="character" w:styleId="a3">
    <w:name w:val="Strong"/>
    <w:basedOn w:val="a0"/>
    <w:uiPriority w:val="22"/>
    <w:qFormat/>
    <w:rsid w:val="00CD5DAF"/>
    <w:rPr>
      <w:b/>
      <w:bCs/>
    </w:rPr>
  </w:style>
  <w:style w:type="character" w:styleId="a4">
    <w:name w:val="Emphasis"/>
    <w:basedOn w:val="a0"/>
    <w:uiPriority w:val="20"/>
    <w:qFormat/>
    <w:rsid w:val="00CD5DAF"/>
    <w:rPr>
      <w:i/>
      <w:iCs/>
    </w:rPr>
  </w:style>
  <w:style w:type="character" w:styleId="-">
    <w:name w:val="Hyperlink"/>
    <w:basedOn w:val="a0"/>
    <w:uiPriority w:val="99"/>
    <w:semiHidden/>
    <w:unhideWhenUsed/>
    <w:rsid w:val="00CD5D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3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80/10486801.2019.16574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80/13528160701363556" TargetMode="External"/><Relationship Id="rId5" Type="http://schemas.openxmlformats.org/officeDocument/2006/relationships/hyperlink" Target="https://doi.org/10.1177/1329878X0611800113" TargetMode="External"/><Relationship Id="rId4" Type="http://schemas.openxmlformats.org/officeDocument/2006/relationships/hyperlink" Target="https://doi.org/10.1017/S004055741100005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2025-11-11T06:50:00Z</dcterms:created>
  <dcterms:modified xsi:type="dcterms:W3CDTF">2025-11-11T06:50:00Z</dcterms:modified>
</cp:coreProperties>
</file>