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6245"/>
      </w:tblGrid>
      <w:tr w:rsidR="005D0030" w:rsidTr="005D0030">
        <w:tc>
          <w:tcPr>
            <w:tcW w:w="8522" w:type="dxa"/>
            <w:gridSpan w:val="2"/>
            <w:tcBorders>
              <w:top w:val="single" w:sz="4" w:space="0" w:color="auto"/>
              <w:left w:val="single" w:sz="4" w:space="0" w:color="auto"/>
              <w:bottom w:val="single" w:sz="4" w:space="0" w:color="auto"/>
              <w:right w:val="single" w:sz="4" w:space="0" w:color="auto"/>
            </w:tcBorders>
            <w:hideMark/>
          </w:tcPr>
          <w:p w:rsidR="005D0030" w:rsidRDefault="005D0030">
            <w:pPr>
              <w:spacing w:after="120"/>
              <w:jc w:val="center"/>
              <w:rPr>
                <w:b/>
              </w:rPr>
            </w:pPr>
            <w:r>
              <w:rPr>
                <w:b/>
              </w:rPr>
              <w:t>ΠΑΝΕΛΛΗΝΙΑ ΕΡΕΥΝΑ ΣΤΟΥΣ ΜΑΘΗΤΕΣ -2010</w:t>
            </w:r>
          </w:p>
          <w:p w:rsidR="005D0030" w:rsidRDefault="005D0030">
            <w:pPr>
              <w:spacing w:after="120"/>
              <w:jc w:val="center"/>
            </w:pPr>
            <w:r>
              <w:rPr>
                <w:b/>
              </w:rPr>
              <w:t>ΤΟΥ ΕΠΙΨΥ (Ερευνητικό Πανεπιστημιακό Ινστιτούτο Ψυχικής Υγιεινής)</w:t>
            </w:r>
            <w:r>
              <w:rPr>
                <w:b/>
                <w:noProof/>
              </w:rPr>
              <w:t xml:space="preserve"> </w:t>
            </w:r>
            <w:r>
              <w:rPr>
                <w:noProof/>
              </w:rPr>
              <w:t>(Κοκκέβη, Ξανθάκη, Φωτίου, &amp; Καναβού, 2011)</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t>ΦΙΛΙΚΕΣ ΣΧΕΣΕΙΣ</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Η πλειονότητα των εφήβων έχουν τουλάχιστον 3 στενούς φίλους και </w:t>
            </w:r>
          </w:p>
          <w:p w:rsidR="005D0030" w:rsidRDefault="005D0030">
            <w:pPr>
              <w:jc w:val="both"/>
            </w:pPr>
            <w:r>
              <w:t xml:space="preserve">συζητούν μαζί τους θέματα που τους απασχολούν. </w:t>
            </w:r>
          </w:p>
          <w:p w:rsidR="005D0030" w:rsidRDefault="005D0030">
            <w:pPr>
              <w:jc w:val="both"/>
            </w:pPr>
            <w:r>
              <w:t xml:space="preserve">Με την ηλικία, οι έφηβοι αναπτύσσουν συχνότερα στενές φιλίες με </w:t>
            </w:r>
          </w:p>
          <w:p w:rsidR="005D0030" w:rsidRDefault="005D0030">
            <w:pPr>
              <w:jc w:val="both"/>
            </w:pPr>
            <w:r>
              <w:t xml:space="preserve">άτομα του άλλου φύλου και συζητούν μαζί τους σημαντικά, προσωπικά θέματα. </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t>ΕΠΙΚΟΙΝΩΝΙΑ ΜΕΤΑΞΥ ΦΙΛΩΝ</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Σχεδόν επτά στα δέκα 15χρονα κορίτσια επικοινωνούν κάθε μέρα με </w:t>
            </w:r>
          </w:p>
          <w:p w:rsidR="005D0030" w:rsidRDefault="005D0030">
            <w:pPr>
              <w:jc w:val="both"/>
            </w:pPr>
            <w:r>
              <w:t xml:space="preserve">φίλες ή φίλους μέσω τηλεφώνου ή υπηρεσιών του διαδικτύου, ενώ </w:t>
            </w:r>
          </w:p>
          <w:p w:rsidR="005D0030" w:rsidRDefault="005D0030">
            <w:pPr>
              <w:jc w:val="both"/>
            </w:pPr>
            <w:r>
              <w:t xml:space="preserve">αντίστοιχα μόλις 2 στα 5 αγόρια. </w:t>
            </w:r>
          </w:p>
          <w:p w:rsidR="005D0030" w:rsidRDefault="005D0030">
            <w:pPr>
              <w:jc w:val="both"/>
            </w:pPr>
            <w:r>
              <w:t xml:space="preserve">Από το 2002 έως το 2010 έχει αυξηθεί σημαντικά ο αριθμός των </w:t>
            </w:r>
          </w:p>
          <w:p w:rsidR="005D0030" w:rsidRDefault="005D0030">
            <w:pPr>
              <w:jc w:val="both"/>
            </w:pPr>
            <w:r>
              <w:t xml:space="preserve">εφήβων που χρησιμοποιούν κάθε μέρα το τηλέφωνο ή το διαδίκτυο </w:t>
            </w:r>
          </w:p>
          <w:p w:rsidR="005D0030" w:rsidRDefault="005D0030">
            <w:pPr>
              <w:jc w:val="both"/>
            </w:pPr>
            <w:r>
              <w:t xml:space="preserve">για να επικοινωνούν με τους φίλους τους. </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t>ΣΥΝΑΝΑΣΤΡΟΦΗ ΕΚΤΟΣ ΣΧΟΛΙΚΟΥ ΧΩΡΟΥ</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Ένα στα τρία 15χρονα αγόρια και 1 στα 5 κορίτσια ίδιας ηλικίας </w:t>
            </w:r>
          </w:p>
          <w:p w:rsidR="005D0030" w:rsidRDefault="005D0030">
            <w:pPr>
              <w:jc w:val="both"/>
            </w:pPr>
            <w:r>
              <w:t>συναντούν την παρέα τους κάθε μέρα μετά το σχολείο. Στα αγόρια οι καθημερινές συναντήσεις μετά το σχολείο αυξάνονται όσο μεγαλώνουν (26,7% στους 11χρονους, 30,1% στους 13χρονους και 34,6% στους 15χρονους).</w:t>
            </w:r>
          </w:p>
          <w:p w:rsidR="005D0030" w:rsidRDefault="005D0030">
            <w:pPr>
              <w:jc w:val="both"/>
            </w:pPr>
            <w:r>
              <w:t xml:space="preserve">Ένα στα 5 αγόρια βγαίνει με την παρέα του τουλάχιστον 4 βράδια την εβδομάδα, ενώ το αντίστοιχο ποσοστό για τα κορίτσια είναι σημαντικά χαμηλότερο. </w:t>
            </w:r>
          </w:p>
          <w:p w:rsidR="005D0030" w:rsidRDefault="005D0030">
            <w:pPr>
              <w:jc w:val="both"/>
            </w:pPr>
            <w:r>
              <w:t>Ένας στους 4 εφήβους (25,3%) δεν βγαίνει καθόλου το βράδυ έξω με την παρέα του, κυρίως τα κορίτσια (29,3%, έναντι 21% των αγοριών). Με την ηλικία μειώνεται σημαντικά αυτό το ποσοστό (49,2% οι 11χρονοι, έναντι 18,1% των 13χρονων και 7,3% των 15χρονων).</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lastRenderedPageBreak/>
              <w:t>ΔΡΑΣΤΗΡΙΟΤΗΤΕΣ ΜΕ ΦΙΛΟΥΣ</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Στις συναντήσεις με τους φίλους τους, οι πρώτοι έφηβοι κυρίως συζητούν, βγαίνουν έξω για διασκέδαση, ακούν μουσική ή χορεύουν (κυρίως τα κορίτσια), ή αθλούνται και παίζουν παιχνίδια, επιτραπέζια και ηλεκτρονικά (κυρίως τα αγόρια). </w:t>
            </w:r>
          </w:p>
          <w:p w:rsidR="005D0030" w:rsidRDefault="005D0030">
            <w:pPr>
              <w:jc w:val="both"/>
            </w:pPr>
            <w:r>
              <w:t xml:space="preserve">Τρία στα 10 αγόρια και κορίτσια ηλικίας 15 ετών (32,3 και 32% αντίστοιχα) δεν κάνουν καμία από κοινού δραστηριότητα με τους φίλους τους, απλώς τριγυρνούν όλοι μαζί τουλάχιστον μία φορά την εβδομάδα. </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t>ΦΙΛΟΙ, ΨΥΧΟΚΟΙΝΩΙΚΗ ΥΓΕΙΑ ΚΑΙ ΧΡΗΣΗ ΟΥΣΙΩΝ</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Περισσότεροι έφηβοι, που έχουν τουλάχιστον 3 στενούς φίλους, δεν εμφανίζουν συμπτώματα διαταραχής συναισθήματος ή διαταραχής στις σχέσεις με τους συνομηλίκους τους, συγκριτικά με εκείνους που έχουν λιγότερους στενούς φίλους. </w:t>
            </w:r>
          </w:p>
          <w:p w:rsidR="005D0030" w:rsidRDefault="005D0030">
            <w:pPr>
              <w:jc w:val="both"/>
            </w:pPr>
            <w:r>
              <w:t xml:space="preserve">Οι 15χρονοι έφηβοι με φίλους που καπνίζουν, πίνουν οινοπνευματώδη ποτά, μεθούν συχνά ή κάνουν χρήση κάνναβης αναφέρουν ότι και οι ίδιοι συμπεριφέρονται παρόμοια, αναφορικά με τη χρήση αυτών των ουσιών, σε υψηλότερα ποσοστά συγκριτικά με όσους έχουν ελάχιστους φίλους (ή ακόμα και κανένα) που κάνουν χρήση αυτών των ουσιών. </w:t>
            </w:r>
          </w:p>
        </w:tc>
      </w:tr>
      <w:tr w:rsidR="005D0030" w:rsidTr="005D0030">
        <w:tc>
          <w:tcPr>
            <w:tcW w:w="2105" w:type="dxa"/>
            <w:tcBorders>
              <w:top w:val="single" w:sz="4" w:space="0" w:color="auto"/>
              <w:left w:val="single" w:sz="4" w:space="0" w:color="auto"/>
              <w:bottom w:val="single" w:sz="4" w:space="0" w:color="auto"/>
              <w:right w:val="single" w:sz="4" w:space="0" w:color="auto"/>
            </w:tcBorders>
            <w:hideMark/>
          </w:tcPr>
          <w:p w:rsidR="005D0030" w:rsidRDefault="005D0030">
            <w:pPr>
              <w:spacing w:after="120"/>
              <w:jc w:val="both"/>
            </w:pPr>
            <w:r>
              <w:t>ΓΟΝΕΙΣ ΚΑΙ ΣΥΝΑΝΤΗΣΕΙΣ ΜΕ ΦΙΛΟΥΣ</w:t>
            </w:r>
          </w:p>
        </w:tc>
        <w:tc>
          <w:tcPr>
            <w:tcW w:w="6417" w:type="dxa"/>
            <w:tcBorders>
              <w:top w:val="single" w:sz="4" w:space="0" w:color="auto"/>
              <w:left w:val="single" w:sz="4" w:space="0" w:color="auto"/>
              <w:bottom w:val="single" w:sz="4" w:space="0" w:color="auto"/>
              <w:right w:val="single" w:sz="4" w:space="0" w:color="auto"/>
            </w:tcBorders>
            <w:hideMark/>
          </w:tcPr>
          <w:p w:rsidR="005D0030" w:rsidRDefault="005D0030">
            <w:pPr>
              <w:jc w:val="both"/>
            </w:pPr>
            <w:r>
              <w:t xml:space="preserve">Στην πλειονότητά τους οι γονείς γνωρίζουν για τις συναντήσεις των εφήβων με την παρέα τους, αλλά με την αύξηση της συχνότητας των συναντήσεων μειώνεται σημαντικά το ποσοστό των γονιών που γνωρίζουν. </w:t>
            </w:r>
          </w:p>
          <w:p w:rsidR="005D0030" w:rsidRDefault="005D0030">
            <w:pPr>
              <w:jc w:val="both"/>
            </w:pPr>
            <w:r>
              <w:t xml:space="preserve">Οι έφηβοι, που βγαίνουν τουλάχιστον 2 βράδια εβδομαδιαίως χωρίς να γνωρίζουν οι γονείς τους πού πηγαίνουν, αναφέρουν σε υψηλότερο ποσοστό ότι καπνίζουν καθημερινά, ότι ήπιαν κάποιο οινοπνευματώδες ποτό τουλάχιστον 6 φορές τον τελευταίο μήνα, ότι έχουν μεθύσει τουλάχιστον 2 φορές, ή (μόνο οι 15χρονοι) ότι έχουν κάνει χρήση κάνναβης τουλάχιστον μία φορά στη ζωή τους </w:t>
            </w:r>
          </w:p>
          <w:p w:rsidR="005D0030" w:rsidRDefault="005D0030">
            <w:pPr>
              <w:keepNext/>
              <w:jc w:val="both"/>
            </w:pPr>
            <w:r>
              <w:t>συγκριτικά με τους εφήβους των οποίων οι γονείς γνωρίζουν πού πηγαίνουν στις νυχτερινές τους εξόδους.</w:t>
            </w:r>
          </w:p>
        </w:tc>
      </w:tr>
    </w:tbl>
    <w:p w:rsidR="00261341" w:rsidRDefault="00261341"/>
    <w:sectPr w:rsidR="00261341" w:rsidSect="002613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030"/>
    <w:rsid w:val="00261341"/>
    <w:rsid w:val="004F00CA"/>
    <w:rsid w:val="005D0030"/>
    <w:rsid w:val="007223A3"/>
    <w:rsid w:val="00F416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30"/>
    <w:pPr>
      <w:spacing w:after="20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7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2731</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2015-11-17T19:17:00Z</dcterms:created>
  <dcterms:modified xsi:type="dcterms:W3CDTF">2015-11-17T19:17:00Z</dcterms:modified>
</cp:coreProperties>
</file>