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0C7" w:rsidRPr="005600C7" w:rsidRDefault="005600C7" w:rsidP="005600C7">
      <w:pPr>
        <w:ind w:left="2127" w:firstLine="720"/>
        <w:rPr>
          <w:rFonts w:ascii="Century" w:hAnsi="Century"/>
          <w:sz w:val="28"/>
          <w:szCs w:val="28"/>
          <w:lang w:val="el-GR"/>
        </w:rPr>
      </w:pPr>
      <w:r w:rsidRPr="005600C7">
        <w:rPr>
          <w:rFonts w:ascii="Century" w:hAnsi="Century"/>
          <w:sz w:val="28"/>
          <w:szCs w:val="28"/>
          <w:lang w:val="el-GR"/>
        </w:rPr>
        <w:t>ΜΕΤΑΠΤΥΧΙΑΚΟ</w:t>
      </w:r>
    </w:p>
    <w:p w:rsidR="005600C7" w:rsidRPr="005600C7" w:rsidRDefault="005600C7" w:rsidP="005600C7">
      <w:pPr>
        <w:ind w:left="2160" w:firstLine="720"/>
        <w:rPr>
          <w:rFonts w:ascii="Century" w:hAnsi="Century"/>
          <w:sz w:val="28"/>
          <w:szCs w:val="28"/>
          <w:lang w:val="el-GR"/>
        </w:rPr>
      </w:pPr>
      <w:r w:rsidRPr="005600C7">
        <w:rPr>
          <w:rFonts w:ascii="Century" w:hAnsi="Century"/>
          <w:sz w:val="28"/>
          <w:szCs w:val="28"/>
          <w:lang w:val="el-GR"/>
        </w:rPr>
        <w:t>ΔΙΚΑΙΟ ΔΙΕΘΝΩΝ ΣΥΝΑΛΛΑΓΩΝ</w:t>
      </w:r>
    </w:p>
    <w:p w:rsidR="005600C7" w:rsidRPr="005600C7" w:rsidRDefault="005600C7" w:rsidP="005600C7">
      <w:pPr>
        <w:ind w:left="2160" w:firstLine="720"/>
        <w:rPr>
          <w:rFonts w:ascii="Century" w:hAnsi="Century"/>
          <w:sz w:val="28"/>
          <w:szCs w:val="28"/>
          <w:lang w:val="el-GR"/>
        </w:rPr>
      </w:pPr>
      <w:r w:rsidRPr="005600C7">
        <w:rPr>
          <w:rFonts w:ascii="Century" w:hAnsi="Century"/>
          <w:sz w:val="28"/>
          <w:szCs w:val="28"/>
          <w:lang w:val="el-GR"/>
        </w:rPr>
        <w:t>2012-2013</w:t>
      </w:r>
    </w:p>
    <w:p w:rsidR="005600C7" w:rsidRPr="005600C7" w:rsidRDefault="005600C7" w:rsidP="005600C7">
      <w:pPr>
        <w:rPr>
          <w:rFonts w:ascii="Century" w:hAnsi="Century"/>
          <w:lang w:val="el-GR"/>
        </w:rPr>
      </w:pPr>
    </w:p>
    <w:p w:rsidR="005600C7" w:rsidRPr="005600C7" w:rsidRDefault="005600C7" w:rsidP="005600C7">
      <w:pPr>
        <w:rPr>
          <w:rFonts w:ascii="Century" w:hAnsi="Century"/>
          <w:lang w:val="el-GR"/>
        </w:rPr>
      </w:pPr>
    </w:p>
    <w:p w:rsidR="005600C7" w:rsidRPr="005600C7" w:rsidRDefault="005600C7" w:rsidP="005600C7">
      <w:pPr>
        <w:rPr>
          <w:rFonts w:ascii="Century" w:hAnsi="Century"/>
          <w:lang w:val="el-GR"/>
        </w:rPr>
      </w:pPr>
    </w:p>
    <w:p w:rsidR="005600C7" w:rsidRPr="005600C7" w:rsidRDefault="005600C7" w:rsidP="005600C7">
      <w:pPr>
        <w:ind w:left="720" w:firstLine="720"/>
        <w:rPr>
          <w:rFonts w:ascii="Century" w:hAnsi="Century"/>
          <w:lang w:val="el-GR"/>
        </w:rPr>
      </w:pPr>
      <w:r w:rsidRPr="005600C7">
        <w:rPr>
          <w:rFonts w:ascii="Century" w:hAnsi="Century"/>
          <w:b/>
          <w:i/>
          <w:lang w:val="el-GR"/>
        </w:rPr>
        <w:t xml:space="preserve">ΘΕΜΑ- </w:t>
      </w:r>
      <w:r w:rsidRPr="005600C7">
        <w:rPr>
          <w:rFonts w:ascii="Century" w:hAnsi="Century"/>
          <w:i/>
          <w:lang w:val="el-GR"/>
        </w:rPr>
        <w:t>Σύγχρονες τάσεις στο δίκαιο διεθνών συναλλαγώ</w:t>
      </w:r>
      <w:r w:rsidRPr="005600C7">
        <w:rPr>
          <w:rFonts w:ascii="Century" w:hAnsi="Century"/>
          <w:lang w:val="el-GR"/>
        </w:rPr>
        <w:t>ν</w:t>
      </w:r>
    </w:p>
    <w:p w:rsidR="005600C7" w:rsidRPr="005600C7" w:rsidRDefault="005600C7" w:rsidP="005600C7">
      <w:pPr>
        <w:rPr>
          <w:rFonts w:ascii="Century" w:hAnsi="Century"/>
          <w:lang w:val="el-GR"/>
        </w:rPr>
      </w:pPr>
    </w:p>
    <w:p w:rsidR="005600C7" w:rsidRPr="005600C7" w:rsidRDefault="005600C7" w:rsidP="005600C7">
      <w:pPr>
        <w:rPr>
          <w:rFonts w:ascii="Century" w:hAnsi="Century"/>
          <w:lang w:val="el-GR"/>
        </w:rPr>
      </w:pPr>
    </w:p>
    <w:p w:rsidR="005600C7" w:rsidRPr="005600C7" w:rsidRDefault="005600C7" w:rsidP="005600C7">
      <w:pPr>
        <w:rPr>
          <w:rFonts w:ascii="Century" w:hAnsi="Century"/>
          <w:lang w:val="el-GR"/>
        </w:rPr>
      </w:pPr>
      <w:r w:rsidRPr="005600C7">
        <w:rPr>
          <w:rFonts w:ascii="Century" w:hAnsi="Century"/>
          <w:lang w:val="el-GR"/>
        </w:rPr>
        <w:t>Ι- Οργάνωση μαθήματος</w:t>
      </w:r>
    </w:p>
    <w:p w:rsidR="005600C7" w:rsidRPr="005600C7" w:rsidRDefault="005600C7" w:rsidP="005600C7">
      <w:pPr>
        <w:rPr>
          <w:rFonts w:ascii="Century" w:hAnsi="Century"/>
          <w:lang w:val="el-GR"/>
        </w:rPr>
      </w:pP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καρτέλα προσωπικών στοιχείων</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συγκρότηση ερευνητικής ομάδας (PIL WATCH)</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συγκρότηση ερευνητική ομάδας νομολογίας ΔΔΣ</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moot court arbitral/ Β Εξάμηνο διήμερο/ συμμετοχή</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βοηθός μαθήματος</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είναι δίωρο κατά τη πρώτη ώρα παρουσιάζεται η θεματική και κατά τη δεύτερη γίνεται συζήτηση οργανωμένης πάνω στην εμβάθυνση των αξόνων προβληματισμού</w:t>
      </w:r>
    </w:p>
    <w:p w:rsidR="005600C7" w:rsidRPr="005600C7" w:rsidRDefault="005600C7" w:rsidP="005600C7">
      <w:pPr>
        <w:ind w:left="720" w:firstLine="720"/>
        <w:rPr>
          <w:rFonts w:ascii="Century" w:hAnsi="Century"/>
          <w:lang w:val="el-GR"/>
        </w:rPr>
      </w:pPr>
    </w:p>
    <w:p w:rsidR="005600C7" w:rsidRPr="005600C7" w:rsidRDefault="005600C7" w:rsidP="005600C7">
      <w:pPr>
        <w:ind w:left="720" w:firstLine="720"/>
        <w:rPr>
          <w:rFonts w:ascii="Century" w:hAnsi="Century"/>
          <w:lang w:val="el-GR"/>
        </w:rPr>
      </w:pPr>
    </w:p>
    <w:p w:rsidR="005600C7" w:rsidRPr="005600C7" w:rsidRDefault="005600C7" w:rsidP="005600C7">
      <w:pPr>
        <w:rPr>
          <w:rFonts w:ascii="Century" w:hAnsi="Century"/>
          <w:lang w:val="el-GR"/>
        </w:rPr>
      </w:pPr>
    </w:p>
    <w:p w:rsidR="005600C7" w:rsidRPr="005600C7" w:rsidRDefault="005600C7" w:rsidP="005600C7">
      <w:pPr>
        <w:rPr>
          <w:rFonts w:ascii="Century" w:hAnsi="Century"/>
          <w:b/>
          <w:u w:val="single"/>
          <w:lang w:val="el-GR"/>
        </w:rPr>
      </w:pPr>
      <w:r w:rsidRPr="005600C7">
        <w:rPr>
          <w:rFonts w:ascii="Century" w:hAnsi="Century"/>
          <w:b/>
          <w:u w:val="single"/>
          <w:lang w:val="el-GR"/>
        </w:rPr>
        <w:t>Εργασίες</w:t>
      </w:r>
    </w:p>
    <w:p w:rsidR="005600C7" w:rsidRPr="005600C7" w:rsidRDefault="005600C7" w:rsidP="005600C7">
      <w:pPr>
        <w:rPr>
          <w:rFonts w:ascii="Century" w:hAnsi="Century"/>
          <w:lang w:val="el-GR"/>
        </w:rPr>
      </w:pPr>
    </w:p>
    <w:p w:rsidR="005600C7" w:rsidRPr="005600C7" w:rsidRDefault="005600C7" w:rsidP="005600C7">
      <w:pPr>
        <w:rPr>
          <w:rFonts w:ascii="Century" w:hAnsi="Century"/>
          <w:lang w:val="el-GR"/>
        </w:rPr>
      </w:pPr>
    </w:p>
    <w:p w:rsidR="005600C7" w:rsidRPr="005600C7" w:rsidRDefault="005600C7" w:rsidP="005600C7">
      <w:pPr>
        <w:rPr>
          <w:rFonts w:ascii="Century" w:hAnsi="Century"/>
          <w:i/>
          <w:lang w:val="el-GR"/>
        </w:rPr>
      </w:pPr>
      <w:r w:rsidRPr="005600C7">
        <w:rPr>
          <w:rFonts w:ascii="Century" w:hAnsi="Century"/>
          <w:i/>
          <w:lang w:val="el-GR"/>
        </w:rPr>
        <w:t>Μορφή</w:t>
      </w:r>
    </w:p>
    <w:p w:rsidR="005600C7" w:rsidRPr="005600C7" w:rsidRDefault="005600C7" w:rsidP="005600C7">
      <w:pPr>
        <w:rPr>
          <w:rFonts w:ascii="Century" w:hAnsi="Century"/>
          <w:i/>
          <w:lang w:val="el-GR"/>
        </w:rPr>
      </w:pPr>
    </w:p>
    <w:p w:rsidR="005600C7" w:rsidRPr="005600C7" w:rsidRDefault="005600C7" w:rsidP="005600C7">
      <w:pPr>
        <w:rPr>
          <w:rFonts w:ascii="Century" w:hAnsi="Century"/>
          <w:lang w:val="el-GR"/>
        </w:rPr>
      </w:pPr>
      <w:r w:rsidRPr="005600C7">
        <w:rPr>
          <w:rFonts w:ascii="Century" w:hAnsi="Century"/>
          <w:lang w:val="el-GR"/>
        </w:rPr>
        <w:t>Διαδραστικό (προετοιμασία από όλους) και συνεργατικό (ανά δύο)</w:t>
      </w:r>
    </w:p>
    <w:p w:rsidR="005600C7" w:rsidRPr="005600C7" w:rsidRDefault="005600C7" w:rsidP="005600C7">
      <w:pPr>
        <w:rPr>
          <w:rFonts w:ascii="Century" w:hAnsi="Century"/>
          <w:lang w:val="el-GR"/>
        </w:rPr>
      </w:pPr>
    </w:p>
    <w:p w:rsidR="005600C7" w:rsidRPr="005600C7" w:rsidRDefault="005600C7" w:rsidP="005600C7">
      <w:pPr>
        <w:rPr>
          <w:rFonts w:ascii="Century" w:hAnsi="Century"/>
          <w:i/>
          <w:lang w:val="el-GR"/>
        </w:rPr>
      </w:pPr>
      <w:r w:rsidRPr="005600C7">
        <w:rPr>
          <w:rFonts w:ascii="Century" w:hAnsi="Century"/>
          <w:i/>
          <w:lang w:val="el-GR"/>
        </w:rPr>
        <w:t>Είδη – κατηγορίες</w:t>
      </w:r>
    </w:p>
    <w:p w:rsidR="005600C7" w:rsidRPr="005600C7" w:rsidRDefault="005600C7" w:rsidP="005600C7">
      <w:pPr>
        <w:rPr>
          <w:rFonts w:ascii="Century" w:hAnsi="Century"/>
          <w:i/>
          <w:lang w:val="el-GR"/>
        </w:rPr>
      </w:pPr>
    </w:p>
    <w:p w:rsidR="005600C7" w:rsidRPr="005600C7" w:rsidRDefault="005600C7" w:rsidP="005600C7">
      <w:pPr>
        <w:rPr>
          <w:rFonts w:ascii="Century" w:hAnsi="Century"/>
          <w:lang w:val="el-GR"/>
        </w:rPr>
      </w:pPr>
      <w:r w:rsidRPr="005600C7">
        <w:rPr>
          <w:rFonts w:ascii="Century" w:hAnsi="Century"/>
          <w:lang w:val="el-GR"/>
        </w:rPr>
        <w:t>-Παρουσίαση αξόνων προβληματισμού μαθήματος και ανάπτυξη</w:t>
      </w:r>
    </w:p>
    <w:p w:rsidR="005600C7" w:rsidRPr="005600C7" w:rsidRDefault="005600C7" w:rsidP="005600C7">
      <w:pPr>
        <w:rPr>
          <w:rFonts w:ascii="Century" w:hAnsi="Century"/>
          <w:lang w:val="el-GR"/>
        </w:rPr>
      </w:pPr>
      <w:r w:rsidRPr="005600C7">
        <w:rPr>
          <w:rFonts w:ascii="Century" w:hAnsi="Century"/>
          <w:lang w:val="el-GR"/>
        </w:rPr>
        <w:t xml:space="preserve">- Συμμετοχή σε PIL Watch- Alert/ παρουσίαση σύντομη εξελίξεων (τα νέα είτε επιστημονικά είτε νομολογιακά ενταγμένα σε πλαίσιο π.χ. ένα νέο βιβλίο και η παρουσίαση του/ μία απόφαση και η ένταξη της στο σύστημα δικαίου/ ένα συνέδριο ή ένας διάλογος στον </w:t>
      </w:r>
      <w:proofErr w:type="spellStart"/>
      <w:r w:rsidRPr="005600C7">
        <w:rPr>
          <w:rFonts w:ascii="Century" w:hAnsi="Century"/>
          <w:lang w:val="el-GR"/>
        </w:rPr>
        <w:t>ιστότοπο</w:t>
      </w:r>
      <w:proofErr w:type="spellEnd"/>
      <w:r w:rsidRPr="005600C7">
        <w:rPr>
          <w:rFonts w:ascii="Century" w:hAnsi="Century"/>
          <w:lang w:val="el-GR"/>
        </w:rPr>
        <w:t xml:space="preserve"> γύρω από μία επιστημονική διαμάχη</w:t>
      </w:r>
    </w:p>
    <w:p w:rsidR="005600C7" w:rsidRPr="005600C7" w:rsidRDefault="005600C7" w:rsidP="005600C7">
      <w:pPr>
        <w:rPr>
          <w:rFonts w:ascii="Century" w:hAnsi="Century"/>
          <w:lang w:val="el-GR"/>
        </w:rPr>
      </w:pPr>
      <w:r w:rsidRPr="005600C7">
        <w:rPr>
          <w:rFonts w:ascii="Century" w:hAnsi="Century"/>
          <w:lang w:val="el-GR"/>
        </w:rPr>
        <w:t>- Συμμετοχή σε ομάδα παρουσίασης κύριων αλλαγών και προβληματισμών του Κανονισμού Βρυξέλλες Ι (προσοχή δικονομικό διεθνές)</w:t>
      </w:r>
    </w:p>
    <w:p w:rsidR="005600C7" w:rsidRPr="005600C7" w:rsidRDefault="005600C7" w:rsidP="005600C7">
      <w:pPr>
        <w:rPr>
          <w:rFonts w:ascii="Century" w:hAnsi="Century"/>
          <w:lang w:val="el-GR"/>
        </w:rPr>
      </w:pPr>
      <w:r w:rsidRPr="005600C7">
        <w:rPr>
          <w:rFonts w:ascii="Century" w:hAnsi="Century"/>
          <w:lang w:val="el-GR"/>
        </w:rPr>
        <w:t>- Συμμετοχή σε ομάδα νομολογίας (αυτό θα έχει ως άξονα την έρευνα της ελληνικής νομολογίας σε τρεις κυρίως θεματικές</w:t>
      </w:r>
    </w:p>
    <w:p w:rsidR="005600C7" w:rsidRPr="005600C7" w:rsidRDefault="005600C7" w:rsidP="005600C7">
      <w:pPr>
        <w:rPr>
          <w:rFonts w:ascii="Century" w:hAnsi="Century"/>
          <w:lang w:val="el-GR"/>
        </w:rPr>
      </w:pP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 xml:space="preserve">αποφάσεις ελληνικών δικαστηρίων εφαρμογής διεθνούς ομοιομόρφου δικαίου και </w:t>
      </w:r>
      <w:proofErr w:type="spellStart"/>
      <w:r w:rsidRPr="005600C7">
        <w:rPr>
          <w:rFonts w:ascii="Century" w:hAnsi="Century"/>
          <w:lang w:val="el-GR"/>
        </w:rPr>
        <w:t>lex</w:t>
      </w:r>
      <w:proofErr w:type="spellEnd"/>
      <w:r w:rsidRPr="005600C7">
        <w:rPr>
          <w:rFonts w:ascii="Century" w:hAnsi="Century"/>
          <w:lang w:val="el-GR"/>
        </w:rPr>
        <w:t xml:space="preserve"> </w:t>
      </w:r>
      <w:proofErr w:type="spellStart"/>
      <w:r w:rsidRPr="005600C7">
        <w:rPr>
          <w:rFonts w:ascii="Century" w:hAnsi="Century"/>
          <w:lang w:val="el-GR"/>
        </w:rPr>
        <w:t>mercatoria</w:t>
      </w:r>
      <w:proofErr w:type="spellEnd"/>
      <w:r w:rsidRPr="005600C7">
        <w:rPr>
          <w:rFonts w:ascii="Century" w:hAnsi="Century"/>
          <w:lang w:val="el-GR"/>
        </w:rPr>
        <w:t xml:space="preserve">- </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 xml:space="preserve">Κανονισμός Ρώμη Ι </w:t>
      </w:r>
      <w:r>
        <w:rPr>
          <w:rFonts w:ascii="Century" w:hAnsi="Century"/>
          <w:lang w:val="el-GR"/>
        </w:rPr>
        <w:t>(και παλαιότερες από Σύμβαση Ρώμης προσοχή ελληνικές ΚΑΙ αλλοδαπές</w:t>
      </w:r>
      <w:bookmarkStart w:id="0" w:name="_GoBack"/>
      <w:bookmarkEnd w:id="0"/>
    </w:p>
    <w:p w:rsidR="005600C7" w:rsidRPr="005600C7" w:rsidRDefault="005600C7" w:rsidP="005600C7">
      <w:pPr>
        <w:rPr>
          <w:rFonts w:ascii="Century" w:hAnsi="Century"/>
          <w:u w:val="single"/>
          <w:lang w:val="el-GR"/>
        </w:rPr>
      </w:pPr>
    </w:p>
    <w:p w:rsidR="005600C7" w:rsidRPr="005600C7" w:rsidRDefault="005600C7" w:rsidP="005600C7">
      <w:pPr>
        <w:rPr>
          <w:rFonts w:ascii="Century" w:hAnsi="Century"/>
          <w:u w:val="single"/>
          <w:lang w:val="el-GR"/>
        </w:rPr>
      </w:pPr>
    </w:p>
    <w:p w:rsidR="005600C7" w:rsidRPr="005600C7" w:rsidRDefault="005600C7" w:rsidP="005600C7">
      <w:pPr>
        <w:rPr>
          <w:rFonts w:ascii="Century" w:hAnsi="Century"/>
          <w:u w:val="single"/>
          <w:lang w:val="el-GR"/>
        </w:rPr>
      </w:pPr>
    </w:p>
    <w:p w:rsidR="005600C7" w:rsidRPr="005600C7" w:rsidRDefault="005600C7" w:rsidP="005600C7">
      <w:pPr>
        <w:rPr>
          <w:rFonts w:ascii="Century" w:hAnsi="Century"/>
          <w:lang w:val="el-GR"/>
        </w:rPr>
      </w:pPr>
      <w:r w:rsidRPr="005600C7">
        <w:rPr>
          <w:rFonts w:ascii="Century" w:hAnsi="Century"/>
          <w:u w:val="single"/>
          <w:lang w:val="el-GR"/>
        </w:rPr>
        <w:t xml:space="preserve">Θεματική  ανά σεμινάριο </w:t>
      </w:r>
    </w:p>
    <w:p w:rsidR="005600C7" w:rsidRPr="005600C7" w:rsidRDefault="005600C7" w:rsidP="005600C7">
      <w:pPr>
        <w:rPr>
          <w:rFonts w:ascii="Century" w:hAnsi="Century"/>
          <w:lang w:val="el-GR"/>
        </w:rPr>
      </w:pPr>
    </w:p>
    <w:p w:rsidR="005600C7" w:rsidRPr="005600C7" w:rsidRDefault="005600C7" w:rsidP="005600C7">
      <w:pPr>
        <w:pStyle w:val="a3"/>
        <w:numPr>
          <w:ilvl w:val="0"/>
          <w:numId w:val="1"/>
        </w:numPr>
        <w:rPr>
          <w:rFonts w:ascii="Century" w:hAnsi="Century"/>
          <w:b/>
          <w:lang w:val="el-GR"/>
        </w:rPr>
      </w:pPr>
      <w:r w:rsidRPr="005600C7">
        <w:rPr>
          <w:rFonts w:ascii="Century" w:hAnsi="Century"/>
          <w:lang w:val="el-GR"/>
        </w:rPr>
        <w:t>Γενική εισαγωγή ΔΔΣ (αντικείμενο – πηγές) – ο κίνδυνος στο ΔΔΣ και η αντιμετώπισή του</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Μέθοδοι- Πηγές- Σύγχρονες τάσεις- επιστημολογική αυτονομία</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 xml:space="preserve">Η διεθνής ενοποίηση του δικαίου- ομοιόμορφο διεθνές  και </w:t>
      </w:r>
      <w:proofErr w:type="spellStart"/>
      <w:r w:rsidRPr="005600C7">
        <w:rPr>
          <w:rFonts w:ascii="Century" w:hAnsi="Century"/>
          <w:lang w:val="el-GR"/>
        </w:rPr>
        <w:t>lex</w:t>
      </w:r>
      <w:proofErr w:type="spellEnd"/>
      <w:r w:rsidRPr="005600C7">
        <w:rPr>
          <w:rFonts w:ascii="Century" w:hAnsi="Century"/>
          <w:lang w:val="el-GR"/>
        </w:rPr>
        <w:t xml:space="preserve"> </w:t>
      </w:r>
      <w:proofErr w:type="spellStart"/>
      <w:r w:rsidRPr="005600C7">
        <w:rPr>
          <w:rFonts w:ascii="Century" w:hAnsi="Century"/>
          <w:lang w:val="el-GR"/>
        </w:rPr>
        <w:t>mercatoria</w:t>
      </w:r>
      <w:proofErr w:type="spellEnd"/>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Κανονισμός Ρώμη Ι (συμβατικές ενοχές)</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Κανονισμός Ρώμη ΙΙ (αδικοπραξίες)</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Ετεροδικία Κράτους</w:t>
      </w:r>
    </w:p>
    <w:p w:rsidR="005600C7" w:rsidRPr="005600C7" w:rsidRDefault="005600C7" w:rsidP="005600C7">
      <w:pPr>
        <w:pStyle w:val="a3"/>
        <w:numPr>
          <w:ilvl w:val="0"/>
          <w:numId w:val="1"/>
        </w:numPr>
        <w:rPr>
          <w:rFonts w:ascii="Century" w:hAnsi="Century"/>
          <w:b/>
          <w:u w:val="single"/>
          <w:lang w:val="el-GR"/>
        </w:rPr>
      </w:pPr>
      <w:r w:rsidRPr="005600C7">
        <w:rPr>
          <w:rFonts w:ascii="Century" w:hAnsi="Century"/>
          <w:lang w:val="el-GR"/>
        </w:rPr>
        <w:t xml:space="preserve">Διεθνείς πτωχεύσεις </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 xml:space="preserve">Διεθνής διαιτησία </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Νομικά ζητήματα από τη διαχείριση χρέους Κρατών</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Παρουσίαση πορισμάτων νομολογίας και γενική σύνθεση μαθήματος</w:t>
      </w:r>
    </w:p>
    <w:p w:rsidR="005600C7" w:rsidRPr="005600C7" w:rsidRDefault="005600C7" w:rsidP="005600C7">
      <w:pPr>
        <w:rPr>
          <w:rFonts w:ascii="Century" w:hAnsi="Century"/>
          <w:lang w:val="el-GR"/>
        </w:rPr>
      </w:pPr>
    </w:p>
    <w:p w:rsidR="005600C7" w:rsidRPr="005600C7" w:rsidRDefault="005600C7" w:rsidP="005600C7">
      <w:pPr>
        <w:rPr>
          <w:rFonts w:ascii="Century" w:hAnsi="Century"/>
          <w:u w:val="single"/>
          <w:lang w:val="el-GR"/>
        </w:rPr>
      </w:pPr>
      <w:r w:rsidRPr="005600C7">
        <w:rPr>
          <w:rFonts w:ascii="Century" w:hAnsi="Century"/>
          <w:u w:val="single"/>
          <w:lang w:val="el-GR"/>
        </w:rPr>
        <w:t>Άξονες προβληματισμού</w:t>
      </w:r>
    </w:p>
    <w:p w:rsidR="005600C7" w:rsidRPr="005600C7" w:rsidRDefault="005600C7" w:rsidP="005600C7">
      <w:pPr>
        <w:rPr>
          <w:rFonts w:ascii="Century" w:hAnsi="Century"/>
          <w:u w:val="single"/>
          <w:lang w:val="el-GR"/>
        </w:rPr>
      </w:pPr>
    </w:p>
    <w:p w:rsidR="005600C7" w:rsidRPr="005600C7" w:rsidRDefault="005600C7" w:rsidP="005600C7">
      <w:pPr>
        <w:rPr>
          <w:rFonts w:ascii="Century" w:hAnsi="Century"/>
          <w:lang w:val="el-GR"/>
        </w:rPr>
      </w:pPr>
      <w:r w:rsidRPr="005600C7">
        <w:rPr>
          <w:rFonts w:ascii="Century" w:hAnsi="Century"/>
          <w:lang w:val="el-GR"/>
        </w:rPr>
        <w:t>Δυνατότητα ανάρτησης πριν τη βδομάδα</w:t>
      </w:r>
    </w:p>
    <w:p w:rsidR="005600C7" w:rsidRPr="005600C7" w:rsidRDefault="005600C7" w:rsidP="005600C7">
      <w:pPr>
        <w:rPr>
          <w:rFonts w:ascii="Century" w:hAnsi="Century"/>
          <w:lang w:val="el-GR"/>
        </w:rPr>
      </w:pPr>
      <w:r w:rsidRPr="005600C7">
        <w:rPr>
          <w:rFonts w:ascii="Century" w:hAnsi="Century"/>
          <w:lang w:val="el-GR"/>
        </w:rPr>
        <w:t>Ανάρτηση ενδεικτικής βιβλιογραφίας</w:t>
      </w:r>
    </w:p>
    <w:p w:rsidR="005600C7" w:rsidRPr="005600C7" w:rsidRDefault="005600C7" w:rsidP="005600C7">
      <w:pPr>
        <w:rPr>
          <w:rFonts w:ascii="Century" w:hAnsi="Century"/>
          <w:u w:val="single"/>
          <w:lang w:val="el-GR"/>
        </w:rPr>
      </w:pPr>
    </w:p>
    <w:p w:rsidR="005600C7" w:rsidRPr="005600C7" w:rsidRDefault="005600C7" w:rsidP="005600C7">
      <w:pPr>
        <w:rPr>
          <w:rFonts w:ascii="Century" w:hAnsi="Century"/>
          <w:u w:val="single"/>
          <w:lang w:val="el-GR"/>
        </w:rPr>
      </w:pPr>
    </w:p>
    <w:p w:rsidR="005600C7" w:rsidRPr="005600C7" w:rsidRDefault="005600C7" w:rsidP="005600C7">
      <w:pPr>
        <w:rPr>
          <w:rFonts w:ascii="Century" w:hAnsi="Century"/>
          <w:u w:val="single"/>
          <w:lang w:val="el-GR"/>
        </w:rPr>
      </w:pPr>
      <w:r w:rsidRPr="005600C7">
        <w:rPr>
          <w:rFonts w:ascii="Century" w:hAnsi="Century"/>
          <w:u w:val="single"/>
          <w:lang w:val="el-GR"/>
        </w:rPr>
        <w:t>Βιβλιογραφία</w:t>
      </w:r>
    </w:p>
    <w:p w:rsidR="005600C7" w:rsidRPr="005600C7" w:rsidRDefault="005600C7" w:rsidP="005600C7">
      <w:pPr>
        <w:rPr>
          <w:rFonts w:ascii="Century" w:hAnsi="Century"/>
          <w:u w:val="single"/>
          <w:lang w:val="el-GR"/>
        </w:rPr>
      </w:pPr>
    </w:p>
    <w:p w:rsidR="005600C7" w:rsidRPr="005600C7" w:rsidRDefault="005600C7" w:rsidP="005600C7">
      <w:pPr>
        <w:rPr>
          <w:rFonts w:ascii="Century" w:hAnsi="Century"/>
          <w:lang w:val="el-GR"/>
        </w:rPr>
      </w:pPr>
      <w:r w:rsidRPr="005600C7">
        <w:rPr>
          <w:rFonts w:ascii="Century" w:hAnsi="Century"/>
          <w:lang w:val="el-GR"/>
        </w:rPr>
        <w:t xml:space="preserve">Σύγχρονη ημεδαπή και αλλοδαπή βιβλιογραφία αναφέρεται στο σύγγραμμα </w:t>
      </w:r>
      <w:r w:rsidRPr="005600C7">
        <w:rPr>
          <w:rFonts w:ascii="Century" w:hAnsi="Century"/>
          <w:i/>
          <w:lang w:val="el-GR"/>
        </w:rPr>
        <w:t>Δίκαιο διεθνών συναλλαγών</w:t>
      </w:r>
      <w:r w:rsidRPr="005600C7">
        <w:rPr>
          <w:rFonts w:ascii="Century" w:hAnsi="Century"/>
          <w:lang w:val="el-GR"/>
        </w:rPr>
        <w:t>, (</w:t>
      </w:r>
      <w:proofErr w:type="spellStart"/>
      <w:r w:rsidRPr="005600C7">
        <w:rPr>
          <w:rFonts w:ascii="Century" w:hAnsi="Century"/>
          <w:lang w:val="el-GR"/>
        </w:rPr>
        <w:t>επιμ</w:t>
      </w:r>
      <w:proofErr w:type="spellEnd"/>
      <w:r w:rsidRPr="005600C7">
        <w:rPr>
          <w:rFonts w:ascii="Century" w:hAnsi="Century"/>
          <w:lang w:val="el-GR"/>
        </w:rPr>
        <w:t>. Χ. Π. Παμπούκη) Νομική Βιβλιοθήκη 2010 και γενική στην αρχή της εισαγωγής και ειδική στην αρχή κάθε ενότητας</w:t>
      </w:r>
    </w:p>
    <w:p w:rsidR="005600C7" w:rsidRPr="005600C7" w:rsidRDefault="005600C7" w:rsidP="005600C7">
      <w:pPr>
        <w:rPr>
          <w:rFonts w:ascii="Century" w:hAnsi="Century"/>
          <w:lang w:val="el-GR"/>
        </w:rPr>
      </w:pPr>
    </w:p>
    <w:p w:rsidR="005600C7" w:rsidRPr="005600C7" w:rsidRDefault="005600C7" w:rsidP="005600C7">
      <w:pPr>
        <w:rPr>
          <w:rFonts w:ascii="Century" w:hAnsi="Century"/>
          <w:u w:val="single"/>
          <w:lang w:val="el-GR"/>
        </w:rPr>
      </w:pPr>
      <w:proofErr w:type="spellStart"/>
      <w:r w:rsidRPr="005600C7">
        <w:rPr>
          <w:rFonts w:ascii="Century" w:hAnsi="Century"/>
          <w:u w:val="single"/>
          <w:lang w:val="el-GR"/>
        </w:rPr>
        <w:t>Ιστότοποι</w:t>
      </w:r>
      <w:proofErr w:type="spellEnd"/>
      <w:r w:rsidRPr="005600C7">
        <w:rPr>
          <w:rFonts w:ascii="Century" w:hAnsi="Century"/>
          <w:u w:val="single"/>
          <w:lang w:val="el-GR"/>
        </w:rPr>
        <w:t xml:space="preserve"> (ενδεικτικά)</w:t>
      </w:r>
    </w:p>
    <w:p w:rsidR="005600C7" w:rsidRPr="005600C7" w:rsidRDefault="005600C7" w:rsidP="005600C7">
      <w:pPr>
        <w:rPr>
          <w:rFonts w:ascii="Century" w:hAnsi="Century"/>
          <w:u w:val="single"/>
          <w:lang w:val="el-GR"/>
        </w:rPr>
      </w:pPr>
    </w:p>
    <w:p w:rsidR="005600C7" w:rsidRPr="005600C7" w:rsidRDefault="005600C7" w:rsidP="005600C7">
      <w:pPr>
        <w:rPr>
          <w:rFonts w:ascii="Century" w:hAnsi="Century"/>
          <w:u w:val="single"/>
          <w:lang w:val="el-GR"/>
        </w:rPr>
      </w:pPr>
    </w:p>
    <w:p w:rsidR="005600C7" w:rsidRPr="005600C7" w:rsidRDefault="005600C7" w:rsidP="005600C7">
      <w:pPr>
        <w:rPr>
          <w:rFonts w:ascii="Century" w:hAnsi="Century"/>
          <w:lang w:val="el-GR"/>
        </w:rPr>
      </w:pPr>
      <w:r w:rsidRPr="005600C7">
        <w:rPr>
          <w:rFonts w:ascii="Century" w:hAnsi="Century"/>
          <w:lang w:val="el-GR"/>
        </w:rPr>
        <w:t>ΙΔΔ</w:t>
      </w:r>
    </w:p>
    <w:p w:rsidR="005600C7" w:rsidRPr="005600C7" w:rsidRDefault="00472D9B" w:rsidP="005600C7">
      <w:pPr>
        <w:rPr>
          <w:rFonts w:ascii="Century" w:hAnsi="Century"/>
          <w:lang w:val="el-GR"/>
        </w:rPr>
      </w:pPr>
      <w:hyperlink r:id="rId7" w:history="1">
        <w:r w:rsidR="005600C7" w:rsidRPr="005600C7">
          <w:rPr>
            <w:rStyle w:val="-"/>
            <w:rFonts w:ascii="Century" w:hAnsi="Century"/>
            <w:lang w:val="el-GR"/>
          </w:rPr>
          <w:t>http://conflictoflaws.net/</w:t>
        </w:r>
      </w:hyperlink>
    </w:p>
    <w:p w:rsidR="005600C7" w:rsidRPr="005600C7" w:rsidRDefault="00472D9B" w:rsidP="005600C7">
      <w:pPr>
        <w:rPr>
          <w:rFonts w:ascii="Century" w:hAnsi="Century"/>
          <w:lang w:val="el-GR"/>
        </w:rPr>
      </w:pPr>
      <w:hyperlink r:id="rId8" w:history="1">
        <w:r w:rsidR="005600C7" w:rsidRPr="005600C7">
          <w:rPr>
            <w:rStyle w:val="-"/>
            <w:rFonts w:ascii="Century" w:hAnsi="Century"/>
            <w:lang w:val="el-GR"/>
          </w:rPr>
          <w:t>http://www.hcch.net</w:t>
        </w:r>
      </w:hyperlink>
    </w:p>
    <w:p w:rsidR="005600C7" w:rsidRPr="005600C7" w:rsidRDefault="005600C7" w:rsidP="005600C7">
      <w:pPr>
        <w:rPr>
          <w:rFonts w:ascii="Century" w:hAnsi="Century"/>
          <w:lang w:val="el-GR"/>
        </w:rPr>
      </w:pPr>
    </w:p>
    <w:p w:rsidR="005600C7" w:rsidRPr="005600C7" w:rsidRDefault="005600C7" w:rsidP="005600C7">
      <w:pPr>
        <w:rPr>
          <w:rFonts w:ascii="Century" w:hAnsi="Century"/>
          <w:lang w:val="el-GR"/>
        </w:rPr>
      </w:pPr>
      <w:r w:rsidRPr="005600C7">
        <w:rPr>
          <w:rFonts w:ascii="Century" w:hAnsi="Century"/>
          <w:lang w:val="el-GR"/>
        </w:rPr>
        <w:t>Ενοποίηση του δικαίου</w:t>
      </w:r>
    </w:p>
    <w:p w:rsidR="005600C7" w:rsidRPr="005600C7" w:rsidRDefault="00472D9B" w:rsidP="005600C7">
      <w:pPr>
        <w:rPr>
          <w:rFonts w:ascii="Century" w:hAnsi="Century"/>
          <w:u w:val="single"/>
          <w:lang w:val="el-GR"/>
        </w:rPr>
      </w:pPr>
      <w:hyperlink r:id="rId9" w:history="1">
        <w:r w:rsidR="005600C7" w:rsidRPr="005600C7">
          <w:rPr>
            <w:rStyle w:val="-"/>
            <w:rFonts w:ascii="Century" w:hAnsi="Century"/>
            <w:lang w:val="el-GR"/>
          </w:rPr>
          <w:t>http://www.unidroit.org/</w:t>
        </w:r>
      </w:hyperlink>
    </w:p>
    <w:p w:rsidR="005600C7" w:rsidRPr="005600C7" w:rsidRDefault="00472D9B" w:rsidP="005600C7">
      <w:pPr>
        <w:rPr>
          <w:rFonts w:ascii="Century" w:hAnsi="Century"/>
          <w:u w:val="single"/>
          <w:lang w:val="el-GR"/>
        </w:rPr>
      </w:pPr>
      <w:hyperlink r:id="rId10" w:history="1">
        <w:r w:rsidR="005600C7" w:rsidRPr="005600C7">
          <w:rPr>
            <w:rStyle w:val="-"/>
            <w:rFonts w:ascii="Century" w:hAnsi="Century"/>
            <w:lang w:val="el-GR"/>
          </w:rPr>
          <w:t>http://www.unilex.info/</w:t>
        </w:r>
      </w:hyperlink>
      <w:r w:rsidR="005600C7" w:rsidRPr="005600C7">
        <w:rPr>
          <w:rStyle w:val="a5"/>
          <w:rFonts w:ascii="Century" w:hAnsi="Century"/>
          <w:u w:val="single"/>
          <w:lang w:val="el-GR"/>
        </w:rPr>
        <w:footnoteReference w:id="1"/>
      </w:r>
    </w:p>
    <w:p w:rsidR="005600C7" w:rsidRPr="005600C7" w:rsidRDefault="005600C7" w:rsidP="005600C7">
      <w:pPr>
        <w:rPr>
          <w:rFonts w:ascii="Century" w:hAnsi="Century"/>
          <w:u w:val="single"/>
          <w:lang w:val="el-GR"/>
        </w:rPr>
      </w:pPr>
    </w:p>
    <w:p w:rsidR="005600C7" w:rsidRPr="005600C7" w:rsidRDefault="005600C7" w:rsidP="005600C7">
      <w:pPr>
        <w:rPr>
          <w:rFonts w:ascii="Century" w:hAnsi="Century"/>
          <w:lang w:val="el-GR"/>
        </w:rPr>
      </w:pPr>
      <w:r w:rsidRPr="005600C7">
        <w:rPr>
          <w:rFonts w:ascii="Century" w:hAnsi="Century"/>
          <w:lang w:val="el-GR"/>
        </w:rPr>
        <w:t>Ευρωπαϊκό δίκαιο</w:t>
      </w:r>
    </w:p>
    <w:p w:rsidR="005600C7" w:rsidRPr="005600C7" w:rsidRDefault="00472D9B" w:rsidP="005600C7">
      <w:pPr>
        <w:rPr>
          <w:rFonts w:ascii="Century" w:hAnsi="Century"/>
          <w:u w:val="single"/>
          <w:lang w:val="el-GR"/>
        </w:rPr>
      </w:pPr>
      <w:hyperlink r:id="rId11" w:history="1">
        <w:r w:rsidR="005600C7" w:rsidRPr="005600C7">
          <w:rPr>
            <w:rStyle w:val="-"/>
            <w:rFonts w:ascii="Century" w:hAnsi="Century"/>
            <w:lang w:val="el-GR"/>
          </w:rPr>
          <w:t>http://europa.eu/</w:t>
        </w:r>
      </w:hyperlink>
    </w:p>
    <w:p w:rsidR="005600C7" w:rsidRPr="005600C7" w:rsidRDefault="00472D9B" w:rsidP="005600C7">
      <w:pPr>
        <w:rPr>
          <w:rFonts w:ascii="Century" w:hAnsi="Century"/>
          <w:u w:val="single"/>
          <w:lang w:val="el-GR"/>
        </w:rPr>
      </w:pPr>
      <w:hyperlink r:id="rId12" w:history="1">
        <w:r w:rsidR="005600C7" w:rsidRPr="005600C7">
          <w:rPr>
            <w:rStyle w:val="-"/>
            <w:rFonts w:ascii="Century" w:hAnsi="Century"/>
            <w:lang w:val="el-GR"/>
          </w:rPr>
          <w:t>http://ec.europa.eu/prelex/rech_avancee.cfm?CL=en</w:t>
        </w:r>
      </w:hyperlink>
      <w:r w:rsidR="005600C7" w:rsidRPr="005600C7">
        <w:rPr>
          <w:rStyle w:val="a5"/>
          <w:rFonts w:ascii="Century" w:hAnsi="Century"/>
          <w:u w:val="single"/>
          <w:lang w:val="el-GR"/>
        </w:rPr>
        <w:footnoteReference w:id="2"/>
      </w:r>
    </w:p>
    <w:p w:rsidR="005600C7" w:rsidRPr="005600C7" w:rsidRDefault="005600C7" w:rsidP="005600C7">
      <w:pPr>
        <w:rPr>
          <w:rFonts w:ascii="Century" w:hAnsi="Century"/>
          <w:u w:val="single"/>
          <w:lang w:val="el-GR"/>
        </w:rPr>
      </w:pPr>
    </w:p>
    <w:p w:rsidR="005600C7" w:rsidRPr="005600C7" w:rsidRDefault="005600C7" w:rsidP="005600C7">
      <w:pPr>
        <w:rPr>
          <w:rFonts w:ascii="Century" w:hAnsi="Century"/>
          <w:lang w:val="el-GR"/>
        </w:rPr>
      </w:pPr>
      <w:r w:rsidRPr="005600C7">
        <w:rPr>
          <w:rFonts w:ascii="Century" w:hAnsi="Century"/>
          <w:lang w:val="el-GR"/>
        </w:rPr>
        <w:t>Άρθρα κοινωνικών επιστημών</w:t>
      </w:r>
    </w:p>
    <w:p w:rsidR="005600C7" w:rsidRPr="005600C7" w:rsidRDefault="00472D9B" w:rsidP="005600C7">
      <w:pPr>
        <w:rPr>
          <w:rFonts w:ascii="Century" w:hAnsi="Century"/>
          <w:u w:val="single"/>
          <w:lang w:val="el-GR"/>
        </w:rPr>
      </w:pPr>
      <w:hyperlink r:id="rId13" w:history="1">
        <w:r w:rsidR="005600C7" w:rsidRPr="005600C7">
          <w:rPr>
            <w:rStyle w:val="-"/>
            <w:rFonts w:ascii="Century" w:hAnsi="Century"/>
            <w:lang w:val="el-GR"/>
          </w:rPr>
          <w:t>http://www.ssrn.com/</w:t>
        </w:r>
      </w:hyperlink>
      <w:r w:rsidR="005600C7" w:rsidRPr="005600C7">
        <w:rPr>
          <w:rStyle w:val="a5"/>
          <w:rFonts w:ascii="Century" w:hAnsi="Century"/>
          <w:u w:val="single"/>
          <w:lang w:val="el-GR"/>
        </w:rPr>
        <w:footnoteReference w:id="3"/>
      </w:r>
    </w:p>
    <w:p w:rsidR="005600C7" w:rsidRPr="005600C7" w:rsidRDefault="005600C7" w:rsidP="005600C7">
      <w:pPr>
        <w:rPr>
          <w:rFonts w:ascii="Century" w:hAnsi="Century"/>
          <w:u w:val="single"/>
          <w:lang w:val="el-GR"/>
        </w:rPr>
      </w:pPr>
    </w:p>
    <w:p w:rsidR="005600C7" w:rsidRPr="005600C7" w:rsidRDefault="005600C7" w:rsidP="005600C7">
      <w:pPr>
        <w:rPr>
          <w:rFonts w:ascii="Century" w:hAnsi="Century"/>
          <w:u w:val="single"/>
          <w:lang w:val="el-GR"/>
        </w:rPr>
      </w:pPr>
    </w:p>
    <w:p w:rsidR="005600C7" w:rsidRPr="005600C7" w:rsidRDefault="005600C7" w:rsidP="005600C7">
      <w:pPr>
        <w:rPr>
          <w:rFonts w:ascii="Century" w:hAnsi="Century"/>
          <w:u w:val="single"/>
          <w:lang w:val="el-GR"/>
        </w:rPr>
      </w:pPr>
    </w:p>
    <w:p w:rsidR="005600C7" w:rsidRPr="005600C7" w:rsidRDefault="005600C7" w:rsidP="005600C7">
      <w:pPr>
        <w:rPr>
          <w:rFonts w:ascii="Century" w:hAnsi="Century"/>
          <w:u w:val="single"/>
          <w:lang w:val="el-GR"/>
        </w:rPr>
      </w:pPr>
      <w:r w:rsidRPr="005600C7">
        <w:rPr>
          <w:rFonts w:ascii="Century" w:hAnsi="Century"/>
          <w:u w:val="single"/>
          <w:lang w:val="el-GR"/>
        </w:rPr>
        <w:t>Στόχος μαθήματος</w:t>
      </w:r>
    </w:p>
    <w:p w:rsidR="005600C7" w:rsidRPr="005600C7" w:rsidRDefault="005600C7" w:rsidP="005600C7">
      <w:pPr>
        <w:rPr>
          <w:rFonts w:ascii="Century" w:hAnsi="Century"/>
          <w:lang w:val="el-GR"/>
        </w:rPr>
      </w:pPr>
    </w:p>
    <w:p w:rsidR="005600C7" w:rsidRPr="005600C7" w:rsidRDefault="005600C7" w:rsidP="005600C7">
      <w:pPr>
        <w:pStyle w:val="a3"/>
        <w:numPr>
          <w:ilvl w:val="0"/>
          <w:numId w:val="1"/>
        </w:numPr>
        <w:rPr>
          <w:rFonts w:ascii="Century" w:hAnsi="Century"/>
          <w:u w:val="single"/>
          <w:lang w:val="el-GR"/>
        </w:rPr>
      </w:pPr>
      <w:r w:rsidRPr="005600C7">
        <w:rPr>
          <w:rFonts w:ascii="Century" w:hAnsi="Century"/>
          <w:lang w:val="el-GR"/>
        </w:rPr>
        <w:t xml:space="preserve">Να επιχειρηθεί μία </w:t>
      </w:r>
      <w:proofErr w:type="spellStart"/>
      <w:r w:rsidRPr="005600C7">
        <w:rPr>
          <w:rFonts w:ascii="Century" w:hAnsi="Century"/>
          <w:lang w:val="el-GR"/>
        </w:rPr>
        <w:t>επικαιροποίηση</w:t>
      </w:r>
      <w:proofErr w:type="spellEnd"/>
      <w:r w:rsidRPr="005600C7">
        <w:rPr>
          <w:rFonts w:ascii="Century" w:hAnsi="Century"/>
          <w:lang w:val="el-GR"/>
        </w:rPr>
        <w:t xml:space="preserve"> των δύο σύγχρονων κοινοτικών εργαλείων Ρώμη Ι και ΙΙ (</w:t>
      </w:r>
      <w:proofErr w:type="spellStart"/>
      <w:r w:rsidRPr="005600C7">
        <w:rPr>
          <w:rFonts w:ascii="Century" w:hAnsi="Century"/>
          <w:lang w:val="el-GR"/>
        </w:rPr>
        <w:t>Κανονσιμοί</w:t>
      </w:r>
      <w:proofErr w:type="spellEnd"/>
      <w:r w:rsidRPr="005600C7">
        <w:rPr>
          <w:rFonts w:ascii="Century" w:hAnsi="Century"/>
          <w:lang w:val="el-GR"/>
        </w:rPr>
        <w:t xml:space="preserve"> συμβατικών ενοχών και </w:t>
      </w:r>
      <w:proofErr w:type="spellStart"/>
      <w:r w:rsidRPr="005600C7">
        <w:rPr>
          <w:rFonts w:ascii="Century" w:hAnsi="Century"/>
          <w:lang w:val="el-GR"/>
        </w:rPr>
        <w:t>αδικοπρακτικών</w:t>
      </w:r>
      <w:proofErr w:type="spellEnd"/>
      <w:r w:rsidRPr="005600C7">
        <w:rPr>
          <w:rFonts w:ascii="Century" w:hAnsi="Century"/>
          <w:lang w:val="el-GR"/>
        </w:rPr>
        <w:t xml:space="preserve">) </w:t>
      </w:r>
    </w:p>
    <w:p w:rsidR="005600C7" w:rsidRPr="005600C7" w:rsidRDefault="005600C7" w:rsidP="005600C7">
      <w:pPr>
        <w:pStyle w:val="a3"/>
        <w:numPr>
          <w:ilvl w:val="0"/>
          <w:numId w:val="1"/>
        </w:numPr>
        <w:rPr>
          <w:rFonts w:ascii="Century" w:hAnsi="Century"/>
          <w:u w:val="single"/>
          <w:lang w:val="el-GR"/>
        </w:rPr>
      </w:pPr>
      <w:r w:rsidRPr="005600C7">
        <w:rPr>
          <w:rFonts w:ascii="Century" w:hAnsi="Century" w:hint="eastAsia"/>
          <w:lang w:val="el-GR"/>
        </w:rPr>
        <w:t>Ν</w:t>
      </w:r>
      <w:r w:rsidRPr="005600C7">
        <w:rPr>
          <w:rFonts w:ascii="Century" w:hAnsi="Century"/>
          <w:lang w:val="el-GR"/>
        </w:rPr>
        <w:t>α επιχειρηθεί η καταγραφή των σύγχρονων τάσεων στο ΔΔΣ. Ο δ άξονας διδασκαλίας υποστηρίζεται από την ομάδα εργασίας Private international law watch (που έχει ήδη συσταθεί και λειτουργεί) την ομάδα εργασίας νομολογίας (που έχει ήδη συσταθεί) και την ομάδα νομοθετικής επικαιροποίησης (υπό σύσταση)</w:t>
      </w:r>
    </w:p>
    <w:p w:rsidR="005600C7" w:rsidRPr="005600C7" w:rsidRDefault="005600C7" w:rsidP="005600C7">
      <w:pPr>
        <w:rPr>
          <w:rFonts w:ascii="Century" w:hAnsi="Century"/>
          <w:u w:val="single"/>
          <w:lang w:val="el-GR"/>
        </w:rPr>
      </w:pPr>
    </w:p>
    <w:p w:rsidR="005600C7" w:rsidRPr="005600C7" w:rsidRDefault="005600C7" w:rsidP="005600C7">
      <w:pPr>
        <w:rPr>
          <w:rFonts w:ascii="Century" w:hAnsi="Century"/>
          <w:u w:val="single"/>
          <w:lang w:val="el-GR"/>
        </w:rPr>
      </w:pPr>
    </w:p>
    <w:p w:rsidR="005600C7" w:rsidRPr="005600C7" w:rsidRDefault="005600C7" w:rsidP="005600C7">
      <w:pPr>
        <w:ind w:left="720" w:firstLine="720"/>
        <w:rPr>
          <w:rFonts w:ascii="Century" w:hAnsi="Century"/>
          <w:u w:val="single"/>
          <w:lang w:val="el-GR"/>
        </w:rPr>
      </w:pPr>
      <w:r w:rsidRPr="005600C7">
        <w:rPr>
          <w:rFonts w:ascii="Century" w:hAnsi="Century"/>
          <w:u w:val="single"/>
          <w:lang w:val="el-GR"/>
        </w:rPr>
        <w:t>Σχετικοί άξονες προβληματισμού και εργασίες (ενδεικτικά)</w:t>
      </w:r>
    </w:p>
    <w:p w:rsidR="005600C7" w:rsidRPr="005600C7" w:rsidRDefault="005600C7" w:rsidP="005600C7">
      <w:pPr>
        <w:rPr>
          <w:rFonts w:ascii="Century" w:hAnsi="Century"/>
          <w:u w:val="single"/>
          <w:lang w:val="el-GR"/>
        </w:rPr>
      </w:pPr>
    </w:p>
    <w:p w:rsidR="005600C7" w:rsidRPr="005600C7" w:rsidRDefault="005600C7" w:rsidP="005600C7">
      <w:pPr>
        <w:rPr>
          <w:rFonts w:ascii="Century" w:hAnsi="Century"/>
          <w:u w:val="single"/>
          <w:lang w:val="el-GR"/>
        </w:rPr>
      </w:pPr>
    </w:p>
    <w:p w:rsidR="005600C7" w:rsidRPr="005600C7" w:rsidRDefault="005600C7" w:rsidP="005600C7">
      <w:pPr>
        <w:rPr>
          <w:rFonts w:ascii="Century" w:hAnsi="Century"/>
          <w:i/>
          <w:u w:val="single"/>
          <w:lang w:val="el-GR"/>
        </w:rPr>
      </w:pPr>
    </w:p>
    <w:p w:rsidR="005600C7" w:rsidRPr="005600C7" w:rsidRDefault="005600C7" w:rsidP="005600C7">
      <w:pPr>
        <w:pStyle w:val="a3"/>
        <w:numPr>
          <w:ilvl w:val="0"/>
          <w:numId w:val="1"/>
        </w:numPr>
        <w:rPr>
          <w:rFonts w:ascii="Century" w:hAnsi="Century"/>
          <w:i/>
          <w:lang w:val="el-GR"/>
        </w:rPr>
      </w:pPr>
      <w:r w:rsidRPr="005600C7">
        <w:rPr>
          <w:rFonts w:ascii="Century" w:hAnsi="Century"/>
          <w:i/>
          <w:lang w:val="el-GR"/>
        </w:rPr>
        <w:t>ΔΔΣ Γενική Εισαγωγή</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Ποιο είναι το κριτήριο της διεθνικότητας</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 xml:space="preserve">Υπάρχει και χρησιμεύει η κατασκευή της </w:t>
      </w:r>
      <w:proofErr w:type="spellStart"/>
      <w:r w:rsidRPr="005600C7">
        <w:rPr>
          <w:rFonts w:ascii="Century" w:hAnsi="Century"/>
          <w:i/>
          <w:lang w:val="el-GR"/>
        </w:rPr>
        <w:t>lex</w:t>
      </w:r>
      <w:proofErr w:type="spellEnd"/>
      <w:r w:rsidRPr="005600C7">
        <w:rPr>
          <w:rFonts w:ascii="Century" w:hAnsi="Century"/>
          <w:i/>
          <w:lang w:val="el-GR"/>
        </w:rPr>
        <w:t xml:space="preserve"> </w:t>
      </w:r>
      <w:proofErr w:type="spellStart"/>
      <w:r w:rsidRPr="005600C7">
        <w:rPr>
          <w:rFonts w:ascii="Century" w:hAnsi="Century"/>
          <w:i/>
          <w:lang w:val="el-GR"/>
        </w:rPr>
        <w:t>mercatoria</w:t>
      </w:r>
      <w:proofErr w:type="spellEnd"/>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Είναι εφικτή η διεθνής ενοποίηση του δικαίου;</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Καταπολέμηση της διαφθοράς στις διεθνείς συναλλαγές</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Το ΔΔΣ έχει επιστημολογική και μεθοδολογική αυτονομία;</w:t>
      </w:r>
    </w:p>
    <w:p w:rsidR="005600C7" w:rsidRPr="005600C7" w:rsidRDefault="005600C7" w:rsidP="005600C7">
      <w:pPr>
        <w:pStyle w:val="a3"/>
        <w:ind w:left="1800"/>
        <w:rPr>
          <w:rFonts w:ascii="Century" w:hAnsi="Century"/>
          <w:lang w:val="el-GR"/>
        </w:rPr>
      </w:pPr>
    </w:p>
    <w:p w:rsidR="005600C7" w:rsidRPr="005600C7" w:rsidRDefault="005600C7" w:rsidP="005600C7">
      <w:pPr>
        <w:pStyle w:val="a3"/>
        <w:numPr>
          <w:ilvl w:val="0"/>
          <w:numId w:val="1"/>
        </w:numPr>
        <w:rPr>
          <w:rFonts w:ascii="Century" w:hAnsi="Century"/>
          <w:lang w:val="el-GR"/>
        </w:rPr>
      </w:pPr>
      <w:r w:rsidRPr="005600C7">
        <w:rPr>
          <w:rFonts w:ascii="Century" w:hAnsi="Century"/>
          <w:i/>
          <w:lang w:val="el-GR"/>
        </w:rPr>
        <w:t>Κανονισμός Ρώμη Ι</w:t>
      </w:r>
      <w:r w:rsidRPr="005600C7">
        <w:rPr>
          <w:rFonts w:ascii="Century" w:hAnsi="Century"/>
          <w:lang w:val="el-GR"/>
        </w:rPr>
        <w:t>-</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Αλλαγές σε σχέση με Σύμβαση Ρώμης 1980</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 xml:space="preserve"> η αρχή της αυτονομίας της βουλήσεως και η εφαρμογή της </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το εφαρμοστέο δίκαιο ελλείψει επιλογής</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 xml:space="preserve">οι (διεθνώς) αναγκαστικοί κανόνες </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οι ρήτρες εξαιρέσεως/ διαφυγής</w:t>
      </w:r>
    </w:p>
    <w:p w:rsidR="005600C7" w:rsidRPr="005600C7" w:rsidRDefault="005600C7" w:rsidP="005600C7">
      <w:pPr>
        <w:pStyle w:val="a3"/>
        <w:ind w:left="1800"/>
        <w:rPr>
          <w:rFonts w:ascii="Century" w:hAnsi="Century"/>
          <w:i/>
          <w:lang w:val="el-GR"/>
        </w:rPr>
      </w:pPr>
    </w:p>
    <w:p w:rsidR="005600C7" w:rsidRPr="005600C7" w:rsidRDefault="005600C7" w:rsidP="005600C7">
      <w:pPr>
        <w:pStyle w:val="a3"/>
        <w:ind w:left="1800"/>
        <w:rPr>
          <w:rFonts w:ascii="Century" w:hAnsi="Century"/>
          <w:i/>
          <w:lang w:val="el-GR"/>
        </w:rPr>
      </w:pPr>
      <w:r w:rsidRPr="005600C7">
        <w:rPr>
          <w:rFonts w:ascii="Century" w:hAnsi="Century"/>
          <w:i/>
          <w:lang w:val="el-GR"/>
        </w:rPr>
        <w:t>Κανονισμός Ρώμη ΙΙ</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Γενικός κανόνας σύνδεσης και η λειτουργία του</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 xml:space="preserve">Ειδικοί κανόνες σύνδεσης </w:t>
      </w:r>
      <w:proofErr w:type="spellStart"/>
      <w:r w:rsidRPr="005600C7">
        <w:rPr>
          <w:rFonts w:ascii="Century" w:hAnsi="Century"/>
          <w:lang w:val="el-GR"/>
        </w:rPr>
        <w:t>αδικοπρακτικών</w:t>
      </w:r>
      <w:proofErr w:type="spellEnd"/>
      <w:r w:rsidRPr="005600C7">
        <w:rPr>
          <w:rFonts w:ascii="Century" w:hAnsi="Century"/>
          <w:lang w:val="el-GR"/>
        </w:rPr>
        <w:t xml:space="preserve"> κατηγοριών</w:t>
      </w:r>
    </w:p>
    <w:p w:rsidR="005600C7" w:rsidRPr="005600C7" w:rsidRDefault="005600C7" w:rsidP="005600C7">
      <w:pPr>
        <w:pStyle w:val="a3"/>
        <w:numPr>
          <w:ilvl w:val="0"/>
          <w:numId w:val="1"/>
        </w:numPr>
        <w:rPr>
          <w:rFonts w:ascii="Century" w:hAnsi="Century"/>
          <w:lang w:val="el-GR"/>
        </w:rPr>
      </w:pPr>
      <w:r w:rsidRPr="005600C7">
        <w:rPr>
          <w:rFonts w:ascii="Century" w:hAnsi="Century" w:hint="eastAsia"/>
          <w:lang w:val="el-GR"/>
        </w:rPr>
        <w:t>Η</w:t>
      </w:r>
      <w:r w:rsidRPr="005600C7">
        <w:rPr>
          <w:rFonts w:ascii="Century" w:hAnsi="Century"/>
          <w:lang w:val="el-GR"/>
        </w:rPr>
        <w:t xml:space="preserve"> συνάρθρωση των Κανονισμών Ρώμη Ι και ΙΙ με τον Κανονισμός Βρυξέλλες Ι </w:t>
      </w:r>
    </w:p>
    <w:p w:rsidR="005600C7" w:rsidRPr="005600C7" w:rsidRDefault="005600C7" w:rsidP="005600C7">
      <w:pPr>
        <w:rPr>
          <w:rFonts w:ascii="Century" w:hAnsi="Century"/>
          <w:lang w:val="el-GR"/>
        </w:rPr>
      </w:pPr>
    </w:p>
    <w:p w:rsidR="005600C7" w:rsidRPr="005600C7" w:rsidRDefault="005600C7" w:rsidP="005600C7">
      <w:pPr>
        <w:rPr>
          <w:rFonts w:ascii="Century" w:hAnsi="Century"/>
          <w:lang w:val="el-GR"/>
        </w:rPr>
      </w:pPr>
    </w:p>
    <w:p w:rsidR="005600C7" w:rsidRPr="005600C7" w:rsidRDefault="005600C7" w:rsidP="005600C7">
      <w:pPr>
        <w:rPr>
          <w:rFonts w:ascii="Century" w:hAnsi="Century"/>
          <w:lang w:val="el-GR"/>
        </w:rPr>
      </w:pPr>
    </w:p>
    <w:p w:rsidR="005600C7" w:rsidRPr="005600C7" w:rsidRDefault="005600C7" w:rsidP="005600C7">
      <w:pPr>
        <w:rPr>
          <w:rFonts w:ascii="Century" w:hAnsi="Century"/>
          <w:lang w:val="el-GR"/>
        </w:rPr>
      </w:pPr>
      <w:r w:rsidRPr="005600C7">
        <w:rPr>
          <w:rFonts w:ascii="Century" w:hAnsi="Century"/>
          <w:lang w:val="el-GR"/>
        </w:rPr>
        <w:t>Τα θέματα θα παρουσιάζονται προφορικά ανά δύο (σε διμερές διάγραμμα και κύρια σημεία προβληματισμού και ανάπτυξης) με μέγιστο χρόνο 15 λεπτών και 15 λεπτά συζήτησης (σύνολο 1 ώρα)</w:t>
      </w:r>
    </w:p>
    <w:p w:rsidR="005600C7" w:rsidRPr="005600C7" w:rsidRDefault="005600C7" w:rsidP="005600C7">
      <w:pPr>
        <w:rPr>
          <w:rFonts w:ascii="Century" w:hAnsi="Century"/>
          <w:lang w:val="el-GR"/>
        </w:rPr>
      </w:pPr>
    </w:p>
    <w:p w:rsidR="005600C7" w:rsidRPr="005600C7" w:rsidRDefault="005600C7" w:rsidP="005600C7">
      <w:pPr>
        <w:rPr>
          <w:rFonts w:ascii="Century" w:hAnsi="Century"/>
          <w:lang w:val="el-GR"/>
        </w:rPr>
      </w:pPr>
      <w:r w:rsidRPr="005600C7">
        <w:rPr>
          <w:rFonts w:ascii="Century" w:hAnsi="Century"/>
          <w:lang w:val="el-GR"/>
        </w:rPr>
        <w:t xml:space="preserve">Η γραπτή μορφή θα παραδίδεται στο τέλος του εξαμήνου- </w:t>
      </w:r>
    </w:p>
    <w:p w:rsidR="005600C7" w:rsidRPr="005600C7" w:rsidRDefault="005600C7" w:rsidP="005600C7">
      <w:pPr>
        <w:rPr>
          <w:rFonts w:ascii="Century" w:hAnsi="Century"/>
          <w:lang w:val="el-GR"/>
        </w:rPr>
      </w:pPr>
    </w:p>
    <w:p w:rsidR="005600C7" w:rsidRPr="005600C7" w:rsidRDefault="005600C7" w:rsidP="005600C7">
      <w:pPr>
        <w:rPr>
          <w:rFonts w:ascii="Century" w:hAnsi="Century"/>
          <w:lang w:val="el-GR"/>
        </w:rPr>
      </w:pPr>
      <w:r w:rsidRPr="005600C7">
        <w:rPr>
          <w:rFonts w:ascii="Century" w:hAnsi="Century" w:hint="eastAsia"/>
          <w:lang w:val="el-GR"/>
        </w:rPr>
        <w:t>Η</w:t>
      </w:r>
      <w:r w:rsidRPr="005600C7">
        <w:rPr>
          <w:rFonts w:ascii="Century" w:hAnsi="Century"/>
          <w:lang w:val="el-GR"/>
        </w:rPr>
        <w:t xml:space="preserve"> συνολική αξιολόγηση απαρτίζεται από </w:t>
      </w:r>
    </w:p>
    <w:p w:rsidR="005600C7" w:rsidRPr="005600C7" w:rsidRDefault="005600C7" w:rsidP="005600C7">
      <w:pPr>
        <w:rPr>
          <w:rFonts w:ascii="Century" w:hAnsi="Century"/>
          <w:lang w:val="el-GR"/>
        </w:rPr>
      </w:pP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προφορική παρουσίαση και γραπτή εκδοχή (υποχρεωτικό για όλους)</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 xml:space="preserve">συμμετοχή σε ερευνητικές ομάδες </w:t>
      </w:r>
    </w:p>
    <w:p w:rsidR="005600C7" w:rsidRPr="005600C7" w:rsidRDefault="005600C7" w:rsidP="005600C7">
      <w:pPr>
        <w:pStyle w:val="a3"/>
        <w:numPr>
          <w:ilvl w:val="0"/>
          <w:numId w:val="1"/>
        </w:numPr>
        <w:rPr>
          <w:rFonts w:ascii="Century" w:hAnsi="Century"/>
          <w:lang w:val="el-GR"/>
        </w:rPr>
      </w:pPr>
      <w:r w:rsidRPr="005600C7">
        <w:rPr>
          <w:rFonts w:ascii="Century" w:hAnsi="Century"/>
          <w:lang w:val="el-GR"/>
        </w:rPr>
        <w:t>αξιολόγηση γραπτής εξέτασης τέλους εξαμήνου</w:t>
      </w:r>
    </w:p>
    <w:p w:rsidR="005600C7" w:rsidRPr="005600C7" w:rsidRDefault="005600C7" w:rsidP="005600C7">
      <w:pPr>
        <w:rPr>
          <w:rFonts w:ascii="Century" w:hAnsi="Century"/>
          <w:lang w:val="el-GR"/>
        </w:rPr>
      </w:pPr>
    </w:p>
    <w:p w:rsidR="005600C7" w:rsidRPr="005600C7" w:rsidRDefault="005600C7" w:rsidP="005600C7">
      <w:pPr>
        <w:rPr>
          <w:rFonts w:ascii="Century" w:hAnsi="Century"/>
          <w:lang w:val="el-GR"/>
        </w:rPr>
      </w:pPr>
      <w:r w:rsidRPr="005600C7">
        <w:rPr>
          <w:rFonts w:ascii="Century" w:hAnsi="Century"/>
          <w:lang w:val="el-GR"/>
        </w:rPr>
        <w:t>Προσοχή ο βαθμός συμμετοχής θα κρατείται σε περίπτωση αποτυχίας. Μόνο η γραπτή εξέταση θα επαναλαμβάνεται.</w:t>
      </w:r>
    </w:p>
    <w:p w:rsidR="005600C7" w:rsidRPr="005600C7" w:rsidRDefault="005600C7" w:rsidP="005600C7">
      <w:pPr>
        <w:rPr>
          <w:rFonts w:ascii="Century" w:hAnsi="Century"/>
          <w:u w:val="single"/>
          <w:lang w:val="el-GR"/>
        </w:rPr>
      </w:pPr>
    </w:p>
    <w:p w:rsidR="00295A9F" w:rsidRPr="005600C7" w:rsidRDefault="00295A9F">
      <w:pPr>
        <w:rPr>
          <w:lang w:val="el-GR"/>
        </w:rPr>
      </w:pPr>
    </w:p>
    <w:sectPr w:rsidR="00295A9F" w:rsidRPr="005600C7" w:rsidSect="00E43822">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2D3" w:rsidRDefault="00A922D3" w:rsidP="005600C7">
      <w:r>
        <w:separator/>
      </w:r>
    </w:p>
  </w:endnote>
  <w:endnote w:type="continuationSeparator" w:id="0">
    <w:p w:rsidR="00A922D3" w:rsidRDefault="00A922D3" w:rsidP="005600C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2D3" w:rsidRDefault="00A922D3" w:rsidP="005600C7">
      <w:r>
        <w:separator/>
      </w:r>
    </w:p>
  </w:footnote>
  <w:footnote w:type="continuationSeparator" w:id="0">
    <w:p w:rsidR="00A922D3" w:rsidRDefault="00A922D3" w:rsidP="005600C7">
      <w:r>
        <w:continuationSeparator/>
      </w:r>
    </w:p>
  </w:footnote>
  <w:footnote w:id="1">
    <w:p w:rsidR="005600C7" w:rsidRPr="009D207A" w:rsidRDefault="005600C7" w:rsidP="005600C7">
      <w:pPr>
        <w:pStyle w:val="a4"/>
        <w:rPr>
          <w:lang w:val="el-GR"/>
        </w:rPr>
      </w:pPr>
      <w:r>
        <w:rPr>
          <w:rStyle w:val="a5"/>
        </w:rPr>
        <w:footnoteRef/>
      </w:r>
      <w:r w:rsidRPr="009D207A">
        <w:rPr>
          <w:lang w:val="el-GR"/>
        </w:rPr>
        <w:t xml:space="preserve"> Περιέχει νομολογία επί των αρχών της </w:t>
      </w:r>
      <w:proofErr w:type="spellStart"/>
      <w:r>
        <w:t>Unidroit</w:t>
      </w:r>
      <w:proofErr w:type="spellEnd"/>
      <w:r>
        <w:rPr>
          <w:lang w:val="el-GR"/>
        </w:rPr>
        <w:t xml:space="preserve"> και επί της Σύμβασης της Βιέννης για τη Διεθνή Πώληση.</w:t>
      </w:r>
    </w:p>
  </w:footnote>
  <w:footnote w:id="2">
    <w:p w:rsidR="005600C7" w:rsidRPr="004A4579" w:rsidRDefault="005600C7" w:rsidP="005600C7">
      <w:pPr>
        <w:pStyle w:val="a4"/>
      </w:pPr>
      <w:r>
        <w:rPr>
          <w:rStyle w:val="a5"/>
        </w:rPr>
        <w:footnoteRef/>
      </w:r>
      <w:r>
        <w:t xml:space="preserve"> </w:t>
      </w:r>
      <w:r>
        <w:rPr>
          <w:lang w:val="el-GR"/>
        </w:rPr>
        <w:t xml:space="preserve">Η σελίδα </w:t>
      </w:r>
      <w:proofErr w:type="spellStart"/>
      <w:r>
        <w:t>prelex</w:t>
      </w:r>
      <w:proofErr w:type="spellEnd"/>
      <w:r>
        <w:rPr>
          <w:lang w:val="el-GR"/>
        </w:rPr>
        <w:t xml:space="preserve"> παρουσιάζει την νομοθετική διαδικασία της ΕΕ. Λέξεις κλειδιά που μπορείτε να χρησιμοποιήσετε </w:t>
      </w:r>
      <w:r>
        <w:t>applicable law, jurisdiction, sale.</w:t>
      </w:r>
    </w:p>
  </w:footnote>
  <w:footnote w:id="3">
    <w:p w:rsidR="005600C7" w:rsidRPr="004A4579" w:rsidRDefault="005600C7" w:rsidP="005600C7">
      <w:pPr>
        <w:pStyle w:val="a4"/>
        <w:rPr>
          <w:lang w:val="el-GR"/>
        </w:rPr>
      </w:pPr>
      <w:r>
        <w:rPr>
          <w:rStyle w:val="a5"/>
        </w:rPr>
        <w:footnoteRef/>
      </w:r>
      <w:r>
        <w:t xml:space="preserve"> </w:t>
      </w:r>
      <w:r>
        <w:rPr>
          <w:lang w:val="el-GR"/>
        </w:rPr>
        <w:t xml:space="preserve">Στη σελίδα αυτή </w:t>
      </w:r>
      <w:proofErr w:type="spellStart"/>
      <w:r>
        <w:rPr>
          <w:lang w:val="el-GR"/>
        </w:rPr>
        <w:t>δημοσιέυονται</w:t>
      </w:r>
      <w:proofErr w:type="spellEnd"/>
      <w:r>
        <w:rPr>
          <w:lang w:val="el-GR"/>
        </w:rPr>
        <w:t xml:space="preserve"> (δωρεάν) άρθρα κοινωνικών επιστημών γενικά, περιλαμβανομένης της νομικής.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6736F"/>
    <w:multiLevelType w:val="hybridMultilevel"/>
    <w:tmpl w:val="EDD23B54"/>
    <w:lvl w:ilvl="0" w:tplc="2050E9CC">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5D0674E4"/>
    <w:multiLevelType w:val="hybridMultilevel"/>
    <w:tmpl w:val="3A9038E2"/>
    <w:lvl w:ilvl="0" w:tplc="2050E9CC">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600C7"/>
    <w:rsid w:val="00295A9F"/>
    <w:rsid w:val="00472D9B"/>
    <w:rsid w:val="005600C7"/>
    <w:rsid w:val="009D207A"/>
    <w:rsid w:val="00A922D3"/>
    <w:rsid w:val="00F52C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C7"/>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0C7"/>
    <w:pPr>
      <w:ind w:left="720"/>
      <w:contextualSpacing/>
    </w:pPr>
  </w:style>
  <w:style w:type="character" w:styleId="-">
    <w:name w:val="Hyperlink"/>
    <w:basedOn w:val="a0"/>
    <w:uiPriority w:val="99"/>
    <w:semiHidden/>
    <w:unhideWhenUsed/>
    <w:rsid w:val="005600C7"/>
    <w:rPr>
      <w:color w:val="0000FF" w:themeColor="hyperlink"/>
      <w:u w:val="single"/>
    </w:rPr>
  </w:style>
  <w:style w:type="paragraph" w:styleId="a4">
    <w:name w:val="footnote text"/>
    <w:basedOn w:val="a"/>
    <w:link w:val="Char"/>
    <w:uiPriority w:val="99"/>
    <w:unhideWhenUsed/>
    <w:rsid w:val="005600C7"/>
  </w:style>
  <w:style w:type="character" w:customStyle="1" w:styleId="Char">
    <w:name w:val="Κείμενο υποσημείωσης Char"/>
    <w:basedOn w:val="a0"/>
    <w:link w:val="a4"/>
    <w:uiPriority w:val="99"/>
    <w:rsid w:val="005600C7"/>
    <w:rPr>
      <w:rFonts w:asciiTheme="minorHAnsi" w:hAnsiTheme="minorHAnsi"/>
    </w:rPr>
  </w:style>
  <w:style w:type="character" w:styleId="a5">
    <w:name w:val="footnote reference"/>
    <w:basedOn w:val="a0"/>
    <w:uiPriority w:val="99"/>
    <w:semiHidden/>
    <w:unhideWhenUsed/>
    <w:rsid w:val="005600C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C7"/>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0C7"/>
    <w:pPr>
      <w:ind w:left="720"/>
      <w:contextualSpacing/>
    </w:pPr>
  </w:style>
  <w:style w:type="character" w:styleId="Hyperlink">
    <w:name w:val="Hyperlink"/>
    <w:basedOn w:val="DefaultParagraphFont"/>
    <w:uiPriority w:val="99"/>
    <w:semiHidden/>
    <w:unhideWhenUsed/>
    <w:rsid w:val="005600C7"/>
    <w:rPr>
      <w:color w:val="0000FF" w:themeColor="hyperlink"/>
      <w:u w:val="single"/>
    </w:rPr>
  </w:style>
  <w:style w:type="paragraph" w:styleId="FootnoteText">
    <w:name w:val="footnote text"/>
    <w:basedOn w:val="Normal"/>
    <w:link w:val="FootnoteTextChar"/>
    <w:uiPriority w:val="99"/>
    <w:unhideWhenUsed/>
    <w:rsid w:val="005600C7"/>
  </w:style>
  <w:style w:type="character" w:customStyle="1" w:styleId="FootnoteTextChar">
    <w:name w:val="Footnote Text Char"/>
    <w:basedOn w:val="DefaultParagraphFont"/>
    <w:link w:val="FootnoteText"/>
    <w:uiPriority w:val="99"/>
    <w:rsid w:val="005600C7"/>
    <w:rPr>
      <w:rFonts w:asciiTheme="minorHAnsi" w:hAnsiTheme="minorHAnsi"/>
    </w:rPr>
  </w:style>
  <w:style w:type="character" w:styleId="FootnoteReference">
    <w:name w:val="footnote reference"/>
    <w:basedOn w:val="DefaultParagraphFont"/>
    <w:uiPriority w:val="99"/>
    <w:semiHidden/>
    <w:unhideWhenUsed/>
    <w:rsid w:val="005600C7"/>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cch.net" TargetMode="External"/><Relationship Id="rId13" Type="http://schemas.openxmlformats.org/officeDocument/2006/relationships/hyperlink" Target="http://www.ssrn.com/" TargetMode="External"/><Relationship Id="rId3" Type="http://schemas.openxmlformats.org/officeDocument/2006/relationships/settings" Target="settings.xml"/><Relationship Id="rId7" Type="http://schemas.openxmlformats.org/officeDocument/2006/relationships/hyperlink" Target="http://conflictoflaws.net/" TargetMode="External"/><Relationship Id="rId12" Type="http://schemas.openxmlformats.org/officeDocument/2006/relationships/hyperlink" Target="http://ec.europa.eu/prelex/rech_avancee.cfm?CL=en"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nilex.info/" TargetMode="External"/><Relationship Id="rId4" Type="http://schemas.openxmlformats.org/officeDocument/2006/relationships/webSettings" Target="webSettings.xml"/><Relationship Id="rId9" Type="http://schemas.openxmlformats.org/officeDocument/2006/relationships/hyperlink" Target="http://www.unidroi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694</Words>
  <Characters>3750</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dc:creator>
  <cp:lastModifiedBy>Evelyn</cp:lastModifiedBy>
  <cp:revision>2</cp:revision>
  <dcterms:created xsi:type="dcterms:W3CDTF">2012-11-14T13:26:00Z</dcterms:created>
  <dcterms:modified xsi:type="dcterms:W3CDTF">2012-11-14T13:26:00Z</dcterms:modified>
</cp:coreProperties>
</file>