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03" w:rsidRDefault="00463803" w:rsidP="00463803">
      <w:pPr>
        <w:autoSpaceDE w:val="0"/>
        <w:autoSpaceDN w:val="0"/>
        <w:adjustRightInd w:val="0"/>
        <w:spacing w:after="0" w:line="240" w:lineRule="auto"/>
        <w:jc w:val="center"/>
        <w:outlineLvl w:val="0"/>
        <w:rPr>
          <w:rFonts w:ascii="Tahoma" w:hAnsi="Tahoma" w:cs="Tahoma"/>
          <w:b/>
          <w:bCs/>
          <w:color w:val="17365D"/>
          <w:sz w:val="26"/>
          <w:szCs w:val="26"/>
        </w:rPr>
      </w:pPr>
      <w:bookmarkStart w:id="0" w:name="_Toc419543103"/>
    </w:p>
    <w:p w:rsidR="00463803" w:rsidRDefault="00463803" w:rsidP="00463803">
      <w:pPr>
        <w:autoSpaceDE w:val="0"/>
        <w:autoSpaceDN w:val="0"/>
        <w:adjustRightInd w:val="0"/>
        <w:spacing w:after="0" w:line="240" w:lineRule="auto"/>
        <w:jc w:val="center"/>
        <w:outlineLvl w:val="0"/>
        <w:rPr>
          <w:rFonts w:ascii="Tahoma" w:hAnsi="Tahoma" w:cs="Tahoma"/>
          <w:b/>
          <w:bCs/>
          <w:color w:val="17365D"/>
          <w:sz w:val="26"/>
          <w:szCs w:val="26"/>
        </w:rPr>
      </w:pPr>
    </w:p>
    <w:p w:rsidR="00AA128F" w:rsidRDefault="00AA128F" w:rsidP="00463803">
      <w:pPr>
        <w:autoSpaceDE w:val="0"/>
        <w:autoSpaceDN w:val="0"/>
        <w:adjustRightInd w:val="0"/>
        <w:spacing w:after="0" w:line="240" w:lineRule="auto"/>
        <w:jc w:val="center"/>
        <w:outlineLvl w:val="0"/>
        <w:rPr>
          <w:rFonts w:ascii="Tahoma" w:hAnsi="Tahoma" w:cs="Tahoma"/>
          <w:b/>
          <w:bCs/>
          <w:color w:val="17365D"/>
          <w:sz w:val="26"/>
          <w:szCs w:val="26"/>
        </w:rPr>
      </w:pPr>
      <w:bookmarkStart w:id="1" w:name="_Toc419544569"/>
      <w:bookmarkStart w:id="2" w:name="_Toc419545130"/>
      <w:bookmarkStart w:id="3" w:name="_Toc419545168"/>
      <w:r w:rsidRPr="009F6329">
        <w:rPr>
          <w:rFonts w:ascii="Tahoma" w:hAnsi="Tahoma" w:cs="Tahoma"/>
          <w:b/>
          <w:bCs/>
          <w:color w:val="17365D"/>
          <w:sz w:val="26"/>
          <w:szCs w:val="26"/>
        </w:rPr>
        <w:t>Εθνικό και Καποδιστριακό Πανεπιστήμιο Αθηνών</w:t>
      </w:r>
      <w:bookmarkEnd w:id="0"/>
      <w:bookmarkEnd w:id="1"/>
      <w:bookmarkEnd w:id="2"/>
      <w:bookmarkEnd w:id="3"/>
    </w:p>
    <w:p w:rsidR="00463803" w:rsidRPr="009F6329" w:rsidRDefault="00463803" w:rsidP="00463803">
      <w:pPr>
        <w:autoSpaceDE w:val="0"/>
        <w:autoSpaceDN w:val="0"/>
        <w:adjustRightInd w:val="0"/>
        <w:spacing w:after="0" w:line="240" w:lineRule="auto"/>
        <w:jc w:val="center"/>
        <w:outlineLvl w:val="0"/>
        <w:rPr>
          <w:rFonts w:ascii="Tahoma" w:hAnsi="Tahoma" w:cs="Tahoma"/>
          <w:b/>
          <w:bCs/>
          <w:color w:val="17365D" w:themeColor="text2" w:themeShade="BF"/>
          <w:sz w:val="26"/>
          <w:szCs w:val="26"/>
        </w:rPr>
      </w:pPr>
    </w:p>
    <w:p w:rsidR="00AA128F" w:rsidRDefault="00AA128F" w:rsidP="00463803">
      <w:pPr>
        <w:autoSpaceDE w:val="0"/>
        <w:autoSpaceDN w:val="0"/>
        <w:adjustRightInd w:val="0"/>
        <w:spacing w:after="0" w:line="240" w:lineRule="auto"/>
        <w:jc w:val="center"/>
        <w:outlineLvl w:val="0"/>
        <w:rPr>
          <w:rFonts w:ascii="Tahoma" w:hAnsi="Tahoma" w:cs="Tahoma"/>
          <w:b/>
          <w:bCs/>
          <w:color w:val="17365D"/>
          <w:sz w:val="26"/>
          <w:szCs w:val="26"/>
        </w:rPr>
      </w:pPr>
      <w:bookmarkStart w:id="4" w:name="_Toc419543104"/>
      <w:bookmarkStart w:id="5" w:name="_Toc419544570"/>
      <w:bookmarkStart w:id="6" w:name="_Toc419545131"/>
      <w:bookmarkStart w:id="7" w:name="_Toc419545169"/>
      <w:r>
        <w:rPr>
          <w:rFonts w:ascii="Tahoma" w:hAnsi="Tahoma" w:cs="Tahoma"/>
          <w:b/>
          <w:bCs/>
          <w:color w:val="17365D"/>
          <w:sz w:val="26"/>
          <w:szCs w:val="26"/>
        </w:rPr>
        <w:t>Τμήμα Νομικής</w:t>
      </w:r>
      <w:bookmarkEnd w:id="4"/>
      <w:bookmarkEnd w:id="5"/>
      <w:bookmarkEnd w:id="6"/>
      <w:bookmarkEnd w:id="7"/>
    </w:p>
    <w:p w:rsidR="00463803" w:rsidRDefault="00463803" w:rsidP="00463803">
      <w:pPr>
        <w:autoSpaceDE w:val="0"/>
        <w:autoSpaceDN w:val="0"/>
        <w:adjustRightInd w:val="0"/>
        <w:spacing w:after="0" w:line="240" w:lineRule="auto"/>
        <w:jc w:val="center"/>
        <w:outlineLvl w:val="0"/>
        <w:rPr>
          <w:rFonts w:ascii="Tahoma" w:hAnsi="Tahoma" w:cs="Tahoma"/>
          <w:b/>
          <w:bCs/>
          <w:color w:val="17365D"/>
          <w:sz w:val="26"/>
          <w:szCs w:val="26"/>
        </w:rPr>
      </w:pPr>
    </w:p>
    <w:p w:rsidR="009F6329" w:rsidRDefault="009F6329" w:rsidP="00463803">
      <w:pPr>
        <w:autoSpaceDE w:val="0"/>
        <w:autoSpaceDN w:val="0"/>
        <w:adjustRightInd w:val="0"/>
        <w:spacing w:after="0" w:line="240" w:lineRule="auto"/>
        <w:jc w:val="center"/>
        <w:outlineLvl w:val="0"/>
        <w:rPr>
          <w:rFonts w:ascii="Tahoma" w:hAnsi="Tahoma" w:cs="Tahoma"/>
          <w:b/>
          <w:bCs/>
          <w:color w:val="17365D"/>
          <w:sz w:val="26"/>
          <w:szCs w:val="26"/>
        </w:rPr>
      </w:pPr>
      <w:bookmarkStart w:id="8" w:name="_Toc419543105"/>
      <w:bookmarkStart w:id="9" w:name="_Toc419544571"/>
      <w:bookmarkStart w:id="10" w:name="_Toc419545132"/>
      <w:bookmarkStart w:id="11" w:name="_Toc419545170"/>
      <w:r>
        <w:rPr>
          <w:rFonts w:ascii="Tahoma" w:hAnsi="Tahoma" w:cs="Tahoma"/>
          <w:b/>
          <w:bCs/>
          <w:color w:val="17365D"/>
          <w:sz w:val="26"/>
          <w:szCs w:val="26"/>
        </w:rPr>
        <w:t>Μεταπτυχιακό Πρόγραμμα Σπουδών Δημοσίου Δικαίου</w:t>
      </w:r>
      <w:bookmarkEnd w:id="8"/>
      <w:bookmarkEnd w:id="9"/>
      <w:bookmarkEnd w:id="10"/>
      <w:bookmarkEnd w:id="11"/>
    </w:p>
    <w:p w:rsidR="00AA128F" w:rsidRPr="00D71D4B" w:rsidRDefault="00AA128F" w:rsidP="00463803">
      <w:pPr>
        <w:autoSpaceDE w:val="0"/>
        <w:autoSpaceDN w:val="0"/>
        <w:adjustRightInd w:val="0"/>
        <w:spacing w:after="0" w:line="240" w:lineRule="auto"/>
        <w:jc w:val="center"/>
        <w:rPr>
          <w:rFonts w:ascii="Tahoma" w:hAnsi="Tahoma" w:cs="Tahoma"/>
          <w:b/>
          <w:bCs/>
          <w:color w:val="17365D"/>
          <w:sz w:val="26"/>
          <w:szCs w:val="26"/>
        </w:rPr>
      </w:pPr>
    </w:p>
    <w:p w:rsidR="00AA128F" w:rsidRDefault="00AA128F" w:rsidP="00463803">
      <w:pPr>
        <w:spacing w:after="0" w:line="240" w:lineRule="auto"/>
        <w:rPr>
          <w:b/>
          <w:sz w:val="36"/>
          <w:szCs w:val="36"/>
        </w:rPr>
      </w:pPr>
    </w:p>
    <w:p w:rsidR="00AA128F" w:rsidRDefault="00AA128F" w:rsidP="00463803">
      <w:pPr>
        <w:spacing w:after="0" w:line="240" w:lineRule="auto"/>
        <w:rPr>
          <w:b/>
          <w:sz w:val="36"/>
          <w:szCs w:val="36"/>
          <w:lang w:val="en-US"/>
        </w:rPr>
      </w:pPr>
    </w:p>
    <w:p w:rsidR="00AB7B11" w:rsidRDefault="00AB7B11" w:rsidP="00463803">
      <w:pPr>
        <w:spacing w:after="0" w:line="240" w:lineRule="auto"/>
        <w:rPr>
          <w:b/>
          <w:sz w:val="36"/>
          <w:szCs w:val="36"/>
          <w:lang w:val="en-US"/>
        </w:rPr>
      </w:pPr>
    </w:p>
    <w:p w:rsidR="00AB7B11" w:rsidRDefault="00AB7B11" w:rsidP="00463803">
      <w:pPr>
        <w:spacing w:after="0" w:line="240" w:lineRule="auto"/>
        <w:rPr>
          <w:b/>
          <w:sz w:val="36"/>
          <w:szCs w:val="36"/>
          <w:lang w:val="en-US"/>
        </w:rPr>
      </w:pPr>
    </w:p>
    <w:p w:rsidR="00AB7B11" w:rsidRPr="00AB7B11" w:rsidRDefault="00AB7B11" w:rsidP="00463803">
      <w:pPr>
        <w:spacing w:after="0" w:line="240" w:lineRule="auto"/>
        <w:rPr>
          <w:b/>
          <w:sz w:val="36"/>
          <w:szCs w:val="36"/>
          <w:lang w:val="en-US"/>
        </w:rPr>
      </w:pPr>
    </w:p>
    <w:p w:rsidR="00AA128F" w:rsidRPr="009F6329" w:rsidRDefault="009F6329" w:rsidP="00463803">
      <w:pPr>
        <w:spacing w:after="0" w:line="240" w:lineRule="auto"/>
        <w:jc w:val="center"/>
        <w:outlineLvl w:val="0"/>
        <w:rPr>
          <w:b/>
          <w:color w:val="17365D" w:themeColor="text2" w:themeShade="BF"/>
          <w:sz w:val="36"/>
          <w:szCs w:val="36"/>
        </w:rPr>
      </w:pPr>
      <w:bookmarkStart w:id="12" w:name="_Toc419543106"/>
      <w:bookmarkStart w:id="13" w:name="_Toc419544572"/>
      <w:bookmarkStart w:id="14" w:name="_Toc419545133"/>
      <w:bookmarkStart w:id="15" w:name="_Toc419545171"/>
      <w:r>
        <w:rPr>
          <w:b/>
          <w:color w:val="17365D" w:themeColor="text2" w:themeShade="BF"/>
          <w:sz w:val="36"/>
          <w:szCs w:val="36"/>
        </w:rPr>
        <w:t>ΣΥΓΚΡΙΤΙΚΟ ΚΑΙ ΕΥΡΩΠΑΪΚΟ ΔΗΜΟΣΙΟ ΔΙΚΑΙΟ</w:t>
      </w:r>
      <w:bookmarkEnd w:id="12"/>
      <w:bookmarkEnd w:id="13"/>
      <w:bookmarkEnd w:id="14"/>
      <w:bookmarkEnd w:id="15"/>
    </w:p>
    <w:p w:rsidR="00AA128F" w:rsidRDefault="00AA128F" w:rsidP="00463803">
      <w:pPr>
        <w:spacing w:after="0" w:line="240" w:lineRule="auto"/>
        <w:jc w:val="center"/>
        <w:rPr>
          <w:b/>
          <w:color w:val="17365D" w:themeColor="text2" w:themeShade="BF"/>
          <w:sz w:val="36"/>
          <w:szCs w:val="36"/>
          <w:lang w:val="en-US"/>
        </w:rPr>
      </w:pPr>
    </w:p>
    <w:p w:rsidR="00AB7B11" w:rsidRPr="00AB7B11" w:rsidRDefault="00AB7B11" w:rsidP="00463803">
      <w:pPr>
        <w:spacing w:after="0" w:line="240" w:lineRule="auto"/>
        <w:jc w:val="center"/>
        <w:rPr>
          <w:b/>
          <w:color w:val="17365D" w:themeColor="text2" w:themeShade="BF"/>
          <w:sz w:val="36"/>
          <w:szCs w:val="36"/>
          <w:lang w:val="en-US"/>
        </w:rPr>
      </w:pPr>
    </w:p>
    <w:p w:rsidR="00AA128F" w:rsidRDefault="00AA128F" w:rsidP="00463803">
      <w:pPr>
        <w:spacing w:after="0" w:line="240" w:lineRule="auto"/>
        <w:rPr>
          <w:b/>
          <w:sz w:val="32"/>
          <w:szCs w:val="32"/>
        </w:rPr>
      </w:pPr>
    </w:p>
    <w:p w:rsidR="00AA128F" w:rsidRDefault="00AA128F" w:rsidP="00463803">
      <w:pPr>
        <w:spacing w:after="0" w:line="240" w:lineRule="auto"/>
        <w:jc w:val="center"/>
        <w:outlineLvl w:val="0"/>
        <w:rPr>
          <w:b/>
          <w:sz w:val="28"/>
          <w:szCs w:val="28"/>
          <w:u w:val="single"/>
        </w:rPr>
      </w:pPr>
      <w:bookmarkStart w:id="16" w:name="_Toc419543107"/>
      <w:bookmarkStart w:id="17" w:name="_Toc419544573"/>
      <w:bookmarkStart w:id="18" w:name="_Toc419545134"/>
      <w:bookmarkStart w:id="19" w:name="_Toc419545172"/>
      <w:r w:rsidRPr="00420F9F">
        <w:rPr>
          <w:b/>
          <w:sz w:val="28"/>
          <w:szCs w:val="28"/>
          <w:u w:val="single"/>
        </w:rPr>
        <w:t>ΕΡΓΑΣΙΑ:</w:t>
      </w:r>
      <w:bookmarkEnd w:id="16"/>
      <w:bookmarkEnd w:id="17"/>
      <w:bookmarkEnd w:id="18"/>
      <w:bookmarkEnd w:id="19"/>
    </w:p>
    <w:p w:rsidR="00AA128F" w:rsidRDefault="00AA128F" w:rsidP="00463803">
      <w:pPr>
        <w:spacing w:after="0" w:line="240" w:lineRule="auto"/>
        <w:jc w:val="center"/>
        <w:rPr>
          <w:b/>
          <w:color w:val="17365D" w:themeColor="text2" w:themeShade="BF"/>
          <w:sz w:val="28"/>
          <w:szCs w:val="28"/>
          <w:u w:val="single"/>
          <w:lang w:val="en-US"/>
        </w:rPr>
      </w:pPr>
    </w:p>
    <w:p w:rsidR="00AB7B11" w:rsidRDefault="00AB7B11" w:rsidP="00463803">
      <w:pPr>
        <w:spacing w:after="0" w:line="240" w:lineRule="auto"/>
        <w:jc w:val="center"/>
        <w:rPr>
          <w:b/>
          <w:color w:val="17365D" w:themeColor="text2" w:themeShade="BF"/>
          <w:sz w:val="28"/>
          <w:szCs w:val="28"/>
          <w:u w:val="single"/>
          <w:lang w:val="en-US"/>
        </w:rPr>
      </w:pPr>
    </w:p>
    <w:p w:rsidR="00AB7B11" w:rsidRPr="00AB7B11" w:rsidRDefault="00AB7B11" w:rsidP="00463803">
      <w:pPr>
        <w:spacing w:after="0" w:line="240" w:lineRule="auto"/>
        <w:jc w:val="center"/>
        <w:rPr>
          <w:b/>
          <w:color w:val="17365D" w:themeColor="text2" w:themeShade="BF"/>
          <w:sz w:val="28"/>
          <w:szCs w:val="28"/>
          <w:u w:val="single"/>
          <w:lang w:val="en-US"/>
        </w:rPr>
      </w:pPr>
    </w:p>
    <w:p w:rsidR="009F6329" w:rsidRPr="00D14639" w:rsidRDefault="009F6329" w:rsidP="00463803">
      <w:pPr>
        <w:spacing w:after="0" w:line="240" w:lineRule="auto"/>
        <w:jc w:val="center"/>
        <w:outlineLvl w:val="0"/>
        <w:rPr>
          <w:b/>
          <w:color w:val="17365D" w:themeColor="text2" w:themeShade="BF"/>
          <w:sz w:val="32"/>
          <w:szCs w:val="32"/>
        </w:rPr>
      </w:pPr>
      <w:bookmarkStart w:id="20" w:name="_Toc419543108"/>
      <w:bookmarkStart w:id="21" w:name="_Toc419544574"/>
      <w:bookmarkStart w:id="22" w:name="_Toc419545135"/>
      <w:bookmarkStart w:id="23" w:name="_Toc419545173"/>
      <w:r w:rsidRPr="00D14639">
        <w:rPr>
          <w:b/>
          <w:color w:val="17365D" w:themeColor="text2" w:themeShade="BF"/>
          <w:sz w:val="32"/>
          <w:szCs w:val="32"/>
        </w:rPr>
        <w:t>ΔΙΕΘΝΗ ΔΙΚΑΣΤΗΡΙΑ ΠΡΟΣΤΑΣΙΑΣ ΔΙΚΑΙΩΜΑΤΩΝ</w:t>
      </w:r>
      <w:bookmarkEnd w:id="20"/>
      <w:bookmarkEnd w:id="21"/>
      <w:bookmarkEnd w:id="22"/>
      <w:bookmarkEnd w:id="23"/>
    </w:p>
    <w:p w:rsidR="00AB7B11" w:rsidRDefault="00AB7B11" w:rsidP="00463803">
      <w:pPr>
        <w:spacing w:after="0" w:line="240" w:lineRule="auto"/>
        <w:jc w:val="center"/>
        <w:outlineLvl w:val="0"/>
        <w:rPr>
          <w:b/>
          <w:color w:val="17365D" w:themeColor="text2" w:themeShade="BF"/>
          <w:sz w:val="32"/>
          <w:szCs w:val="32"/>
          <w:lang w:val="en-US"/>
        </w:rPr>
      </w:pPr>
      <w:bookmarkStart w:id="24" w:name="_Toc419543109"/>
      <w:bookmarkStart w:id="25" w:name="_Toc419544575"/>
      <w:bookmarkStart w:id="26" w:name="_Toc419545136"/>
      <w:bookmarkStart w:id="27" w:name="_Toc419545174"/>
    </w:p>
    <w:p w:rsidR="009F6329" w:rsidRPr="00D14639" w:rsidRDefault="009F6329" w:rsidP="00463803">
      <w:pPr>
        <w:spacing w:after="0" w:line="240" w:lineRule="auto"/>
        <w:jc w:val="center"/>
        <w:outlineLvl w:val="0"/>
        <w:rPr>
          <w:b/>
          <w:color w:val="17365D" w:themeColor="text2" w:themeShade="BF"/>
          <w:sz w:val="32"/>
          <w:szCs w:val="32"/>
        </w:rPr>
      </w:pPr>
      <w:r w:rsidRPr="00D14639">
        <w:rPr>
          <w:b/>
          <w:color w:val="17365D" w:themeColor="text2" w:themeShade="BF"/>
          <w:sz w:val="32"/>
          <w:szCs w:val="32"/>
        </w:rPr>
        <w:t>«Η ΔΥΝΑΤΟΤΗΤΑ ΠΡΟΣΒΑΣΗΣ»</w:t>
      </w:r>
      <w:bookmarkEnd w:id="24"/>
      <w:bookmarkEnd w:id="25"/>
      <w:bookmarkEnd w:id="26"/>
      <w:bookmarkEnd w:id="27"/>
    </w:p>
    <w:p w:rsidR="00AB7B11" w:rsidRDefault="00AB7B11" w:rsidP="00463803">
      <w:pPr>
        <w:spacing w:after="0" w:line="240" w:lineRule="auto"/>
        <w:jc w:val="center"/>
        <w:rPr>
          <w:b/>
          <w:color w:val="943634" w:themeColor="accent2" w:themeShade="BF"/>
          <w:sz w:val="32"/>
          <w:szCs w:val="32"/>
          <w:lang w:val="en-US"/>
        </w:rPr>
      </w:pPr>
    </w:p>
    <w:p w:rsidR="00AB7B11" w:rsidRPr="00AB7B11" w:rsidRDefault="00AB7B11" w:rsidP="00463803">
      <w:pPr>
        <w:spacing w:after="0" w:line="240" w:lineRule="auto"/>
        <w:jc w:val="center"/>
        <w:rPr>
          <w:b/>
          <w:color w:val="943634" w:themeColor="accent2" w:themeShade="BF"/>
          <w:sz w:val="32"/>
          <w:szCs w:val="32"/>
          <w:lang w:val="en-US"/>
        </w:rPr>
      </w:pPr>
    </w:p>
    <w:p w:rsidR="00AA128F" w:rsidRDefault="009F6329" w:rsidP="00463803">
      <w:pPr>
        <w:spacing w:after="0" w:line="240" w:lineRule="auto"/>
        <w:jc w:val="center"/>
        <w:outlineLvl w:val="0"/>
        <w:rPr>
          <w:sz w:val="28"/>
          <w:szCs w:val="28"/>
        </w:rPr>
      </w:pPr>
      <w:bookmarkStart w:id="28" w:name="_Toc419543110"/>
      <w:bookmarkStart w:id="29" w:name="_Toc419544576"/>
      <w:bookmarkStart w:id="30" w:name="_Toc419545137"/>
      <w:bookmarkStart w:id="31" w:name="_Toc419545175"/>
      <w:r w:rsidRPr="009F6329">
        <w:rPr>
          <w:sz w:val="28"/>
          <w:szCs w:val="28"/>
        </w:rPr>
        <w:t>Καθηγητής: Γεώργιος Γεραπετρίτης</w:t>
      </w:r>
      <w:bookmarkEnd w:id="28"/>
      <w:bookmarkEnd w:id="29"/>
      <w:bookmarkEnd w:id="30"/>
      <w:bookmarkEnd w:id="31"/>
    </w:p>
    <w:p w:rsidR="00463803" w:rsidRPr="009F6329" w:rsidRDefault="00463803" w:rsidP="00463803">
      <w:pPr>
        <w:spacing w:after="0" w:line="240" w:lineRule="auto"/>
        <w:jc w:val="center"/>
        <w:outlineLvl w:val="0"/>
        <w:rPr>
          <w:sz w:val="28"/>
          <w:szCs w:val="28"/>
        </w:rPr>
      </w:pPr>
    </w:p>
    <w:p w:rsidR="00AA128F" w:rsidRDefault="00AA128F" w:rsidP="00463803">
      <w:pPr>
        <w:spacing w:after="0" w:line="240" w:lineRule="auto"/>
        <w:rPr>
          <w:b/>
          <w:sz w:val="28"/>
          <w:szCs w:val="28"/>
          <w:lang w:val="en-US"/>
        </w:rPr>
      </w:pPr>
    </w:p>
    <w:p w:rsidR="00AB7B11" w:rsidRPr="00AB7B11" w:rsidRDefault="00AB7B11" w:rsidP="00463803">
      <w:pPr>
        <w:spacing w:after="0" w:line="240" w:lineRule="auto"/>
        <w:rPr>
          <w:b/>
          <w:sz w:val="28"/>
          <w:szCs w:val="28"/>
          <w:lang w:val="en-US"/>
        </w:rPr>
      </w:pPr>
    </w:p>
    <w:p w:rsidR="00AA128F" w:rsidRDefault="00AA128F" w:rsidP="00463803">
      <w:pPr>
        <w:spacing w:after="0" w:line="240" w:lineRule="auto"/>
        <w:rPr>
          <w:b/>
          <w:sz w:val="28"/>
          <w:szCs w:val="28"/>
        </w:rPr>
      </w:pPr>
    </w:p>
    <w:p w:rsidR="00AA128F" w:rsidRPr="009F6329" w:rsidRDefault="009F6329" w:rsidP="00463803">
      <w:pPr>
        <w:spacing w:after="0" w:line="240" w:lineRule="auto"/>
        <w:jc w:val="right"/>
        <w:outlineLvl w:val="0"/>
        <w:rPr>
          <w:sz w:val="28"/>
          <w:szCs w:val="28"/>
        </w:rPr>
      </w:pPr>
      <w:bookmarkStart w:id="32" w:name="_Toc419543111"/>
      <w:bookmarkStart w:id="33" w:name="_Toc419544577"/>
      <w:bookmarkStart w:id="34" w:name="_Toc419545138"/>
      <w:bookmarkStart w:id="35" w:name="_Toc419545176"/>
      <w:r w:rsidRPr="009F6329">
        <w:rPr>
          <w:sz w:val="28"/>
          <w:szCs w:val="28"/>
        </w:rPr>
        <w:t>Γιαννούλη Κωνσταντίνα 737</w:t>
      </w:r>
      <w:bookmarkEnd w:id="32"/>
      <w:bookmarkEnd w:id="33"/>
      <w:bookmarkEnd w:id="34"/>
      <w:bookmarkEnd w:id="35"/>
    </w:p>
    <w:p w:rsidR="00AA128F" w:rsidRPr="009F6329" w:rsidRDefault="00AA128F" w:rsidP="00463803">
      <w:pPr>
        <w:spacing w:after="0" w:line="240" w:lineRule="auto"/>
        <w:jc w:val="right"/>
        <w:rPr>
          <w:sz w:val="28"/>
          <w:szCs w:val="28"/>
        </w:rPr>
      </w:pPr>
    </w:p>
    <w:p w:rsidR="00AA128F" w:rsidRDefault="00AA128F" w:rsidP="00463803">
      <w:pPr>
        <w:spacing w:after="0" w:line="240" w:lineRule="auto"/>
        <w:jc w:val="right"/>
        <w:rPr>
          <w:sz w:val="28"/>
          <w:szCs w:val="28"/>
        </w:rPr>
      </w:pPr>
    </w:p>
    <w:p w:rsidR="00463803" w:rsidRDefault="00463803" w:rsidP="00463803">
      <w:pPr>
        <w:spacing w:after="0" w:line="240" w:lineRule="auto"/>
        <w:jc w:val="right"/>
        <w:rPr>
          <w:sz w:val="28"/>
          <w:szCs w:val="28"/>
        </w:rPr>
      </w:pPr>
    </w:p>
    <w:p w:rsidR="00463803" w:rsidRDefault="00463803" w:rsidP="00463803">
      <w:pPr>
        <w:spacing w:after="0" w:line="240" w:lineRule="auto"/>
        <w:jc w:val="right"/>
        <w:rPr>
          <w:sz w:val="28"/>
          <w:szCs w:val="28"/>
          <w:lang w:val="en-US"/>
        </w:rPr>
      </w:pPr>
    </w:p>
    <w:p w:rsidR="00463803" w:rsidRPr="00AB7B11" w:rsidRDefault="00463803" w:rsidP="00463803">
      <w:pPr>
        <w:spacing w:after="0" w:line="240" w:lineRule="auto"/>
        <w:jc w:val="right"/>
        <w:rPr>
          <w:sz w:val="28"/>
          <w:szCs w:val="28"/>
          <w:lang w:val="en-US"/>
        </w:rPr>
      </w:pPr>
    </w:p>
    <w:p w:rsidR="00463803" w:rsidRDefault="009F6329" w:rsidP="00463803">
      <w:pPr>
        <w:spacing w:after="0" w:line="240" w:lineRule="auto"/>
        <w:jc w:val="center"/>
        <w:rPr>
          <w:sz w:val="28"/>
          <w:szCs w:val="28"/>
        </w:rPr>
      </w:pPr>
      <w:r w:rsidRPr="009F6329">
        <w:rPr>
          <w:sz w:val="28"/>
          <w:szCs w:val="28"/>
        </w:rPr>
        <w:t>Μάιος 2015</w:t>
      </w:r>
    </w:p>
    <w:p w:rsidR="0097647D" w:rsidRPr="00191186" w:rsidRDefault="0097647D" w:rsidP="00191186">
      <w:pPr>
        <w:rPr>
          <w:lang w:val="en-US"/>
        </w:rPr>
      </w:pPr>
    </w:p>
    <w:sdt>
      <w:sdtPr>
        <w:rPr>
          <w:rFonts w:asciiTheme="minorHAnsi" w:eastAsiaTheme="minorHAnsi" w:hAnsiTheme="minorHAnsi" w:cstheme="minorBidi"/>
          <w:color w:val="auto"/>
          <w:sz w:val="22"/>
          <w:szCs w:val="22"/>
          <w:lang w:val="el-GR"/>
        </w:rPr>
        <w:id w:val="-1653442286"/>
        <w:docPartObj>
          <w:docPartGallery w:val="Table of Contents"/>
          <w:docPartUnique/>
        </w:docPartObj>
      </w:sdtPr>
      <w:sdtEndPr>
        <w:rPr>
          <w:b/>
          <w:bCs/>
          <w:noProof/>
        </w:rPr>
      </w:sdtEndPr>
      <w:sdtContent>
        <w:p w:rsidR="00463803" w:rsidRDefault="00463803" w:rsidP="00463803">
          <w:pPr>
            <w:pStyle w:val="TOCHeading"/>
            <w:spacing w:before="0" w:line="240" w:lineRule="auto"/>
            <w:rPr>
              <w:color w:val="auto"/>
              <w:lang w:val="el-GR"/>
            </w:rPr>
          </w:pPr>
          <w:r w:rsidRPr="00463803">
            <w:rPr>
              <w:color w:val="auto"/>
              <w:lang w:val="el-GR"/>
            </w:rPr>
            <w:t>Περιεχόμενα</w:t>
          </w:r>
        </w:p>
        <w:p w:rsidR="00597305" w:rsidRPr="00597305" w:rsidRDefault="00597305" w:rsidP="00597305">
          <w:pPr>
            <w:spacing w:after="0" w:line="240" w:lineRule="auto"/>
          </w:pPr>
        </w:p>
        <w:p w:rsidR="00597305" w:rsidRPr="00D75821" w:rsidRDefault="00E96E40" w:rsidP="00597305">
          <w:pPr>
            <w:pStyle w:val="TOC1"/>
            <w:tabs>
              <w:tab w:val="right" w:leader="dot" w:pos="8296"/>
            </w:tabs>
            <w:spacing w:after="0" w:line="360" w:lineRule="auto"/>
            <w:rPr>
              <w:rFonts w:eastAsiaTheme="minorEastAsia"/>
              <w:noProof/>
              <w:sz w:val="24"/>
              <w:lang w:val="en-US" w:eastAsia="en-GB"/>
            </w:rPr>
          </w:pPr>
          <w:r w:rsidRPr="00E96E40">
            <w:rPr>
              <w:sz w:val="24"/>
            </w:rPr>
            <w:fldChar w:fldCharType="begin"/>
          </w:r>
          <w:r w:rsidR="00463803" w:rsidRPr="00597305">
            <w:rPr>
              <w:sz w:val="24"/>
            </w:rPr>
            <w:instrText xml:space="preserve"> TOC \o "1-3" \h \z \u </w:instrText>
          </w:r>
          <w:r w:rsidRPr="00E96E40">
            <w:rPr>
              <w:sz w:val="24"/>
            </w:rPr>
            <w:fldChar w:fldCharType="separate"/>
          </w:r>
          <w:hyperlink w:anchor="_Toc419545177" w:history="1">
            <w:r w:rsidR="00597305" w:rsidRPr="00597305">
              <w:rPr>
                <w:rStyle w:val="Hyperlink"/>
                <w:noProof/>
                <w:sz w:val="24"/>
              </w:rPr>
              <w:t>Εισαγωγή</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_Toc419545177 \h </w:instrText>
            </w:r>
            <w:r w:rsidRPr="00597305">
              <w:rPr>
                <w:noProof/>
                <w:webHidden/>
                <w:sz w:val="24"/>
              </w:rPr>
            </w:r>
            <w:r w:rsidRPr="00597305">
              <w:rPr>
                <w:noProof/>
                <w:webHidden/>
                <w:sz w:val="24"/>
              </w:rPr>
              <w:fldChar w:fldCharType="separate"/>
            </w:r>
            <w:r w:rsidR="00597305" w:rsidRPr="00597305">
              <w:rPr>
                <w:noProof/>
                <w:webHidden/>
                <w:sz w:val="24"/>
              </w:rPr>
              <w:t>3</w:t>
            </w:r>
            <w:r w:rsidRPr="00597305">
              <w:rPr>
                <w:noProof/>
                <w:webHidden/>
                <w:sz w:val="24"/>
              </w:rPr>
              <w:fldChar w:fldCharType="end"/>
            </w:r>
          </w:hyperlink>
        </w:p>
        <w:p w:rsidR="00597305" w:rsidRPr="00597305" w:rsidRDefault="00E96E40" w:rsidP="00597305">
          <w:pPr>
            <w:pStyle w:val="TOC1"/>
            <w:tabs>
              <w:tab w:val="right" w:leader="dot" w:pos="8296"/>
            </w:tabs>
            <w:spacing w:after="0" w:line="360" w:lineRule="auto"/>
            <w:rPr>
              <w:rFonts w:eastAsiaTheme="minorEastAsia"/>
              <w:noProof/>
              <w:sz w:val="24"/>
              <w:lang w:val="en-GB" w:eastAsia="en-GB"/>
            </w:rPr>
          </w:pPr>
          <w:hyperlink w:anchor="_Toc419545178" w:history="1">
            <w:r w:rsidR="00597305" w:rsidRPr="00597305">
              <w:rPr>
                <w:rStyle w:val="Hyperlink"/>
                <w:noProof/>
                <w:sz w:val="24"/>
              </w:rPr>
              <w:t>Ανάλυση Προϋποθέσεων Πρόσβασης στα Δικαστήρια</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_Toc419545178 \h </w:instrText>
            </w:r>
            <w:r w:rsidRPr="00597305">
              <w:rPr>
                <w:noProof/>
                <w:webHidden/>
                <w:sz w:val="24"/>
              </w:rPr>
            </w:r>
            <w:r w:rsidRPr="00597305">
              <w:rPr>
                <w:noProof/>
                <w:webHidden/>
                <w:sz w:val="24"/>
              </w:rPr>
              <w:fldChar w:fldCharType="separate"/>
            </w:r>
            <w:r w:rsidR="00597305" w:rsidRPr="00597305">
              <w:rPr>
                <w:noProof/>
                <w:webHidden/>
                <w:sz w:val="24"/>
              </w:rPr>
              <w:t>4</w:t>
            </w:r>
            <w:r w:rsidRPr="00597305">
              <w:rPr>
                <w:noProof/>
                <w:webHidden/>
                <w:sz w:val="24"/>
              </w:rPr>
              <w:fldChar w:fldCharType="end"/>
            </w:r>
          </w:hyperlink>
        </w:p>
        <w:p w:rsidR="00597305" w:rsidRPr="00597305" w:rsidRDefault="00E96E40" w:rsidP="00597305">
          <w:pPr>
            <w:pStyle w:val="TOC2"/>
            <w:tabs>
              <w:tab w:val="left" w:pos="660"/>
              <w:tab w:val="right" w:leader="dot" w:pos="8296"/>
            </w:tabs>
            <w:spacing w:after="0" w:line="360" w:lineRule="auto"/>
            <w:ind w:left="0"/>
            <w:rPr>
              <w:rFonts w:eastAsiaTheme="minorEastAsia"/>
              <w:noProof/>
              <w:sz w:val="24"/>
              <w:lang w:val="en-GB" w:eastAsia="en-GB"/>
            </w:rPr>
          </w:pPr>
          <w:hyperlink w:anchor="_Toc419545179" w:history="1">
            <w:r w:rsidR="00597305" w:rsidRPr="00597305">
              <w:rPr>
                <w:rStyle w:val="Hyperlink"/>
                <w:b/>
                <w:noProof/>
                <w:sz w:val="24"/>
              </w:rPr>
              <w:t>1.</w:t>
            </w:r>
            <w:r w:rsidR="00597305" w:rsidRPr="00597305">
              <w:rPr>
                <w:rFonts w:eastAsiaTheme="minorEastAsia"/>
                <w:noProof/>
                <w:sz w:val="24"/>
                <w:lang w:val="en-GB" w:eastAsia="en-GB"/>
              </w:rPr>
              <w:tab/>
            </w:r>
            <w:r w:rsidR="00597305" w:rsidRPr="00597305">
              <w:rPr>
                <w:rStyle w:val="Hyperlink"/>
                <w:b/>
                <w:noProof/>
                <w:sz w:val="24"/>
              </w:rPr>
              <w:t>European Court οf Human Rights (Ευρωπαϊκό Δικαστήριο Ανθρωπίνων Δικαιωμάτων):</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_Toc419545179 \h </w:instrText>
            </w:r>
            <w:r w:rsidRPr="00597305">
              <w:rPr>
                <w:noProof/>
                <w:webHidden/>
                <w:sz w:val="24"/>
              </w:rPr>
            </w:r>
            <w:r w:rsidRPr="00597305">
              <w:rPr>
                <w:noProof/>
                <w:webHidden/>
                <w:sz w:val="24"/>
              </w:rPr>
              <w:fldChar w:fldCharType="separate"/>
            </w:r>
            <w:r w:rsidR="00597305" w:rsidRPr="00597305">
              <w:rPr>
                <w:noProof/>
                <w:webHidden/>
                <w:sz w:val="24"/>
              </w:rPr>
              <w:t>4</w:t>
            </w:r>
            <w:r w:rsidRPr="00597305">
              <w:rPr>
                <w:noProof/>
                <w:webHidden/>
                <w:sz w:val="24"/>
              </w:rPr>
              <w:fldChar w:fldCharType="end"/>
            </w:r>
          </w:hyperlink>
        </w:p>
        <w:p w:rsidR="00597305" w:rsidRPr="00597305" w:rsidRDefault="00E96E40" w:rsidP="00597305">
          <w:pPr>
            <w:pStyle w:val="TOC2"/>
            <w:tabs>
              <w:tab w:val="left" w:pos="660"/>
              <w:tab w:val="right" w:leader="dot" w:pos="8296"/>
            </w:tabs>
            <w:spacing w:after="0" w:line="360" w:lineRule="auto"/>
            <w:ind w:left="0"/>
            <w:rPr>
              <w:rFonts w:eastAsiaTheme="minorEastAsia"/>
              <w:noProof/>
              <w:sz w:val="24"/>
              <w:lang w:val="en-GB" w:eastAsia="en-GB"/>
            </w:rPr>
          </w:pPr>
          <w:hyperlink w:anchor="_Toc419545180" w:history="1">
            <w:r w:rsidR="00597305" w:rsidRPr="00597305">
              <w:rPr>
                <w:rStyle w:val="Hyperlink"/>
                <w:b/>
                <w:noProof/>
                <w:sz w:val="24"/>
              </w:rPr>
              <w:t>2.</w:t>
            </w:r>
            <w:r w:rsidR="00597305" w:rsidRPr="00597305">
              <w:rPr>
                <w:rFonts w:eastAsiaTheme="minorEastAsia"/>
                <w:noProof/>
                <w:sz w:val="24"/>
                <w:lang w:val="en-GB" w:eastAsia="en-GB"/>
              </w:rPr>
              <w:tab/>
            </w:r>
            <w:r w:rsidR="00597305" w:rsidRPr="00597305">
              <w:rPr>
                <w:rStyle w:val="Hyperlink"/>
                <w:b/>
                <w:noProof/>
                <w:sz w:val="24"/>
              </w:rPr>
              <w:t>Inter – American Court of Human Rights (Διαμερικανικό Δικαστήριο Ανθρωπίνων Δικαιωμάτων):</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_Toc419545180 \h </w:instrText>
            </w:r>
            <w:r w:rsidRPr="00597305">
              <w:rPr>
                <w:noProof/>
                <w:webHidden/>
                <w:sz w:val="24"/>
              </w:rPr>
            </w:r>
            <w:r w:rsidRPr="00597305">
              <w:rPr>
                <w:noProof/>
                <w:webHidden/>
                <w:sz w:val="24"/>
              </w:rPr>
              <w:fldChar w:fldCharType="separate"/>
            </w:r>
            <w:r w:rsidR="00597305" w:rsidRPr="00597305">
              <w:rPr>
                <w:noProof/>
                <w:webHidden/>
                <w:sz w:val="24"/>
              </w:rPr>
              <w:t>9</w:t>
            </w:r>
            <w:r w:rsidRPr="00597305">
              <w:rPr>
                <w:noProof/>
                <w:webHidden/>
                <w:sz w:val="24"/>
              </w:rPr>
              <w:fldChar w:fldCharType="end"/>
            </w:r>
          </w:hyperlink>
        </w:p>
        <w:p w:rsidR="00597305" w:rsidRPr="00597305" w:rsidRDefault="00E96E40" w:rsidP="00597305">
          <w:pPr>
            <w:pStyle w:val="TOC2"/>
            <w:tabs>
              <w:tab w:val="left" w:pos="660"/>
              <w:tab w:val="right" w:leader="dot" w:pos="8296"/>
            </w:tabs>
            <w:spacing w:after="0" w:line="360" w:lineRule="auto"/>
            <w:ind w:left="0"/>
            <w:rPr>
              <w:rFonts w:eastAsiaTheme="minorEastAsia"/>
              <w:noProof/>
              <w:sz w:val="24"/>
              <w:lang w:val="en-GB" w:eastAsia="en-GB"/>
            </w:rPr>
          </w:pPr>
          <w:hyperlink w:anchor="_Toc419545181" w:history="1">
            <w:r w:rsidR="00597305" w:rsidRPr="00597305">
              <w:rPr>
                <w:rStyle w:val="Hyperlink"/>
                <w:b/>
                <w:noProof/>
                <w:sz w:val="24"/>
              </w:rPr>
              <w:t>3.</w:t>
            </w:r>
            <w:r w:rsidR="00597305" w:rsidRPr="00597305">
              <w:rPr>
                <w:rFonts w:eastAsiaTheme="minorEastAsia"/>
                <w:noProof/>
                <w:sz w:val="24"/>
                <w:lang w:val="en-GB" w:eastAsia="en-GB"/>
              </w:rPr>
              <w:tab/>
            </w:r>
            <w:r w:rsidR="00597305" w:rsidRPr="00597305">
              <w:rPr>
                <w:rStyle w:val="Hyperlink"/>
                <w:b/>
                <w:noProof/>
                <w:sz w:val="24"/>
              </w:rPr>
              <w:t>African Court on Human and People‘s Rights (Αφρικανικό Δικαστήριο για τα Δικαιώματα Ανθρώπων και Λαών):</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_Toc419545181 \h </w:instrText>
            </w:r>
            <w:r w:rsidRPr="00597305">
              <w:rPr>
                <w:noProof/>
                <w:webHidden/>
                <w:sz w:val="24"/>
              </w:rPr>
            </w:r>
            <w:r w:rsidRPr="00597305">
              <w:rPr>
                <w:noProof/>
                <w:webHidden/>
                <w:sz w:val="24"/>
              </w:rPr>
              <w:fldChar w:fldCharType="separate"/>
            </w:r>
            <w:r w:rsidR="00597305" w:rsidRPr="00597305">
              <w:rPr>
                <w:noProof/>
                <w:webHidden/>
                <w:sz w:val="24"/>
              </w:rPr>
              <w:t>11</w:t>
            </w:r>
            <w:r w:rsidRPr="00597305">
              <w:rPr>
                <w:noProof/>
                <w:webHidden/>
                <w:sz w:val="24"/>
              </w:rPr>
              <w:fldChar w:fldCharType="end"/>
            </w:r>
          </w:hyperlink>
        </w:p>
        <w:p w:rsidR="00597305" w:rsidRPr="00597305" w:rsidRDefault="00E96E40" w:rsidP="00597305">
          <w:pPr>
            <w:pStyle w:val="TOC2"/>
            <w:tabs>
              <w:tab w:val="left" w:pos="660"/>
              <w:tab w:val="right" w:leader="dot" w:pos="8296"/>
            </w:tabs>
            <w:spacing w:after="0" w:line="360" w:lineRule="auto"/>
            <w:ind w:left="0"/>
            <w:rPr>
              <w:rFonts w:eastAsiaTheme="minorEastAsia"/>
              <w:noProof/>
              <w:sz w:val="24"/>
              <w:lang w:val="en-GB" w:eastAsia="en-GB"/>
            </w:rPr>
          </w:pPr>
          <w:hyperlink w:anchor="_Toc419545182" w:history="1">
            <w:r w:rsidR="00597305" w:rsidRPr="00597305">
              <w:rPr>
                <w:rStyle w:val="Hyperlink"/>
                <w:b/>
                <w:noProof/>
                <w:sz w:val="24"/>
              </w:rPr>
              <w:t>4.</w:t>
            </w:r>
            <w:r w:rsidR="00597305" w:rsidRPr="00597305">
              <w:rPr>
                <w:rFonts w:eastAsiaTheme="minorEastAsia"/>
                <w:noProof/>
                <w:sz w:val="24"/>
                <w:lang w:val="en-GB" w:eastAsia="en-GB"/>
              </w:rPr>
              <w:tab/>
            </w:r>
            <w:r w:rsidR="00597305" w:rsidRPr="00597305">
              <w:rPr>
                <w:rStyle w:val="Hyperlink"/>
                <w:b/>
                <w:noProof/>
                <w:sz w:val="24"/>
              </w:rPr>
              <w:t>Southeast Asian Court οf Human Rights (Δικαστήριο Νοτιοανατολικής Ασίας Ανθρωπίνων Δικαιωμάτων):</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_Toc419545182 \h </w:instrText>
            </w:r>
            <w:r w:rsidRPr="00597305">
              <w:rPr>
                <w:noProof/>
                <w:webHidden/>
                <w:sz w:val="24"/>
              </w:rPr>
            </w:r>
            <w:r w:rsidRPr="00597305">
              <w:rPr>
                <w:noProof/>
                <w:webHidden/>
                <w:sz w:val="24"/>
              </w:rPr>
              <w:fldChar w:fldCharType="separate"/>
            </w:r>
            <w:r w:rsidR="00597305" w:rsidRPr="00597305">
              <w:rPr>
                <w:noProof/>
                <w:webHidden/>
                <w:sz w:val="24"/>
              </w:rPr>
              <w:t>13</w:t>
            </w:r>
            <w:r w:rsidRPr="00597305">
              <w:rPr>
                <w:noProof/>
                <w:webHidden/>
                <w:sz w:val="24"/>
              </w:rPr>
              <w:fldChar w:fldCharType="end"/>
            </w:r>
          </w:hyperlink>
        </w:p>
        <w:p w:rsidR="00597305" w:rsidRPr="00597305" w:rsidRDefault="00E96E40" w:rsidP="00597305">
          <w:pPr>
            <w:pStyle w:val="TOC2"/>
            <w:tabs>
              <w:tab w:val="left" w:pos="660"/>
              <w:tab w:val="right" w:leader="dot" w:pos="8296"/>
            </w:tabs>
            <w:spacing w:after="0" w:line="360" w:lineRule="auto"/>
            <w:ind w:left="0"/>
            <w:rPr>
              <w:rFonts w:eastAsiaTheme="minorEastAsia"/>
              <w:noProof/>
              <w:sz w:val="24"/>
              <w:lang w:val="en-GB" w:eastAsia="en-GB"/>
            </w:rPr>
          </w:pPr>
          <w:hyperlink w:anchor="_Toc419545183" w:history="1">
            <w:r w:rsidR="00597305" w:rsidRPr="00597305">
              <w:rPr>
                <w:rStyle w:val="Hyperlink"/>
                <w:b/>
                <w:noProof/>
                <w:sz w:val="24"/>
              </w:rPr>
              <w:t>5.</w:t>
            </w:r>
            <w:r w:rsidR="00597305" w:rsidRPr="00597305">
              <w:rPr>
                <w:rFonts w:eastAsiaTheme="minorEastAsia"/>
                <w:noProof/>
                <w:sz w:val="24"/>
                <w:lang w:val="en-GB" w:eastAsia="en-GB"/>
              </w:rPr>
              <w:tab/>
            </w:r>
            <w:r w:rsidR="00597305" w:rsidRPr="00597305">
              <w:rPr>
                <w:rStyle w:val="Hyperlink"/>
                <w:b/>
                <w:noProof/>
                <w:sz w:val="24"/>
              </w:rPr>
              <w:t>International Court οf Justice (Διεθνές Δικαστήριο Δικαιοσύνης):</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_Toc419545183 \h </w:instrText>
            </w:r>
            <w:r w:rsidRPr="00597305">
              <w:rPr>
                <w:noProof/>
                <w:webHidden/>
                <w:sz w:val="24"/>
              </w:rPr>
            </w:r>
            <w:r w:rsidRPr="00597305">
              <w:rPr>
                <w:noProof/>
                <w:webHidden/>
                <w:sz w:val="24"/>
              </w:rPr>
              <w:fldChar w:fldCharType="separate"/>
            </w:r>
            <w:r w:rsidR="00597305" w:rsidRPr="00597305">
              <w:rPr>
                <w:noProof/>
                <w:webHidden/>
                <w:sz w:val="24"/>
              </w:rPr>
              <w:t>15</w:t>
            </w:r>
            <w:r w:rsidRPr="00597305">
              <w:rPr>
                <w:noProof/>
                <w:webHidden/>
                <w:sz w:val="24"/>
              </w:rPr>
              <w:fldChar w:fldCharType="end"/>
            </w:r>
          </w:hyperlink>
        </w:p>
        <w:p w:rsidR="00597305" w:rsidRPr="00597305" w:rsidRDefault="00E96E40" w:rsidP="00597305">
          <w:pPr>
            <w:pStyle w:val="TOC1"/>
            <w:tabs>
              <w:tab w:val="right" w:leader="dot" w:pos="8296"/>
            </w:tabs>
            <w:spacing w:after="0" w:line="360" w:lineRule="auto"/>
            <w:rPr>
              <w:rFonts w:eastAsiaTheme="minorEastAsia"/>
              <w:noProof/>
              <w:sz w:val="24"/>
              <w:lang w:val="en-GB" w:eastAsia="en-GB"/>
            </w:rPr>
          </w:pPr>
          <w:hyperlink w:anchor="_Toc419545184" w:history="1">
            <w:r w:rsidR="00597305" w:rsidRPr="00597305">
              <w:rPr>
                <w:rStyle w:val="Hyperlink"/>
                <w:noProof/>
                <w:sz w:val="24"/>
              </w:rPr>
              <w:t>Συμπεράσματα</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_Toc419545184 \h </w:instrText>
            </w:r>
            <w:r w:rsidRPr="00597305">
              <w:rPr>
                <w:noProof/>
                <w:webHidden/>
                <w:sz w:val="24"/>
              </w:rPr>
            </w:r>
            <w:r w:rsidRPr="00597305">
              <w:rPr>
                <w:noProof/>
                <w:webHidden/>
                <w:sz w:val="24"/>
              </w:rPr>
              <w:fldChar w:fldCharType="separate"/>
            </w:r>
            <w:r w:rsidR="00597305" w:rsidRPr="00597305">
              <w:rPr>
                <w:noProof/>
                <w:webHidden/>
                <w:sz w:val="24"/>
              </w:rPr>
              <w:t>16</w:t>
            </w:r>
            <w:r w:rsidRPr="00597305">
              <w:rPr>
                <w:noProof/>
                <w:webHidden/>
                <w:sz w:val="24"/>
              </w:rPr>
              <w:fldChar w:fldCharType="end"/>
            </w:r>
          </w:hyperlink>
        </w:p>
        <w:p w:rsidR="00597305" w:rsidRPr="00597305" w:rsidRDefault="00E96E40" w:rsidP="00597305">
          <w:pPr>
            <w:pStyle w:val="TOC1"/>
            <w:tabs>
              <w:tab w:val="right" w:leader="dot" w:pos="8296"/>
            </w:tabs>
            <w:spacing w:after="0" w:line="360" w:lineRule="auto"/>
            <w:rPr>
              <w:rFonts w:eastAsiaTheme="minorEastAsia"/>
              <w:noProof/>
              <w:sz w:val="24"/>
              <w:lang w:val="en-GB" w:eastAsia="en-GB"/>
            </w:rPr>
          </w:pPr>
          <w:hyperlink w:anchor="_Toc419545185" w:history="1">
            <w:r w:rsidR="00597305" w:rsidRPr="00597305">
              <w:rPr>
                <w:rStyle w:val="Hyperlink"/>
                <w:noProof/>
                <w:sz w:val="24"/>
              </w:rPr>
              <w:t>Βιβλιογραφία</w:t>
            </w:r>
            <w:r w:rsidR="00597305" w:rsidRPr="00597305">
              <w:rPr>
                <w:noProof/>
                <w:webHidden/>
                <w:sz w:val="24"/>
              </w:rPr>
              <w:tab/>
            </w:r>
            <w:r w:rsidRPr="00597305">
              <w:rPr>
                <w:noProof/>
                <w:webHidden/>
                <w:sz w:val="24"/>
              </w:rPr>
              <w:fldChar w:fldCharType="begin"/>
            </w:r>
            <w:r w:rsidR="00597305" w:rsidRPr="00597305">
              <w:rPr>
                <w:noProof/>
                <w:webHidden/>
                <w:sz w:val="24"/>
              </w:rPr>
              <w:instrText xml:space="preserve"> PAGEREF _Toc419545185 \h </w:instrText>
            </w:r>
            <w:r w:rsidRPr="00597305">
              <w:rPr>
                <w:noProof/>
                <w:webHidden/>
                <w:sz w:val="24"/>
              </w:rPr>
            </w:r>
            <w:r w:rsidRPr="00597305">
              <w:rPr>
                <w:noProof/>
                <w:webHidden/>
                <w:sz w:val="24"/>
              </w:rPr>
              <w:fldChar w:fldCharType="separate"/>
            </w:r>
            <w:r w:rsidR="00597305" w:rsidRPr="00597305">
              <w:rPr>
                <w:noProof/>
                <w:webHidden/>
                <w:sz w:val="24"/>
              </w:rPr>
              <w:t>18</w:t>
            </w:r>
            <w:r w:rsidRPr="00597305">
              <w:rPr>
                <w:noProof/>
                <w:webHidden/>
                <w:sz w:val="24"/>
              </w:rPr>
              <w:fldChar w:fldCharType="end"/>
            </w:r>
          </w:hyperlink>
        </w:p>
        <w:p w:rsidR="00463803" w:rsidRDefault="00E96E40" w:rsidP="00597305">
          <w:pPr>
            <w:spacing w:after="0" w:line="360" w:lineRule="auto"/>
          </w:pPr>
          <w:r w:rsidRPr="00597305">
            <w:rPr>
              <w:b/>
              <w:bCs/>
              <w:noProof/>
              <w:sz w:val="24"/>
            </w:rPr>
            <w:fldChar w:fldCharType="end"/>
          </w:r>
        </w:p>
      </w:sdtContent>
    </w:sdt>
    <w:p w:rsidR="00D83959" w:rsidRPr="00543A6C" w:rsidRDefault="00D83959" w:rsidP="00463803">
      <w:pPr>
        <w:spacing w:after="0" w:line="240" w:lineRule="auto"/>
        <w:rPr>
          <w:sz w:val="28"/>
          <w:szCs w:val="28"/>
        </w:rPr>
      </w:pPr>
      <w:r w:rsidRPr="00543A6C">
        <w:rPr>
          <w:sz w:val="28"/>
          <w:szCs w:val="28"/>
        </w:rPr>
        <w:br w:type="page"/>
      </w:r>
    </w:p>
    <w:p w:rsidR="00D83959" w:rsidRDefault="00543A6C" w:rsidP="00463803">
      <w:pPr>
        <w:pStyle w:val="Heading1"/>
        <w:spacing w:before="0" w:line="240" w:lineRule="auto"/>
        <w:rPr>
          <w:color w:val="auto"/>
        </w:rPr>
      </w:pPr>
      <w:bookmarkStart w:id="36" w:name="_Toc419545177"/>
      <w:r w:rsidRPr="00463803">
        <w:rPr>
          <w:color w:val="auto"/>
        </w:rPr>
        <w:lastRenderedPageBreak/>
        <w:t>Εισαγωγή</w:t>
      </w:r>
      <w:bookmarkEnd w:id="36"/>
    </w:p>
    <w:p w:rsidR="00463803" w:rsidRPr="00463803" w:rsidRDefault="00463803" w:rsidP="00463803">
      <w:pPr>
        <w:spacing w:after="0" w:line="240" w:lineRule="auto"/>
      </w:pPr>
    </w:p>
    <w:p w:rsidR="00B75EE1" w:rsidRDefault="00D83959" w:rsidP="00463803">
      <w:pPr>
        <w:spacing w:after="0" w:line="240" w:lineRule="auto"/>
        <w:jc w:val="both"/>
        <w:rPr>
          <w:sz w:val="24"/>
          <w:szCs w:val="24"/>
        </w:rPr>
      </w:pPr>
      <w:r w:rsidRPr="00D83959">
        <w:rPr>
          <w:sz w:val="24"/>
          <w:szCs w:val="24"/>
        </w:rPr>
        <w:t>Τα πρώ</w:t>
      </w:r>
      <w:r>
        <w:rPr>
          <w:sz w:val="24"/>
          <w:szCs w:val="24"/>
        </w:rPr>
        <w:t xml:space="preserve">τα διεθνή κείμενα περί προστασίας ανθρωπίνων δικαιωμάτων υιοθετήθηκαν σε πρώτη φάση μετά τον πρώτο παγκόσμιο πόλεμο, μεταξύ των ετών 1948-1970. </w:t>
      </w:r>
      <w:r w:rsidR="003409CD">
        <w:rPr>
          <w:sz w:val="24"/>
          <w:szCs w:val="24"/>
        </w:rPr>
        <w:t>Τ</w:t>
      </w:r>
      <w:r w:rsidR="003D5AB4">
        <w:rPr>
          <w:sz w:val="24"/>
          <w:szCs w:val="24"/>
        </w:rPr>
        <w:t xml:space="preserve">ην υιοθέτηση τους </w:t>
      </w:r>
      <w:r w:rsidR="003409CD">
        <w:rPr>
          <w:sz w:val="24"/>
          <w:szCs w:val="24"/>
        </w:rPr>
        <w:t xml:space="preserve">επηρέασαν </w:t>
      </w:r>
      <w:r w:rsidR="003D5AB4">
        <w:rPr>
          <w:sz w:val="24"/>
          <w:szCs w:val="24"/>
        </w:rPr>
        <w:t xml:space="preserve">λόγοι πολιτικοί, κοινωνικοί και φιλοσοφικοί. </w:t>
      </w:r>
      <w:r w:rsidR="003409CD">
        <w:rPr>
          <w:sz w:val="24"/>
          <w:szCs w:val="24"/>
        </w:rPr>
        <w:t>Μέτα τον πρώτο παγκόσμιο πόλεμο και τις κατάφ</w:t>
      </w:r>
      <w:r w:rsidR="00B75EE1">
        <w:rPr>
          <w:sz w:val="24"/>
          <w:szCs w:val="24"/>
        </w:rPr>
        <w:t>ω</w:t>
      </w:r>
      <w:r w:rsidR="003409CD">
        <w:rPr>
          <w:sz w:val="24"/>
          <w:szCs w:val="24"/>
        </w:rPr>
        <w:t>ρες παραβιάσεις των ανθρωπίνων δικαιωμάτων διαπιστώθηκε εκ μέρους των χωρών της δύσης η ανάγκη ύπαρξης διεθνών κειμένων προστασίας ανθρωπίνων δικαιωμάτων</w:t>
      </w:r>
      <w:r w:rsidR="00A87DC5">
        <w:rPr>
          <w:sz w:val="24"/>
          <w:szCs w:val="24"/>
        </w:rPr>
        <w:t>.</w:t>
      </w:r>
      <w:r w:rsidR="000F4469">
        <w:rPr>
          <w:sz w:val="24"/>
          <w:szCs w:val="24"/>
        </w:rPr>
        <w:t xml:space="preserve"> </w:t>
      </w:r>
      <w:r w:rsidR="00A87DC5">
        <w:rPr>
          <w:sz w:val="24"/>
          <w:szCs w:val="24"/>
        </w:rPr>
        <w:t>Αυτό είχε ως αποτέλεσμα σ</w:t>
      </w:r>
      <w:r w:rsidR="00DB6319">
        <w:rPr>
          <w:sz w:val="24"/>
          <w:szCs w:val="24"/>
        </w:rPr>
        <w:t xml:space="preserve">ήμερα </w:t>
      </w:r>
      <w:r w:rsidR="00A87DC5">
        <w:rPr>
          <w:sz w:val="24"/>
          <w:szCs w:val="24"/>
        </w:rPr>
        <w:t xml:space="preserve">να </w:t>
      </w:r>
      <w:r w:rsidR="00DB6319">
        <w:rPr>
          <w:sz w:val="24"/>
          <w:szCs w:val="24"/>
        </w:rPr>
        <w:t>υπάρχουν περισσότερα από 250 συμβατικά κείμενα</w:t>
      </w:r>
      <w:r w:rsidR="0029074A" w:rsidRPr="0029074A">
        <w:rPr>
          <w:sz w:val="24"/>
          <w:szCs w:val="24"/>
        </w:rPr>
        <w:t xml:space="preserve"> (</w:t>
      </w:r>
      <w:r w:rsidR="0029074A">
        <w:rPr>
          <w:sz w:val="24"/>
          <w:szCs w:val="24"/>
        </w:rPr>
        <w:t>συμβάσεις, συνθήκες, σύμφωνα, πρωτόκολλα)</w:t>
      </w:r>
      <w:r w:rsidR="00DB6319">
        <w:rPr>
          <w:sz w:val="24"/>
          <w:szCs w:val="24"/>
        </w:rPr>
        <w:t>, που διαμορφώθηκαν έπειτα από επεξεργασία στα Ηνωμένα Έθνη, στο Συμβούλιο της Ευρώπης, τον Οργανισμό Αμερικανικών Κρατών, τον Οργανισμό Αφρικανικής Ενότητας καθώς και σε άλλους οργανισμούς και συνδιασκέψεις.</w:t>
      </w:r>
    </w:p>
    <w:p w:rsidR="00463803" w:rsidRDefault="00463803" w:rsidP="00463803">
      <w:pPr>
        <w:spacing w:after="0" w:line="240" w:lineRule="auto"/>
        <w:jc w:val="both"/>
        <w:rPr>
          <w:sz w:val="24"/>
          <w:szCs w:val="24"/>
        </w:rPr>
      </w:pPr>
    </w:p>
    <w:p w:rsidR="00D83959" w:rsidRDefault="00A87DC5" w:rsidP="00463803">
      <w:pPr>
        <w:spacing w:after="0" w:line="240" w:lineRule="auto"/>
        <w:jc w:val="both"/>
        <w:rPr>
          <w:sz w:val="24"/>
          <w:szCs w:val="24"/>
        </w:rPr>
      </w:pPr>
      <w:r>
        <w:rPr>
          <w:sz w:val="24"/>
          <w:szCs w:val="24"/>
        </w:rPr>
        <w:t>Με τον όρο διεθνής προστασία ενοούμε πρώτον</w:t>
      </w:r>
      <w:r w:rsidR="008F3E3C">
        <w:rPr>
          <w:sz w:val="24"/>
          <w:szCs w:val="24"/>
        </w:rPr>
        <w:t>,</w:t>
      </w:r>
      <w:r>
        <w:rPr>
          <w:sz w:val="24"/>
          <w:szCs w:val="24"/>
        </w:rPr>
        <w:t xml:space="preserve"> ότι υπάρχουν διεθν</w:t>
      </w:r>
      <w:r w:rsidR="00B75EE1">
        <w:rPr>
          <w:sz w:val="24"/>
          <w:szCs w:val="24"/>
        </w:rPr>
        <w:t>εί</w:t>
      </w:r>
      <w:r>
        <w:rPr>
          <w:sz w:val="24"/>
          <w:szCs w:val="24"/>
        </w:rPr>
        <w:t>ς κανόνες οι οποίοι προνοούν για την αναγνώριση συγκεκριμένων δικαιωμάτων και ελευθεριών και δεύτερον</w:t>
      </w:r>
      <w:r w:rsidR="008F3E3C">
        <w:rPr>
          <w:sz w:val="24"/>
          <w:szCs w:val="24"/>
        </w:rPr>
        <w:t>,</w:t>
      </w:r>
      <w:r>
        <w:rPr>
          <w:sz w:val="24"/>
          <w:szCs w:val="24"/>
        </w:rPr>
        <w:t xml:space="preserve"> ότι ενεδεχομένως λειτουργούν διεθνείς μηχανισμοί ελέγχου</w:t>
      </w:r>
      <w:r w:rsidR="008F3E3C">
        <w:rPr>
          <w:sz w:val="24"/>
          <w:szCs w:val="24"/>
        </w:rPr>
        <w:t>, είτε από όργανα διεθνών οργανισμών</w:t>
      </w:r>
      <w:r w:rsidR="00D16C94">
        <w:rPr>
          <w:sz w:val="24"/>
          <w:szCs w:val="24"/>
        </w:rPr>
        <w:t>,</w:t>
      </w:r>
      <w:r w:rsidR="008F3E3C">
        <w:rPr>
          <w:sz w:val="24"/>
          <w:szCs w:val="24"/>
        </w:rPr>
        <w:t xml:space="preserve"> είτε από διεθνή όργανα που δεν υπάγονται απευθείας σε διεθνείς οργανισμούς, αλλά αποτελούν αυτοτελείς μηχανισμούς συνδεδεμένους με τα συμβατικά κείμενα που κατοχυρώνουν ουσιαστικ</w:t>
      </w:r>
      <w:r w:rsidR="006D793E">
        <w:rPr>
          <w:sz w:val="24"/>
          <w:szCs w:val="24"/>
        </w:rPr>
        <w:t>ά</w:t>
      </w:r>
      <w:r w:rsidR="008F3E3C">
        <w:rPr>
          <w:sz w:val="24"/>
          <w:szCs w:val="24"/>
        </w:rPr>
        <w:t xml:space="preserve"> δικαιώματα</w:t>
      </w:r>
      <w:r>
        <w:rPr>
          <w:sz w:val="24"/>
          <w:szCs w:val="24"/>
        </w:rPr>
        <w:t>.</w:t>
      </w:r>
      <w:r w:rsidR="00B75EE1">
        <w:rPr>
          <w:sz w:val="24"/>
          <w:szCs w:val="24"/>
        </w:rPr>
        <w:t xml:space="preserve"> </w:t>
      </w:r>
      <w:r w:rsidR="00156072">
        <w:rPr>
          <w:sz w:val="24"/>
          <w:szCs w:val="24"/>
        </w:rPr>
        <w:t>Η αποτελεσματικότητα</w:t>
      </w:r>
      <w:r w:rsidR="007B3CE6">
        <w:rPr>
          <w:sz w:val="24"/>
          <w:szCs w:val="24"/>
        </w:rPr>
        <w:t>, ωστόσο,</w:t>
      </w:r>
      <w:r w:rsidR="00156072">
        <w:rPr>
          <w:sz w:val="24"/>
          <w:szCs w:val="24"/>
        </w:rPr>
        <w:t xml:space="preserve"> των διεθνών μηχανισμών ελέγχου και των παρεμβάσεων των διεθνών οργάνων βασίζεται κατά πρώτο λόγο σε συναινετικές διαδικασίες.</w:t>
      </w:r>
      <w:r w:rsidR="007B3CE6">
        <w:rPr>
          <w:sz w:val="24"/>
          <w:szCs w:val="24"/>
        </w:rPr>
        <w:t xml:space="preserve"> Η διεθνής κοινότητα δεν αποτελεί παγκόσμια κυβέρνηση για να επιβάλλει τη βούληση της, και η συνεργασία διεθνών οργάνων και κυβερνήσεων είναι πολύ σημαντική για την προαγωγή των ανθρωπίνων δικαιωμάτων.</w:t>
      </w:r>
      <w:r w:rsidR="000444CB">
        <w:rPr>
          <w:sz w:val="24"/>
          <w:szCs w:val="24"/>
        </w:rPr>
        <w:t xml:space="preserve"> Ωστόσο, έχει κριθεί ότι ένας διεθνής οργανισμός μπορεί να εξετάσει και να αναλάβει δράση για την αποκατάσταση των δικαιωμάτων, όταν </w:t>
      </w:r>
      <w:r w:rsidR="00F23D94">
        <w:rPr>
          <w:sz w:val="24"/>
          <w:szCs w:val="24"/>
        </w:rPr>
        <w:t xml:space="preserve">η προστασία τους δεν ανάγεται </w:t>
      </w:r>
      <w:r w:rsidR="004A1B25">
        <w:rPr>
          <w:sz w:val="24"/>
          <w:szCs w:val="24"/>
        </w:rPr>
        <w:t>πλεόν στην εσωτερική δικαιοδοσία των κρατών π.χ. όταν οι παραβιάσεις θέτουν σε κίνδυνο την διεθνή ειρήνη.</w:t>
      </w:r>
      <w:r w:rsidR="00690DFC">
        <w:rPr>
          <w:sz w:val="24"/>
          <w:szCs w:val="24"/>
        </w:rPr>
        <w:t xml:space="preserve"> </w:t>
      </w:r>
      <w:r w:rsidR="00280430">
        <w:rPr>
          <w:sz w:val="24"/>
          <w:szCs w:val="24"/>
        </w:rPr>
        <w:t>Ήδη από το 1970  το Διεθνές Δικαστήριο της Χάγης είχε επισημάνει ότι «</w:t>
      </w:r>
      <w:r w:rsidR="00280430" w:rsidRPr="003B5F5D">
        <w:rPr>
          <w:i/>
          <w:sz w:val="24"/>
          <w:szCs w:val="24"/>
        </w:rPr>
        <w:t xml:space="preserve">υπάρχουν </w:t>
      </w:r>
      <w:r w:rsidR="008D6DB6" w:rsidRPr="003B5F5D">
        <w:rPr>
          <w:i/>
          <w:sz w:val="24"/>
          <w:szCs w:val="24"/>
        </w:rPr>
        <w:t xml:space="preserve">υποχρεώσεις </w:t>
      </w:r>
      <w:r w:rsidR="00280430" w:rsidRPr="003B5F5D">
        <w:rPr>
          <w:i/>
          <w:sz w:val="24"/>
          <w:szCs w:val="24"/>
        </w:rPr>
        <w:t>των κρατών απέναντ</w:t>
      </w:r>
      <w:r w:rsidR="008D6DB6" w:rsidRPr="003B5F5D">
        <w:rPr>
          <w:i/>
          <w:sz w:val="24"/>
          <w:szCs w:val="24"/>
        </w:rPr>
        <w:t>ι</w:t>
      </w:r>
      <w:r w:rsidR="00280430" w:rsidRPr="003B5F5D">
        <w:rPr>
          <w:i/>
          <w:sz w:val="24"/>
          <w:szCs w:val="24"/>
        </w:rPr>
        <w:t xml:space="preserve"> στην </w:t>
      </w:r>
      <w:r w:rsidR="0090711F" w:rsidRPr="003B5F5D">
        <w:rPr>
          <w:i/>
          <w:sz w:val="24"/>
          <w:szCs w:val="24"/>
        </w:rPr>
        <w:t>διεθνή κοινότητα στο σύνολο της, δηλαδή, απέναντι σε όλα τα κράτη</w:t>
      </w:r>
      <w:r w:rsidR="008D6DB6" w:rsidRPr="003B5F5D">
        <w:rPr>
          <w:i/>
          <w:sz w:val="24"/>
          <w:szCs w:val="24"/>
        </w:rPr>
        <w:t xml:space="preserve">. Πρόκειται για υποχρεώσεις που ισχύουν </w:t>
      </w:r>
      <w:proofErr w:type="spellStart"/>
      <w:r w:rsidR="008D6DB6" w:rsidRPr="003B5F5D">
        <w:rPr>
          <w:i/>
          <w:sz w:val="24"/>
          <w:szCs w:val="24"/>
          <w:lang w:val="en-US"/>
        </w:rPr>
        <w:t>erga</w:t>
      </w:r>
      <w:proofErr w:type="spellEnd"/>
      <w:r w:rsidR="008D6DB6" w:rsidRPr="003B5F5D">
        <w:rPr>
          <w:i/>
          <w:sz w:val="24"/>
          <w:szCs w:val="24"/>
        </w:rPr>
        <w:t xml:space="preserve"> </w:t>
      </w:r>
      <w:proofErr w:type="spellStart"/>
      <w:r w:rsidR="008D6DB6" w:rsidRPr="003B5F5D">
        <w:rPr>
          <w:i/>
          <w:sz w:val="24"/>
          <w:szCs w:val="24"/>
          <w:lang w:val="en-US"/>
        </w:rPr>
        <w:t>omnes</w:t>
      </w:r>
      <w:proofErr w:type="spellEnd"/>
      <w:r w:rsidR="008D6DB6">
        <w:rPr>
          <w:sz w:val="24"/>
          <w:szCs w:val="24"/>
        </w:rPr>
        <w:t>»</w:t>
      </w:r>
      <w:r w:rsidR="0090711F">
        <w:rPr>
          <w:sz w:val="24"/>
          <w:szCs w:val="24"/>
        </w:rPr>
        <w:t>.</w:t>
      </w:r>
      <w:r w:rsidR="008D6DB6">
        <w:rPr>
          <w:sz w:val="24"/>
          <w:szCs w:val="24"/>
        </w:rPr>
        <w:t xml:space="preserve"> Για την τήρηση, συνεπώς, των διε</w:t>
      </w:r>
      <w:r w:rsidR="005F231F">
        <w:rPr>
          <w:sz w:val="24"/>
          <w:szCs w:val="24"/>
        </w:rPr>
        <w:t>θνών υποχρεώσεων</w:t>
      </w:r>
      <w:r w:rsidR="008D6DB6">
        <w:rPr>
          <w:sz w:val="24"/>
          <w:szCs w:val="24"/>
        </w:rPr>
        <w:t xml:space="preserve"> οι αρμόδιοι διεθνείς οργανισμοί νομιμοποιούνται να λαμβάνουν μέτρα κατά του παραβιάζοντος κράτους.</w:t>
      </w:r>
      <w:r w:rsidR="00B51FDA">
        <w:rPr>
          <w:sz w:val="24"/>
          <w:szCs w:val="24"/>
        </w:rPr>
        <w:t xml:space="preserve"> </w:t>
      </w:r>
      <w:r w:rsidR="00863185">
        <w:rPr>
          <w:sz w:val="24"/>
          <w:szCs w:val="24"/>
        </w:rPr>
        <w:t xml:space="preserve">Περαιτέρω, τα διεθνή όργανα δύνανται να επιβάλλουν κυρώσεις κατά κρατών που παραβιάζουν τα ανθρώπινα δικαιώματα. Οι κυρώσεις αυτές </w:t>
      </w:r>
      <w:r w:rsidR="000F08BE">
        <w:rPr>
          <w:sz w:val="24"/>
          <w:szCs w:val="24"/>
        </w:rPr>
        <w:t xml:space="preserve">δικρίνονται, σε αυτές που επιβάλλονται μονομερώς από κράτος ή ομάδα κρατών εναντίον κράτους ή ομάδας κρατών χωρίς την έγκριση αρμοδίου διεθνούς οργάνου και σε εκείνες που αποτελούν έκφραση συλλογικής ενέργειας, έπειτα από απόφαση αρμοδίου διεθνούς οργάνου. </w:t>
      </w:r>
    </w:p>
    <w:p w:rsidR="00463803" w:rsidRDefault="00463803" w:rsidP="00463803">
      <w:pPr>
        <w:spacing w:after="0" w:line="240" w:lineRule="auto"/>
        <w:jc w:val="both"/>
        <w:rPr>
          <w:sz w:val="24"/>
          <w:szCs w:val="24"/>
        </w:rPr>
      </w:pPr>
    </w:p>
    <w:p w:rsidR="00463803" w:rsidRPr="00AA5258" w:rsidRDefault="00D41D84" w:rsidP="00AA5258">
      <w:pPr>
        <w:spacing w:after="0" w:line="240" w:lineRule="auto"/>
        <w:jc w:val="both"/>
        <w:rPr>
          <w:sz w:val="24"/>
          <w:szCs w:val="24"/>
        </w:rPr>
      </w:pPr>
      <w:r>
        <w:rPr>
          <w:sz w:val="24"/>
          <w:szCs w:val="24"/>
        </w:rPr>
        <w:t xml:space="preserve">Όπως μπορεί να γίνει αντιληπτό </w:t>
      </w:r>
      <w:r w:rsidR="004F4923">
        <w:rPr>
          <w:sz w:val="24"/>
          <w:szCs w:val="24"/>
        </w:rPr>
        <w:t>η</w:t>
      </w:r>
      <w:r>
        <w:rPr>
          <w:sz w:val="24"/>
          <w:szCs w:val="24"/>
        </w:rPr>
        <w:t xml:space="preserve"> προστασία των ανθρωπίνων δικαιωμάτων σε παγκόσμιο επίπεδο </w:t>
      </w:r>
      <w:r w:rsidR="004F4923">
        <w:rPr>
          <w:sz w:val="24"/>
          <w:szCs w:val="24"/>
        </w:rPr>
        <w:t>καταλαμβάνει τεράστιο όγκο (πάνω από 250 συμβατικά κείμενα) και</w:t>
      </w:r>
      <w:r w:rsidR="005C10CD">
        <w:rPr>
          <w:sz w:val="24"/>
          <w:szCs w:val="24"/>
        </w:rPr>
        <w:t xml:space="preserve"> δεν μπορεί να αναλυθεί όλο το εύ</w:t>
      </w:r>
      <w:r w:rsidR="004F4923">
        <w:rPr>
          <w:sz w:val="24"/>
          <w:szCs w:val="24"/>
        </w:rPr>
        <w:t xml:space="preserve">ρος της μέσα σε λίγες σελίδες. Ένα </w:t>
      </w:r>
      <w:r w:rsidR="0047314B">
        <w:rPr>
          <w:sz w:val="24"/>
          <w:szCs w:val="24"/>
        </w:rPr>
        <w:t xml:space="preserve">μόνο </w:t>
      </w:r>
      <w:r w:rsidR="004F4923">
        <w:rPr>
          <w:sz w:val="24"/>
          <w:szCs w:val="24"/>
        </w:rPr>
        <w:t xml:space="preserve">μικρό μέρος της θα αποτελέσει αντικείμενο </w:t>
      </w:r>
      <w:r w:rsidR="00332371">
        <w:rPr>
          <w:sz w:val="24"/>
          <w:szCs w:val="24"/>
        </w:rPr>
        <w:t xml:space="preserve">της παρούσας </w:t>
      </w:r>
      <w:r w:rsidR="004F4923">
        <w:rPr>
          <w:sz w:val="24"/>
          <w:szCs w:val="24"/>
        </w:rPr>
        <w:t xml:space="preserve">μελέτη και αυτό αφορά τα διεθνή δικαιοδοτικά όργανα που ασχολούνται με </w:t>
      </w:r>
      <w:r w:rsidR="00F07B6E">
        <w:rPr>
          <w:sz w:val="24"/>
          <w:szCs w:val="24"/>
        </w:rPr>
        <w:t>τα ανθρώπινα δικαιώματα</w:t>
      </w:r>
      <w:r w:rsidR="005F231F">
        <w:rPr>
          <w:sz w:val="24"/>
          <w:szCs w:val="24"/>
        </w:rPr>
        <w:t xml:space="preserve"> και συγκεκριμένα </w:t>
      </w:r>
      <w:r w:rsidR="00B474EF">
        <w:rPr>
          <w:sz w:val="24"/>
          <w:szCs w:val="24"/>
        </w:rPr>
        <w:t>τ</w:t>
      </w:r>
      <w:r w:rsidR="005F231F">
        <w:rPr>
          <w:sz w:val="24"/>
          <w:szCs w:val="24"/>
        </w:rPr>
        <w:t>η δυνατότητα πρόσβασης στα διεθνή δικαστήρια που υπάρχουν σε παγκόσμιο αλλά κυρίως σε περιφερειακό επίπεδο.</w:t>
      </w:r>
    </w:p>
    <w:p w:rsidR="001C77A8" w:rsidRDefault="00543A6C" w:rsidP="00463803">
      <w:pPr>
        <w:pStyle w:val="Heading1"/>
        <w:spacing w:before="0" w:line="240" w:lineRule="auto"/>
        <w:rPr>
          <w:color w:val="auto"/>
        </w:rPr>
      </w:pPr>
      <w:bookmarkStart w:id="37" w:name="_Toc419545178"/>
      <w:r w:rsidRPr="00463803">
        <w:rPr>
          <w:color w:val="auto"/>
        </w:rPr>
        <w:lastRenderedPageBreak/>
        <w:t>Ανάλυση Προϋποθέσεων Πρόσβασης στα Δικαστήρια</w:t>
      </w:r>
      <w:bookmarkEnd w:id="37"/>
    </w:p>
    <w:p w:rsidR="00463803" w:rsidRPr="00463803" w:rsidRDefault="00463803" w:rsidP="00463803">
      <w:pPr>
        <w:spacing w:after="0" w:line="240" w:lineRule="auto"/>
      </w:pPr>
    </w:p>
    <w:p w:rsidR="00AE0C98" w:rsidRPr="00597305" w:rsidRDefault="00543A6C" w:rsidP="00597305">
      <w:pPr>
        <w:pStyle w:val="Heading2"/>
        <w:numPr>
          <w:ilvl w:val="0"/>
          <w:numId w:val="42"/>
        </w:numPr>
        <w:spacing w:before="0" w:line="240" w:lineRule="auto"/>
        <w:ind w:left="0" w:firstLine="0"/>
        <w:rPr>
          <w:b/>
          <w:color w:val="auto"/>
          <w:sz w:val="24"/>
        </w:rPr>
      </w:pPr>
      <w:bookmarkStart w:id="38" w:name="_Toc419545179"/>
      <w:r w:rsidRPr="00597305">
        <w:rPr>
          <w:b/>
          <w:color w:val="auto"/>
          <w:sz w:val="24"/>
        </w:rPr>
        <w:t>European Court οf Human Rights (Ευρωπαϊκό Δικαστήριο Ανθρωπίνων Δικαιωμάτων):</w:t>
      </w:r>
      <w:bookmarkEnd w:id="38"/>
    </w:p>
    <w:p w:rsidR="00463803" w:rsidRPr="00463803" w:rsidRDefault="00463803" w:rsidP="00463803">
      <w:pPr>
        <w:spacing w:after="0" w:line="240" w:lineRule="auto"/>
      </w:pPr>
    </w:p>
    <w:p w:rsidR="00C903E1" w:rsidRDefault="00326E4E" w:rsidP="00463803">
      <w:pPr>
        <w:spacing w:after="0" w:line="240" w:lineRule="auto"/>
        <w:jc w:val="both"/>
        <w:rPr>
          <w:sz w:val="24"/>
          <w:szCs w:val="24"/>
        </w:rPr>
      </w:pPr>
      <w:r>
        <w:rPr>
          <w:sz w:val="24"/>
          <w:szCs w:val="24"/>
        </w:rPr>
        <w:t>Το πρώτο δικαστήριο είναι τ</w:t>
      </w:r>
      <w:r w:rsidR="00A57F1F">
        <w:rPr>
          <w:sz w:val="24"/>
          <w:szCs w:val="24"/>
        </w:rPr>
        <w:t xml:space="preserve">ο </w:t>
      </w:r>
      <w:r w:rsidR="00E236EF">
        <w:rPr>
          <w:sz w:val="24"/>
          <w:szCs w:val="24"/>
        </w:rPr>
        <w:t>Ευρωπαϊκ</w:t>
      </w:r>
      <w:r w:rsidR="00543A6C">
        <w:rPr>
          <w:sz w:val="24"/>
          <w:szCs w:val="24"/>
        </w:rPr>
        <w:t>ό</w:t>
      </w:r>
      <w:r w:rsidR="00E236EF">
        <w:rPr>
          <w:sz w:val="24"/>
          <w:szCs w:val="24"/>
        </w:rPr>
        <w:t xml:space="preserve"> Δικαστήριο Δικαιωμάτων του Α</w:t>
      </w:r>
      <w:r w:rsidR="00A57F1F">
        <w:rPr>
          <w:sz w:val="24"/>
          <w:szCs w:val="24"/>
        </w:rPr>
        <w:t>νθρώπου</w:t>
      </w:r>
      <w:r w:rsidR="001C2A56">
        <w:rPr>
          <w:sz w:val="24"/>
          <w:szCs w:val="24"/>
        </w:rPr>
        <w:t xml:space="preserve"> </w:t>
      </w:r>
      <w:r w:rsidR="00C903E1">
        <w:rPr>
          <w:sz w:val="24"/>
          <w:szCs w:val="24"/>
        </w:rPr>
        <w:t>(εφεξής ΕΔΔΑ)</w:t>
      </w:r>
      <w:r w:rsidR="00A57F1F">
        <w:rPr>
          <w:sz w:val="24"/>
          <w:szCs w:val="24"/>
        </w:rPr>
        <w:t xml:space="preserve"> </w:t>
      </w:r>
      <w:r>
        <w:rPr>
          <w:sz w:val="24"/>
          <w:szCs w:val="24"/>
        </w:rPr>
        <w:t xml:space="preserve">που </w:t>
      </w:r>
      <w:r w:rsidR="00A57F1F">
        <w:rPr>
          <w:sz w:val="24"/>
          <w:szCs w:val="24"/>
        </w:rPr>
        <w:t>ι</w:t>
      </w:r>
      <w:r w:rsidR="00C34BF1" w:rsidRPr="00A57F1F">
        <w:rPr>
          <w:sz w:val="24"/>
          <w:szCs w:val="24"/>
        </w:rPr>
        <w:t>δρύθηκε το 1959 και έχει την έδρα του στο Στρασβούργο στην Γαλλία.</w:t>
      </w:r>
      <w:r w:rsidR="00A57F1F">
        <w:rPr>
          <w:sz w:val="24"/>
          <w:szCs w:val="24"/>
        </w:rPr>
        <w:t xml:space="preserve"> Το δικασ</w:t>
      </w:r>
      <w:r w:rsidR="0023291E">
        <w:rPr>
          <w:sz w:val="24"/>
          <w:szCs w:val="24"/>
        </w:rPr>
        <w:t>τ</w:t>
      </w:r>
      <w:r w:rsidR="00A57F1F">
        <w:rPr>
          <w:sz w:val="24"/>
          <w:szCs w:val="24"/>
        </w:rPr>
        <w:t>ήριο εφαρμόζει</w:t>
      </w:r>
      <w:r w:rsidR="00C34BF1" w:rsidRPr="00A57F1F">
        <w:rPr>
          <w:sz w:val="24"/>
          <w:szCs w:val="24"/>
        </w:rPr>
        <w:t xml:space="preserve"> </w:t>
      </w:r>
      <w:r w:rsidR="00A57F1F">
        <w:rPr>
          <w:sz w:val="24"/>
          <w:szCs w:val="24"/>
        </w:rPr>
        <w:t xml:space="preserve">την </w:t>
      </w:r>
      <w:r w:rsidR="00E236EF">
        <w:rPr>
          <w:sz w:val="24"/>
          <w:szCs w:val="24"/>
        </w:rPr>
        <w:t>Ευρωπαϊκή Σύμβαση Δ</w:t>
      </w:r>
      <w:r w:rsidR="00A57F1F">
        <w:rPr>
          <w:sz w:val="24"/>
          <w:szCs w:val="24"/>
        </w:rPr>
        <w:t>ικαιωμάτων του</w:t>
      </w:r>
      <w:r w:rsidR="00E236EF">
        <w:rPr>
          <w:sz w:val="24"/>
          <w:szCs w:val="24"/>
        </w:rPr>
        <w:t xml:space="preserve"> Α</w:t>
      </w:r>
      <w:r w:rsidR="00A57F1F">
        <w:rPr>
          <w:sz w:val="24"/>
          <w:szCs w:val="24"/>
        </w:rPr>
        <w:t>νθρώπου</w:t>
      </w:r>
      <w:r w:rsidR="00FF17C6">
        <w:rPr>
          <w:sz w:val="24"/>
          <w:szCs w:val="24"/>
        </w:rPr>
        <w:t xml:space="preserve"> </w:t>
      </w:r>
      <w:r w:rsidR="00C903E1">
        <w:rPr>
          <w:sz w:val="24"/>
          <w:szCs w:val="24"/>
        </w:rPr>
        <w:t>(εφεξής ΕΣΔΑ)</w:t>
      </w:r>
      <w:r w:rsidR="00A57F1F">
        <w:rPr>
          <w:sz w:val="24"/>
          <w:szCs w:val="24"/>
        </w:rPr>
        <w:t xml:space="preserve"> η οποία υπογράφηκε το </w:t>
      </w:r>
      <w:r w:rsidR="00C34BF1" w:rsidRPr="00A57F1F">
        <w:rPr>
          <w:sz w:val="24"/>
          <w:szCs w:val="24"/>
        </w:rPr>
        <w:t xml:space="preserve">1950 </w:t>
      </w:r>
      <w:r w:rsidR="00BC0CA2">
        <w:rPr>
          <w:sz w:val="24"/>
          <w:szCs w:val="24"/>
        </w:rPr>
        <w:t>στην Ρώμη και ο</w:t>
      </w:r>
      <w:r w:rsidR="00A57F1F">
        <w:rPr>
          <w:sz w:val="24"/>
          <w:szCs w:val="24"/>
        </w:rPr>
        <w:t xml:space="preserve"> χρόνος </w:t>
      </w:r>
      <w:r w:rsidR="00C34BF1" w:rsidRPr="00A57F1F">
        <w:rPr>
          <w:sz w:val="24"/>
          <w:szCs w:val="24"/>
        </w:rPr>
        <w:t>έναρξη</w:t>
      </w:r>
      <w:r w:rsidR="00A57F1F">
        <w:rPr>
          <w:sz w:val="24"/>
          <w:szCs w:val="24"/>
        </w:rPr>
        <w:t>ς</w:t>
      </w:r>
      <w:r w:rsidR="00C34BF1" w:rsidRPr="00A57F1F">
        <w:rPr>
          <w:sz w:val="24"/>
          <w:szCs w:val="24"/>
        </w:rPr>
        <w:t xml:space="preserve"> ισχύος της</w:t>
      </w:r>
      <w:r w:rsidR="00BC0CA2">
        <w:rPr>
          <w:sz w:val="24"/>
          <w:szCs w:val="24"/>
        </w:rPr>
        <w:t xml:space="preserve"> χρονολογείται το 1953</w:t>
      </w:r>
      <w:r w:rsidR="00A57F1F">
        <w:rPr>
          <w:sz w:val="24"/>
          <w:szCs w:val="24"/>
        </w:rPr>
        <w:t>.</w:t>
      </w:r>
      <w:r w:rsidR="00C34BF1" w:rsidRPr="00A57F1F">
        <w:rPr>
          <w:sz w:val="24"/>
          <w:szCs w:val="24"/>
        </w:rPr>
        <w:t xml:space="preserve"> </w:t>
      </w:r>
      <w:r w:rsidR="00ED132F">
        <w:rPr>
          <w:sz w:val="24"/>
          <w:szCs w:val="24"/>
        </w:rPr>
        <w:t xml:space="preserve">Τη σύμβαση έχουν επικυρώσει </w:t>
      </w:r>
      <w:r w:rsidR="00C34BF1" w:rsidRPr="00A57F1F">
        <w:rPr>
          <w:sz w:val="24"/>
          <w:szCs w:val="24"/>
        </w:rPr>
        <w:t>47 κράτη μέλη του Συμβουλ</w:t>
      </w:r>
      <w:r w:rsidR="00687CAD">
        <w:rPr>
          <w:sz w:val="24"/>
          <w:szCs w:val="24"/>
        </w:rPr>
        <w:t>ί</w:t>
      </w:r>
      <w:r w:rsidR="00C34BF1" w:rsidRPr="00A57F1F">
        <w:rPr>
          <w:sz w:val="24"/>
          <w:szCs w:val="24"/>
        </w:rPr>
        <w:t>ου της Ευρώ</w:t>
      </w:r>
      <w:r w:rsidR="00ED132F">
        <w:rPr>
          <w:sz w:val="24"/>
          <w:szCs w:val="24"/>
        </w:rPr>
        <w:t>πης</w:t>
      </w:r>
      <w:r w:rsidR="00BC0CA2">
        <w:rPr>
          <w:sz w:val="24"/>
          <w:szCs w:val="24"/>
        </w:rPr>
        <w:t>. Ο α</w:t>
      </w:r>
      <w:r w:rsidR="005D34B4" w:rsidRPr="00A57F1F">
        <w:rPr>
          <w:sz w:val="24"/>
          <w:szCs w:val="24"/>
        </w:rPr>
        <w:t xml:space="preserve">ριθμός </w:t>
      </w:r>
      <w:r w:rsidR="00BC0CA2">
        <w:rPr>
          <w:sz w:val="24"/>
          <w:szCs w:val="24"/>
        </w:rPr>
        <w:t xml:space="preserve">των </w:t>
      </w:r>
      <w:r w:rsidR="005D34B4" w:rsidRPr="00A57F1F">
        <w:rPr>
          <w:sz w:val="24"/>
          <w:szCs w:val="24"/>
        </w:rPr>
        <w:t xml:space="preserve">δικαστών </w:t>
      </w:r>
      <w:r w:rsidR="00BC0CA2">
        <w:rPr>
          <w:sz w:val="24"/>
          <w:szCs w:val="24"/>
        </w:rPr>
        <w:t xml:space="preserve">είναι </w:t>
      </w:r>
      <w:r w:rsidR="005D34B4" w:rsidRPr="00A57F1F">
        <w:rPr>
          <w:sz w:val="24"/>
          <w:szCs w:val="24"/>
        </w:rPr>
        <w:t xml:space="preserve">ίσος με αυτόν των κρατών μελών </w:t>
      </w:r>
      <w:r w:rsidR="00E415D4">
        <w:rPr>
          <w:sz w:val="24"/>
          <w:szCs w:val="24"/>
        </w:rPr>
        <w:t>της Σύμβασης, δηλαδή, 47 δικαστές,</w:t>
      </w:r>
      <w:r w:rsidR="003D33B6">
        <w:rPr>
          <w:sz w:val="24"/>
          <w:szCs w:val="24"/>
        </w:rPr>
        <w:t xml:space="preserve"> οι οποίοι εκλέγονται για</w:t>
      </w:r>
      <w:r w:rsidR="00E415D4">
        <w:rPr>
          <w:sz w:val="24"/>
          <w:szCs w:val="24"/>
        </w:rPr>
        <w:t xml:space="preserve"> 9ετή θητεία χωρίς δυνατότητα επανεκλογής.</w:t>
      </w:r>
      <w:r w:rsidR="004A2339">
        <w:rPr>
          <w:sz w:val="24"/>
          <w:szCs w:val="24"/>
        </w:rPr>
        <w:t xml:space="preserve"> Σε κάθε υπόθεση που φέρεται ενώπιον του δικαστηρίου συμμετέχει ο δικαστής της χώρας που είναι καθού.</w:t>
      </w:r>
      <w:r w:rsidR="00C903E1">
        <w:rPr>
          <w:sz w:val="24"/>
          <w:szCs w:val="24"/>
        </w:rPr>
        <w:t xml:space="preserve"> Αυτό που αποτελεί κομβικό σημείο είναι το πως δίδεται στην πράξη η δυνατότητα πρόσβασ</w:t>
      </w:r>
      <w:r w:rsidR="00BC4EC7">
        <w:rPr>
          <w:sz w:val="24"/>
          <w:szCs w:val="24"/>
        </w:rPr>
        <w:t>η</w:t>
      </w:r>
      <w:r w:rsidR="00C903E1">
        <w:rPr>
          <w:sz w:val="24"/>
          <w:szCs w:val="24"/>
        </w:rPr>
        <w:t>ς σε αυτό. Ακολούθως παρατίθενται οι προϋποθέσεις πρόσβασης:</w:t>
      </w:r>
    </w:p>
    <w:p w:rsidR="00463803" w:rsidRPr="004F4695" w:rsidRDefault="00463803" w:rsidP="00463803">
      <w:pPr>
        <w:spacing w:after="0" w:line="240" w:lineRule="auto"/>
        <w:jc w:val="both"/>
        <w:rPr>
          <w:sz w:val="24"/>
          <w:szCs w:val="24"/>
        </w:rPr>
      </w:pPr>
    </w:p>
    <w:p w:rsidR="00866953" w:rsidRDefault="004C10BC" w:rsidP="00597305">
      <w:pPr>
        <w:pStyle w:val="ListParagraph"/>
        <w:numPr>
          <w:ilvl w:val="0"/>
          <w:numId w:val="3"/>
        </w:numPr>
        <w:spacing w:after="0" w:line="240" w:lineRule="auto"/>
        <w:ind w:left="567" w:firstLine="0"/>
        <w:contextualSpacing w:val="0"/>
        <w:jc w:val="both"/>
        <w:rPr>
          <w:sz w:val="24"/>
          <w:szCs w:val="24"/>
        </w:rPr>
      </w:pPr>
      <w:r>
        <w:rPr>
          <w:sz w:val="24"/>
          <w:szCs w:val="24"/>
        </w:rPr>
        <w:t>Η π</w:t>
      </w:r>
      <w:r w:rsidR="001909F2">
        <w:rPr>
          <w:sz w:val="24"/>
          <w:szCs w:val="24"/>
        </w:rPr>
        <w:t xml:space="preserve">ροσφυγή πρέπει να στρέφεται κατά ενός ή περισοτέρων κρατών που έχουν </w:t>
      </w:r>
      <w:r w:rsidR="001909F2" w:rsidRPr="00E236EF">
        <w:rPr>
          <w:sz w:val="24"/>
          <w:szCs w:val="24"/>
        </w:rPr>
        <w:t>κυρώσει την Σύμβαση</w:t>
      </w:r>
      <w:r w:rsidR="001909F2">
        <w:rPr>
          <w:sz w:val="24"/>
          <w:szCs w:val="24"/>
        </w:rPr>
        <w:t xml:space="preserve">. Η προσφυγή δεν </w:t>
      </w:r>
      <w:r w:rsidR="00866953">
        <w:rPr>
          <w:sz w:val="24"/>
          <w:szCs w:val="24"/>
        </w:rPr>
        <w:t>μπορεί να στρέφεται κατά</w:t>
      </w:r>
      <w:r w:rsidR="001909F2">
        <w:rPr>
          <w:sz w:val="24"/>
          <w:szCs w:val="24"/>
        </w:rPr>
        <w:t xml:space="preserve"> κράτους που δεν έχει κυρώσει την σύμβαση</w:t>
      </w:r>
      <w:r w:rsidR="00866953">
        <w:rPr>
          <w:sz w:val="24"/>
          <w:szCs w:val="24"/>
        </w:rPr>
        <w:t xml:space="preserve"> αλλά ούτε και κατά ιδιώτη</w:t>
      </w:r>
      <w:r w:rsidR="00A970E8">
        <w:rPr>
          <w:sz w:val="24"/>
          <w:szCs w:val="24"/>
        </w:rPr>
        <w:t xml:space="preserve"> π.χ.</w:t>
      </w:r>
      <w:r w:rsidR="006A7674">
        <w:rPr>
          <w:sz w:val="24"/>
          <w:szCs w:val="24"/>
        </w:rPr>
        <w:t xml:space="preserve"> </w:t>
      </w:r>
      <w:r w:rsidR="00A970E8">
        <w:rPr>
          <w:sz w:val="24"/>
          <w:szCs w:val="24"/>
        </w:rPr>
        <w:t>κατά ενός συγκεκριμένου αστυνομικού</w:t>
      </w:r>
      <w:r w:rsidR="004632CA">
        <w:rPr>
          <w:sz w:val="24"/>
          <w:szCs w:val="24"/>
        </w:rPr>
        <w:t xml:space="preserve"> ή ενός συγκεκριμένου δημοσίου υπαλλήλου</w:t>
      </w:r>
      <w:r w:rsidR="008E0599">
        <w:rPr>
          <w:sz w:val="24"/>
          <w:szCs w:val="24"/>
        </w:rPr>
        <w:t xml:space="preserve">. </w:t>
      </w:r>
      <w:r w:rsidR="00042833">
        <w:rPr>
          <w:sz w:val="24"/>
          <w:szCs w:val="24"/>
        </w:rPr>
        <w:t xml:space="preserve">Το ΕΔΔΑ </w:t>
      </w:r>
      <w:r w:rsidR="008E0599">
        <w:rPr>
          <w:sz w:val="24"/>
          <w:szCs w:val="24"/>
        </w:rPr>
        <w:t>κάνοντας</w:t>
      </w:r>
      <w:r w:rsidR="00042833">
        <w:rPr>
          <w:sz w:val="24"/>
          <w:szCs w:val="24"/>
        </w:rPr>
        <w:t xml:space="preserve"> </w:t>
      </w:r>
      <w:r w:rsidR="00042833" w:rsidRPr="003576B8">
        <w:rPr>
          <w:sz w:val="24"/>
          <w:szCs w:val="24"/>
        </w:rPr>
        <w:t>έλεγχο δικαιοδοσίας</w:t>
      </w:r>
      <w:r w:rsidR="005E1FAD">
        <w:rPr>
          <w:sz w:val="24"/>
          <w:szCs w:val="24"/>
        </w:rPr>
        <w:t xml:space="preserve"> </w:t>
      </w:r>
      <w:r w:rsidR="008E0599">
        <w:rPr>
          <w:sz w:val="24"/>
          <w:szCs w:val="24"/>
        </w:rPr>
        <w:t>θα απορρίψει ως απαράδεκτη μια τέτοια προσφυγή.</w:t>
      </w:r>
    </w:p>
    <w:p w:rsidR="00463803" w:rsidRDefault="00463803" w:rsidP="00597305">
      <w:pPr>
        <w:pStyle w:val="ListParagraph"/>
        <w:spacing w:after="0" w:line="240" w:lineRule="auto"/>
        <w:ind w:left="567"/>
        <w:contextualSpacing w:val="0"/>
        <w:jc w:val="both"/>
        <w:rPr>
          <w:sz w:val="24"/>
          <w:szCs w:val="24"/>
        </w:rPr>
      </w:pPr>
    </w:p>
    <w:p w:rsidR="003054A3" w:rsidRPr="00597305" w:rsidRDefault="00E236EF" w:rsidP="00597305">
      <w:pPr>
        <w:pStyle w:val="ListParagraph"/>
        <w:numPr>
          <w:ilvl w:val="0"/>
          <w:numId w:val="48"/>
        </w:numPr>
        <w:spacing w:after="0" w:line="240" w:lineRule="auto"/>
        <w:ind w:left="567"/>
        <w:jc w:val="both"/>
        <w:rPr>
          <w:sz w:val="20"/>
          <w:szCs w:val="20"/>
        </w:rPr>
      </w:pPr>
      <w:r w:rsidRPr="00597305">
        <w:rPr>
          <w:sz w:val="24"/>
          <w:szCs w:val="24"/>
        </w:rPr>
        <w:t>Περαιτέρω, υπάρχει η δ</w:t>
      </w:r>
      <w:r w:rsidR="00042833" w:rsidRPr="00597305">
        <w:rPr>
          <w:sz w:val="24"/>
          <w:szCs w:val="24"/>
        </w:rPr>
        <w:t xml:space="preserve">υνατότητα </w:t>
      </w:r>
      <w:r w:rsidRPr="00597305">
        <w:rPr>
          <w:sz w:val="24"/>
          <w:szCs w:val="24"/>
        </w:rPr>
        <w:t>τόσο ατομικής</w:t>
      </w:r>
      <w:r w:rsidR="00787D50" w:rsidRPr="00597305">
        <w:rPr>
          <w:sz w:val="24"/>
          <w:szCs w:val="24"/>
          <w:vertAlign w:val="superscript"/>
        </w:rPr>
        <w:t>1</w:t>
      </w:r>
      <w:r w:rsidRPr="00597305">
        <w:rPr>
          <w:sz w:val="24"/>
          <w:szCs w:val="24"/>
        </w:rPr>
        <w:t xml:space="preserve"> όσο και</w:t>
      </w:r>
      <w:r w:rsidR="00042833" w:rsidRPr="00597305">
        <w:rPr>
          <w:sz w:val="24"/>
          <w:szCs w:val="24"/>
        </w:rPr>
        <w:t xml:space="preserve"> </w:t>
      </w:r>
      <w:r w:rsidRPr="00597305">
        <w:rPr>
          <w:sz w:val="24"/>
          <w:szCs w:val="24"/>
        </w:rPr>
        <w:t>κρατικής</w:t>
      </w:r>
      <w:r w:rsidR="00042833" w:rsidRPr="00597305">
        <w:rPr>
          <w:b/>
          <w:sz w:val="24"/>
          <w:szCs w:val="24"/>
        </w:rPr>
        <w:t xml:space="preserve"> </w:t>
      </w:r>
      <w:r w:rsidRPr="00597305">
        <w:rPr>
          <w:sz w:val="24"/>
          <w:szCs w:val="24"/>
        </w:rPr>
        <w:t>προσφυγής.</w:t>
      </w:r>
      <w:r w:rsidR="00042833" w:rsidRPr="00597305">
        <w:rPr>
          <w:sz w:val="24"/>
          <w:szCs w:val="24"/>
        </w:rPr>
        <w:t xml:space="preserve"> Στο ΕΔΔΑ μπορεί να υποβάλλει αίτηση ή καταγγελία ένα κράτος, ένας ιδιώτης ατομικά, πολλοί ιδιώτες μαζί, δηλαδή, μια ομάδα ατόμων και μη κυβερνητικοί οργανισμοί</w:t>
      </w:r>
      <w:r w:rsidR="00042833" w:rsidRPr="00597305">
        <w:rPr>
          <w:b/>
          <w:sz w:val="24"/>
          <w:szCs w:val="24"/>
        </w:rPr>
        <w:t>.</w:t>
      </w:r>
      <w:r w:rsidR="00693185" w:rsidRPr="00597305">
        <w:rPr>
          <w:b/>
          <w:sz w:val="24"/>
          <w:szCs w:val="24"/>
        </w:rPr>
        <w:t xml:space="preserve"> </w:t>
      </w:r>
      <w:r w:rsidR="0038016B" w:rsidRPr="00597305">
        <w:rPr>
          <w:sz w:val="24"/>
          <w:szCs w:val="24"/>
        </w:rPr>
        <w:t xml:space="preserve">Δυνατότητα ατομικής προσφυγής δεν έχουν μόνο οι ενήλικες και οι ικανοί προς δικαιοπραξία αλλά και οι ανήλικοι και οι ανίκανοι προς δικαιοπραξία, καθώς και οι κρατούμενοι σε σωφρονιστικά και ψυχιατρικά καταστήματα. </w:t>
      </w:r>
      <w:r w:rsidR="00F41851" w:rsidRPr="00597305">
        <w:rPr>
          <w:sz w:val="24"/>
          <w:szCs w:val="24"/>
        </w:rPr>
        <w:t xml:space="preserve">Ακόμα και άτομα τα οποία αποδεδειγμένα έχουν παραβιάσει τα ανθρώπινα δικαιώματα και έχουν διαπράξει σοβαρά εγκλήματα, όπως είναι τρομοκρατικές πράξεις, ανθρωποκτονία εκ προθέσεως και εμπορία ναρκωτικών, προστατεύονται από την Σύμβαση και μπορούν να ασκήσουν ατομική προσφυγή. </w:t>
      </w:r>
      <w:r w:rsidR="00DD041F" w:rsidRPr="00597305">
        <w:rPr>
          <w:sz w:val="24"/>
          <w:szCs w:val="24"/>
        </w:rPr>
        <w:t xml:space="preserve">Αντίθετα, δημόσιες υπηρεσίες, </w:t>
      </w:r>
      <w:r w:rsidR="00693185" w:rsidRPr="00597305">
        <w:rPr>
          <w:sz w:val="24"/>
          <w:szCs w:val="24"/>
        </w:rPr>
        <w:t xml:space="preserve">νομικά πρόσωπα δημοσίου δικαίου </w:t>
      </w:r>
      <w:r w:rsidR="00DD041F" w:rsidRPr="00597305">
        <w:rPr>
          <w:sz w:val="24"/>
          <w:szCs w:val="24"/>
        </w:rPr>
        <w:t xml:space="preserve">και οργανισμοί τοπικής αυτοδιοίκησης </w:t>
      </w:r>
      <w:r w:rsidR="00693185" w:rsidRPr="00597305">
        <w:rPr>
          <w:sz w:val="24"/>
          <w:szCs w:val="24"/>
        </w:rPr>
        <w:t>δεν έχουν δικάιωμα προσφυγής</w:t>
      </w:r>
      <w:r w:rsidR="00A10516" w:rsidRPr="00597305">
        <w:rPr>
          <w:sz w:val="24"/>
          <w:szCs w:val="24"/>
        </w:rPr>
        <w:t>, διότι θεωρείται ότι αυτή στρέφεται κατά κράτους για πράξεις των οργάνων του</w:t>
      </w:r>
      <w:r w:rsidR="00693185" w:rsidRPr="00597305">
        <w:rPr>
          <w:sz w:val="24"/>
          <w:szCs w:val="24"/>
        </w:rPr>
        <w:t>.</w:t>
      </w:r>
    </w:p>
    <w:p w:rsidR="003054A3" w:rsidRDefault="003054A3" w:rsidP="003054A3">
      <w:pPr>
        <w:spacing w:after="0" w:line="240" w:lineRule="auto"/>
        <w:jc w:val="both"/>
        <w:rPr>
          <w:sz w:val="20"/>
          <w:szCs w:val="20"/>
        </w:rPr>
      </w:pPr>
    </w:p>
    <w:p w:rsidR="003054A3" w:rsidRDefault="003054A3" w:rsidP="003054A3">
      <w:pPr>
        <w:spacing w:after="0" w:line="240" w:lineRule="auto"/>
        <w:jc w:val="both"/>
        <w:rPr>
          <w:sz w:val="20"/>
          <w:szCs w:val="20"/>
        </w:rPr>
      </w:pPr>
    </w:p>
    <w:p w:rsidR="003054A3" w:rsidRDefault="003054A3" w:rsidP="003054A3">
      <w:pPr>
        <w:spacing w:after="0" w:line="240" w:lineRule="auto"/>
        <w:jc w:val="both"/>
        <w:rPr>
          <w:sz w:val="20"/>
          <w:szCs w:val="20"/>
        </w:rPr>
      </w:pPr>
    </w:p>
    <w:p w:rsidR="003054A3" w:rsidRDefault="003054A3" w:rsidP="003054A3">
      <w:pPr>
        <w:spacing w:after="0" w:line="240" w:lineRule="auto"/>
        <w:jc w:val="both"/>
        <w:rPr>
          <w:sz w:val="20"/>
          <w:szCs w:val="20"/>
        </w:rPr>
      </w:pPr>
    </w:p>
    <w:p w:rsidR="003054A3" w:rsidRDefault="003054A3" w:rsidP="003054A3">
      <w:pPr>
        <w:spacing w:after="0" w:line="240" w:lineRule="auto"/>
        <w:jc w:val="both"/>
        <w:rPr>
          <w:sz w:val="20"/>
          <w:szCs w:val="20"/>
        </w:rPr>
      </w:pPr>
    </w:p>
    <w:p w:rsidR="003054A3" w:rsidRDefault="003054A3" w:rsidP="003054A3">
      <w:pPr>
        <w:spacing w:after="0" w:line="240" w:lineRule="auto"/>
        <w:jc w:val="both"/>
        <w:rPr>
          <w:sz w:val="20"/>
          <w:szCs w:val="20"/>
        </w:rPr>
      </w:pPr>
    </w:p>
    <w:p w:rsidR="003054A3" w:rsidRDefault="003054A3" w:rsidP="003054A3">
      <w:pPr>
        <w:spacing w:after="0" w:line="240" w:lineRule="auto"/>
        <w:jc w:val="both"/>
        <w:rPr>
          <w:sz w:val="20"/>
          <w:szCs w:val="20"/>
        </w:rPr>
      </w:pPr>
    </w:p>
    <w:p w:rsidR="003054A3" w:rsidRDefault="003054A3" w:rsidP="003054A3">
      <w:pPr>
        <w:spacing w:after="0" w:line="240" w:lineRule="auto"/>
        <w:jc w:val="both"/>
        <w:rPr>
          <w:sz w:val="20"/>
          <w:szCs w:val="20"/>
        </w:rPr>
      </w:pPr>
    </w:p>
    <w:p w:rsidR="003054A3" w:rsidRPr="003054A3" w:rsidRDefault="003054A3" w:rsidP="003054A3">
      <w:pPr>
        <w:spacing w:after="0" w:line="240" w:lineRule="auto"/>
        <w:jc w:val="both"/>
        <w:rPr>
          <w:sz w:val="20"/>
          <w:szCs w:val="20"/>
        </w:rPr>
      </w:pPr>
    </w:p>
    <w:p w:rsidR="003054A3" w:rsidRPr="00597305" w:rsidRDefault="003054A3" w:rsidP="00597305">
      <w:pPr>
        <w:pBdr>
          <w:top w:val="single" w:sz="4" w:space="1" w:color="auto"/>
        </w:pBdr>
        <w:spacing w:after="0" w:line="240" w:lineRule="auto"/>
        <w:jc w:val="both"/>
        <w:rPr>
          <w:sz w:val="20"/>
          <w:szCs w:val="20"/>
        </w:rPr>
      </w:pPr>
      <w:r w:rsidRPr="006B3207">
        <w:rPr>
          <w:sz w:val="20"/>
          <w:szCs w:val="20"/>
          <w:vertAlign w:val="superscript"/>
        </w:rPr>
        <w:t>1</w:t>
      </w:r>
      <w:r w:rsidRPr="006B3207">
        <w:rPr>
          <w:sz w:val="20"/>
          <w:szCs w:val="20"/>
        </w:rPr>
        <w:t xml:space="preserve"> Η ατομική προσφυγή υπάρχει από το 1985, μέχρι τότε επιτρεπόταν μόνο κρατική προσφυγή.</w:t>
      </w:r>
    </w:p>
    <w:p w:rsidR="003054A3" w:rsidRDefault="003054A3" w:rsidP="003054A3">
      <w:r>
        <w:br w:type="page"/>
      </w:r>
    </w:p>
    <w:p w:rsidR="00107623" w:rsidRDefault="0059563A" w:rsidP="00597305">
      <w:pPr>
        <w:spacing w:after="0" w:line="240" w:lineRule="auto"/>
        <w:ind w:left="567"/>
        <w:jc w:val="both"/>
        <w:rPr>
          <w:sz w:val="24"/>
          <w:szCs w:val="24"/>
          <w:vertAlign w:val="superscript"/>
        </w:rPr>
      </w:pPr>
      <w:r w:rsidRPr="003054A3">
        <w:rPr>
          <w:sz w:val="24"/>
          <w:szCs w:val="24"/>
        </w:rPr>
        <w:lastRenderedPageBreak/>
        <w:t>Σε κάθε περίπτωση, όμως, είτε πρόκειται για κράτος είτε πρόκειται για ιδιώτη, θα πρέπει να υποβληθεί καταγγελία ενώπιον του δικαστηρίου καθ</w:t>
      </w:r>
      <w:r w:rsidR="00BB7A42" w:rsidRPr="003054A3">
        <w:rPr>
          <w:sz w:val="24"/>
          <w:szCs w:val="24"/>
        </w:rPr>
        <w:t>΄</w:t>
      </w:r>
      <w:r w:rsidRPr="003054A3">
        <w:rPr>
          <w:sz w:val="24"/>
          <w:szCs w:val="24"/>
        </w:rPr>
        <w:t xml:space="preserve"> όσον το δικασ</w:t>
      </w:r>
      <w:r w:rsidR="001C1424" w:rsidRPr="003054A3">
        <w:rPr>
          <w:sz w:val="24"/>
          <w:szCs w:val="24"/>
        </w:rPr>
        <w:t>τ</w:t>
      </w:r>
      <w:r w:rsidRPr="003054A3">
        <w:rPr>
          <w:sz w:val="24"/>
          <w:szCs w:val="24"/>
        </w:rPr>
        <w:t>ήριο δεν έχει την  δυνατότητα</w:t>
      </w:r>
      <w:r w:rsidR="003054A3" w:rsidRPr="003054A3">
        <w:rPr>
          <w:sz w:val="24"/>
          <w:szCs w:val="24"/>
        </w:rPr>
        <w:t xml:space="preserve"> να επιλυφθεί αυτεπαγγέλτως μιας υπόθεσης.</w:t>
      </w:r>
      <w:r w:rsidR="003054A3" w:rsidRPr="003054A3">
        <w:rPr>
          <w:sz w:val="24"/>
          <w:szCs w:val="24"/>
          <w:vertAlign w:val="superscript"/>
        </w:rPr>
        <w:t>2</w:t>
      </w:r>
    </w:p>
    <w:p w:rsidR="003054A3" w:rsidRPr="003054A3" w:rsidRDefault="003054A3" w:rsidP="00597305">
      <w:pPr>
        <w:spacing w:after="0" w:line="240" w:lineRule="auto"/>
        <w:ind w:left="567"/>
        <w:jc w:val="both"/>
        <w:rPr>
          <w:sz w:val="20"/>
          <w:szCs w:val="20"/>
        </w:rPr>
      </w:pPr>
    </w:p>
    <w:p w:rsidR="00AE0C98" w:rsidRDefault="00107623" w:rsidP="00597305">
      <w:pPr>
        <w:pStyle w:val="ListParagraph"/>
        <w:numPr>
          <w:ilvl w:val="0"/>
          <w:numId w:val="22"/>
        </w:numPr>
        <w:spacing w:after="0" w:line="240" w:lineRule="auto"/>
        <w:ind w:left="567" w:firstLine="0"/>
        <w:contextualSpacing w:val="0"/>
        <w:jc w:val="both"/>
        <w:rPr>
          <w:sz w:val="24"/>
          <w:szCs w:val="24"/>
        </w:rPr>
      </w:pPr>
      <w:r w:rsidRPr="00516838">
        <w:rPr>
          <w:sz w:val="24"/>
          <w:szCs w:val="24"/>
        </w:rPr>
        <w:t xml:space="preserve">Η παραβίαση θα πρέπει να διαπράχθηκε σε κάποιο κράτος – μέλος στα </w:t>
      </w:r>
      <w:r w:rsidR="00C759D1" w:rsidRPr="00107623">
        <w:rPr>
          <w:sz w:val="24"/>
          <w:szCs w:val="24"/>
        </w:rPr>
        <w:t xml:space="preserve">πλαίσια δικαιοδοσίας του ΕΔΔΑ. Αυτό έχει ως αποτέλεσμα να μη χρειάζεται να έχει το άτομο (προκειμένου περί ατομικής προσφύγης) την ιθαγένεια κράτους μέλους του Συμβουλίου της ευρώπης. </w:t>
      </w:r>
      <w:r w:rsidR="00380D7A" w:rsidRPr="00107623">
        <w:rPr>
          <w:sz w:val="24"/>
          <w:szCs w:val="24"/>
        </w:rPr>
        <w:t xml:space="preserve">Το δικαίωμα της ατομικής προσφυγής </w:t>
      </w:r>
      <w:r w:rsidR="00377180" w:rsidRPr="00107623">
        <w:rPr>
          <w:sz w:val="24"/>
          <w:szCs w:val="24"/>
        </w:rPr>
        <w:t>καλύπτει</w:t>
      </w:r>
      <w:r w:rsidR="00380D7A" w:rsidRPr="00107623">
        <w:rPr>
          <w:sz w:val="24"/>
          <w:szCs w:val="24"/>
        </w:rPr>
        <w:t xml:space="preserve"> τόσο τους πολίτες του κράτους, όσο και τους αλλοδαπούς πολίτες άλλου κράτους</w:t>
      </w:r>
      <w:r w:rsidR="00F30510" w:rsidRPr="00107623">
        <w:rPr>
          <w:sz w:val="24"/>
          <w:szCs w:val="24"/>
        </w:rPr>
        <w:t>, συμβαλλομένου ή μη</w:t>
      </w:r>
      <w:r w:rsidR="00CB75BF" w:rsidRPr="00107623">
        <w:rPr>
          <w:sz w:val="24"/>
          <w:szCs w:val="24"/>
        </w:rPr>
        <w:t>,</w:t>
      </w:r>
      <w:r w:rsidR="00380D7A" w:rsidRPr="00107623">
        <w:rPr>
          <w:sz w:val="24"/>
          <w:szCs w:val="24"/>
        </w:rPr>
        <w:t xml:space="preserve"> και τους ανιθαγενείς. </w:t>
      </w:r>
      <w:r w:rsidR="00866953" w:rsidRPr="00107623">
        <w:rPr>
          <w:sz w:val="24"/>
          <w:szCs w:val="24"/>
        </w:rPr>
        <w:t>Σύμφωνα με νομολογία του ΕΔΔΑ</w:t>
      </w:r>
      <w:r w:rsidR="000C3B07" w:rsidRPr="00107623">
        <w:rPr>
          <w:sz w:val="24"/>
          <w:szCs w:val="24"/>
        </w:rPr>
        <w:t>:</w:t>
      </w:r>
      <w:r w:rsidR="00866953" w:rsidRPr="00107623">
        <w:rPr>
          <w:sz w:val="24"/>
          <w:szCs w:val="24"/>
        </w:rPr>
        <w:t xml:space="preserve"> </w:t>
      </w:r>
      <w:r w:rsidR="00516838" w:rsidRPr="00107623">
        <w:rPr>
          <w:sz w:val="24"/>
          <w:szCs w:val="24"/>
        </w:rPr>
        <w:t>«</w:t>
      </w:r>
      <w:r w:rsidR="000C3B07" w:rsidRPr="00107623">
        <w:rPr>
          <w:i/>
          <w:sz w:val="24"/>
          <w:szCs w:val="24"/>
        </w:rPr>
        <w:t>Ο</w:t>
      </w:r>
      <w:r w:rsidR="00505F1A" w:rsidRPr="00107623">
        <w:rPr>
          <w:i/>
          <w:sz w:val="24"/>
          <w:szCs w:val="24"/>
        </w:rPr>
        <w:t>ποιοδήποτε</w:t>
      </w:r>
      <w:r w:rsidR="00866953" w:rsidRPr="00107623">
        <w:rPr>
          <w:i/>
          <w:sz w:val="24"/>
          <w:szCs w:val="24"/>
        </w:rPr>
        <w:t xml:space="preserve"> πρόσωπο μπορεί να ασκήσει </w:t>
      </w:r>
      <w:r w:rsidR="0052331B" w:rsidRPr="00107623">
        <w:rPr>
          <w:i/>
          <w:sz w:val="24"/>
          <w:szCs w:val="24"/>
        </w:rPr>
        <w:t xml:space="preserve">ατομική προσφυγή </w:t>
      </w:r>
      <w:r w:rsidR="00505F1A" w:rsidRPr="00107623">
        <w:rPr>
          <w:i/>
          <w:sz w:val="24"/>
          <w:szCs w:val="24"/>
        </w:rPr>
        <w:t xml:space="preserve">κατά ενός κράτους μέλους, όταν η υποτιθέμενη παράβαση έλαβε χώρα εντός της δικαιοδοσίας του, </w:t>
      </w:r>
      <w:r w:rsidR="0052331B" w:rsidRPr="00107623">
        <w:rPr>
          <w:i/>
          <w:sz w:val="24"/>
          <w:szCs w:val="24"/>
        </w:rPr>
        <w:t xml:space="preserve">ανεξάρτητα από την εθνικότητα, τον </w:t>
      </w:r>
      <w:r w:rsidR="00866953" w:rsidRPr="00107623">
        <w:rPr>
          <w:i/>
          <w:sz w:val="24"/>
          <w:szCs w:val="24"/>
        </w:rPr>
        <w:t xml:space="preserve">τόπο κατοικίας και </w:t>
      </w:r>
      <w:r w:rsidR="0052331B" w:rsidRPr="00107623">
        <w:rPr>
          <w:i/>
          <w:sz w:val="24"/>
          <w:szCs w:val="24"/>
        </w:rPr>
        <w:t xml:space="preserve">την </w:t>
      </w:r>
      <w:r w:rsidR="00866953" w:rsidRPr="00107623">
        <w:rPr>
          <w:i/>
          <w:sz w:val="24"/>
          <w:szCs w:val="24"/>
        </w:rPr>
        <w:t>οικογενειακή</w:t>
      </w:r>
      <w:r w:rsidR="0052331B" w:rsidRPr="00107623">
        <w:rPr>
          <w:i/>
          <w:sz w:val="24"/>
          <w:szCs w:val="24"/>
        </w:rPr>
        <w:t xml:space="preserve"> του</w:t>
      </w:r>
      <w:r w:rsidR="00866953" w:rsidRPr="00107623">
        <w:rPr>
          <w:sz w:val="24"/>
          <w:szCs w:val="24"/>
        </w:rPr>
        <w:t xml:space="preserve"> </w:t>
      </w:r>
      <w:r w:rsidR="00866953" w:rsidRPr="00107623">
        <w:rPr>
          <w:i/>
          <w:sz w:val="24"/>
          <w:szCs w:val="24"/>
        </w:rPr>
        <w:t>κατάσταση</w:t>
      </w:r>
      <w:r w:rsidR="00516838" w:rsidRPr="00107623">
        <w:rPr>
          <w:sz w:val="24"/>
          <w:szCs w:val="24"/>
        </w:rPr>
        <w:t>»</w:t>
      </w:r>
      <w:r w:rsidR="00657507" w:rsidRPr="00107623">
        <w:rPr>
          <w:sz w:val="24"/>
          <w:szCs w:val="24"/>
        </w:rPr>
        <w:t xml:space="preserve"> </w:t>
      </w:r>
      <w:r w:rsidR="001E4DD0" w:rsidRPr="00107623">
        <w:rPr>
          <w:sz w:val="24"/>
          <w:szCs w:val="24"/>
        </w:rPr>
        <w:t xml:space="preserve">(υπόθεση </w:t>
      </w:r>
      <w:proofErr w:type="spellStart"/>
      <w:r w:rsidR="001E4DD0" w:rsidRPr="00107623">
        <w:rPr>
          <w:sz w:val="24"/>
          <w:szCs w:val="24"/>
          <w:lang w:val="en-US"/>
        </w:rPr>
        <w:t>Scozzari</w:t>
      </w:r>
      <w:proofErr w:type="spellEnd"/>
      <w:r w:rsidR="001E4DD0" w:rsidRPr="00107623">
        <w:rPr>
          <w:sz w:val="24"/>
          <w:szCs w:val="24"/>
        </w:rPr>
        <w:t xml:space="preserve"> και </w:t>
      </w:r>
      <w:proofErr w:type="spellStart"/>
      <w:r w:rsidR="001E4DD0" w:rsidRPr="00107623">
        <w:rPr>
          <w:sz w:val="24"/>
          <w:szCs w:val="24"/>
          <w:lang w:val="en-US"/>
        </w:rPr>
        <w:t>Giunta</w:t>
      </w:r>
      <w:proofErr w:type="spellEnd"/>
      <w:r w:rsidR="001E4DD0" w:rsidRPr="00107623">
        <w:rPr>
          <w:sz w:val="24"/>
          <w:szCs w:val="24"/>
        </w:rPr>
        <w:t xml:space="preserve"> </w:t>
      </w:r>
      <w:r w:rsidR="001E4DD0" w:rsidRPr="00107623">
        <w:rPr>
          <w:sz w:val="24"/>
          <w:szCs w:val="24"/>
          <w:lang w:val="en-US"/>
        </w:rPr>
        <w:t>v</w:t>
      </w:r>
      <w:r w:rsidR="001E4DD0" w:rsidRPr="00107623">
        <w:rPr>
          <w:sz w:val="24"/>
          <w:szCs w:val="24"/>
        </w:rPr>
        <w:t xml:space="preserve">. </w:t>
      </w:r>
      <w:r w:rsidR="001E4DD0" w:rsidRPr="00107623">
        <w:rPr>
          <w:sz w:val="24"/>
          <w:szCs w:val="24"/>
          <w:lang w:val="en-US"/>
        </w:rPr>
        <w:t>Italy</w:t>
      </w:r>
      <w:r w:rsidR="001E4DD0" w:rsidRPr="00107623">
        <w:rPr>
          <w:sz w:val="24"/>
          <w:szCs w:val="24"/>
        </w:rPr>
        <w:t>)</w:t>
      </w:r>
      <w:r w:rsidR="00657507" w:rsidRPr="00107623">
        <w:rPr>
          <w:sz w:val="24"/>
          <w:szCs w:val="24"/>
        </w:rPr>
        <w:t>.</w:t>
      </w:r>
    </w:p>
    <w:p w:rsidR="003054A3" w:rsidRPr="00107623" w:rsidRDefault="003054A3" w:rsidP="00597305">
      <w:pPr>
        <w:pStyle w:val="ListParagraph"/>
        <w:spacing w:after="0" w:line="240" w:lineRule="auto"/>
        <w:ind w:left="567"/>
        <w:contextualSpacing w:val="0"/>
        <w:jc w:val="both"/>
        <w:rPr>
          <w:sz w:val="24"/>
          <w:szCs w:val="24"/>
        </w:rPr>
      </w:pPr>
    </w:p>
    <w:p w:rsidR="00A970E8" w:rsidRDefault="00E32D21" w:rsidP="00597305">
      <w:pPr>
        <w:pStyle w:val="ListParagraph"/>
        <w:numPr>
          <w:ilvl w:val="0"/>
          <w:numId w:val="23"/>
        </w:numPr>
        <w:spacing w:after="0" w:line="240" w:lineRule="auto"/>
        <w:ind w:left="567" w:firstLine="0"/>
        <w:contextualSpacing w:val="0"/>
        <w:jc w:val="both"/>
        <w:rPr>
          <w:sz w:val="24"/>
          <w:szCs w:val="24"/>
        </w:rPr>
      </w:pPr>
      <w:r>
        <w:rPr>
          <w:sz w:val="24"/>
          <w:szCs w:val="24"/>
        </w:rPr>
        <w:t>Υπάρχει δ</w:t>
      </w:r>
      <w:r w:rsidR="00FB1817">
        <w:rPr>
          <w:sz w:val="24"/>
          <w:szCs w:val="24"/>
        </w:rPr>
        <w:t>υνατότητα προσφυγής χωρίς δικηγόρο στο αρχικό στάδιο της διαδικασίας.</w:t>
      </w:r>
      <w:r w:rsidR="003D0F30">
        <w:rPr>
          <w:sz w:val="24"/>
          <w:szCs w:val="24"/>
        </w:rPr>
        <w:t xml:space="preserve"> Δεν αποτελεί προϋπόθεση παραδεκτού η ύπαρξη δικηγόρου. Ωστόσο, χρειάζεται δικηγόρος από την στιγμή που η προσφυγή κοινοποιηθεί στο κράτος για να υποβάλλει παρατηρήσεις.</w:t>
      </w:r>
    </w:p>
    <w:p w:rsidR="003054A3" w:rsidRDefault="003054A3" w:rsidP="00597305">
      <w:pPr>
        <w:pStyle w:val="ListParagraph"/>
        <w:spacing w:after="0" w:line="240" w:lineRule="auto"/>
        <w:ind w:left="567"/>
        <w:contextualSpacing w:val="0"/>
        <w:jc w:val="both"/>
        <w:rPr>
          <w:sz w:val="24"/>
          <w:szCs w:val="24"/>
        </w:rPr>
      </w:pPr>
    </w:p>
    <w:p w:rsidR="003D0F30" w:rsidRPr="003054A3" w:rsidRDefault="00EB5EF8" w:rsidP="00597305">
      <w:pPr>
        <w:pStyle w:val="ListParagraph"/>
        <w:numPr>
          <w:ilvl w:val="0"/>
          <w:numId w:val="24"/>
        </w:numPr>
        <w:spacing w:after="0" w:line="240" w:lineRule="auto"/>
        <w:ind w:left="567" w:firstLine="0"/>
        <w:contextualSpacing w:val="0"/>
        <w:jc w:val="both"/>
        <w:rPr>
          <w:sz w:val="24"/>
          <w:szCs w:val="24"/>
        </w:rPr>
      </w:pPr>
      <w:r w:rsidRPr="00451907">
        <w:rPr>
          <w:sz w:val="24"/>
          <w:szCs w:val="24"/>
        </w:rPr>
        <w:t>Απαραίτητη προϋπόθεση είναι και η ε</w:t>
      </w:r>
      <w:r w:rsidR="003D0F30" w:rsidRPr="00451907">
        <w:rPr>
          <w:sz w:val="24"/>
          <w:szCs w:val="24"/>
        </w:rPr>
        <w:t>πίκληση δικαιωμάτων που περιλαμβάνονται στην σύμβαση. Το άτομο ή το κράτος πρέπει να επικαλούνται δικαιώματα που υπάρχουν στην σύμβαση γιατί το ΕΔΔΑ δεν μπ</w:t>
      </w:r>
      <w:r w:rsidR="00AB1E3F" w:rsidRPr="00451907">
        <w:rPr>
          <w:sz w:val="24"/>
          <w:szCs w:val="24"/>
        </w:rPr>
        <w:t>ορεί να κρίνει παραβιάσεις δι</w:t>
      </w:r>
      <w:r w:rsidR="009C4F68">
        <w:rPr>
          <w:sz w:val="24"/>
          <w:szCs w:val="24"/>
        </w:rPr>
        <w:t>α</w:t>
      </w:r>
      <w:r w:rsidR="00AB1E3F" w:rsidRPr="00451907">
        <w:rPr>
          <w:sz w:val="24"/>
          <w:szCs w:val="24"/>
        </w:rPr>
        <w:t>φορ</w:t>
      </w:r>
      <w:r w:rsidR="009C4F68">
        <w:rPr>
          <w:sz w:val="24"/>
          <w:szCs w:val="24"/>
        </w:rPr>
        <w:t>ετικών</w:t>
      </w:r>
      <w:r w:rsidR="003D0F30" w:rsidRPr="00451907">
        <w:rPr>
          <w:sz w:val="24"/>
          <w:szCs w:val="24"/>
        </w:rPr>
        <w:t xml:space="preserve"> δικαιωμάτων από αυτών  </w:t>
      </w:r>
      <w:r w:rsidR="0023634A" w:rsidRPr="00451907">
        <w:rPr>
          <w:sz w:val="24"/>
          <w:szCs w:val="24"/>
        </w:rPr>
        <w:t>της ΕΣΔΑ. Η αρμοδιότητα του δικαστηρίου</w:t>
      </w:r>
      <w:r w:rsidR="003D0F30" w:rsidRPr="00451907">
        <w:rPr>
          <w:sz w:val="24"/>
          <w:szCs w:val="24"/>
        </w:rPr>
        <w:t xml:space="preserve"> αφορά θέματα ερμηνείας και εφαρμογής </w:t>
      </w:r>
      <w:r w:rsidR="00451907" w:rsidRPr="00451907">
        <w:rPr>
          <w:sz w:val="24"/>
          <w:szCs w:val="24"/>
        </w:rPr>
        <w:t xml:space="preserve">μόνο </w:t>
      </w:r>
      <w:r w:rsidR="003D0F30" w:rsidRPr="00451907">
        <w:rPr>
          <w:sz w:val="24"/>
          <w:szCs w:val="24"/>
        </w:rPr>
        <w:t>της</w:t>
      </w:r>
      <w:r w:rsidR="005D34B4" w:rsidRPr="00451907">
        <w:rPr>
          <w:sz w:val="24"/>
          <w:szCs w:val="24"/>
        </w:rPr>
        <w:t xml:space="preserve"> συγκεκριμένης </w:t>
      </w:r>
      <w:r w:rsidR="00516838" w:rsidRPr="00451907">
        <w:rPr>
          <w:sz w:val="24"/>
          <w:szCs w:val="24"/>
        </w:rPr>
        <w:t>σύμβαση</w:t>
      </w:r>
      <w:r w:rsidR="003D0F30" w:rsidRPr="00451907">
        <w:rPr>
          <w:sz w:val="24"/>
          <w:szCs w:val="24"/>
        </w:rPr>
        <w:t>ς.</w:t>
      </w:r>
      <w:r w:rsidR="00D22795" w:rsidRPr="00451907">
        <w:rPr>
          <w:sz w:val="24"/>
          <w:szCs w:val="24"/>
        </w:rPr>
        <w:t xml:space="preserve"> Ωστόσο, </w:t>
      </w:r>
      <w:r w:rsidR="00451907">
        <w:rPr>
          <w:sz w:val="24"/>
          <w:szCs w:val="24"/>
        </w:rPr>
        <w:t xml:space="preserve">στην υπόθεση </w:t>
      </w:r>
      <w:proofErr w:type="spellStart"/>
      <w:r w:rsidR="00451907">
        <w:rPr>
          <w:sz w:val="24"/>
          <w:szCs w:val="24"/>
          <w:lang w:val="en-US"/>
        </w:rPr>
        <w:t>Guzzardi</w:t>
      </w:r>
      <w:proofErr w:type="spellEnd"/>
      <w:r w:rsidR="00451907" w:rsidRPr="00AE2E68">
        <w:rPr>
          <w:sz w:val="24"/>
          <w:szCs w:val="24"/>
        </w:rPr>
        <w:t xml:space="preserve"> </w:t>
      </w:r>
      <w:r w:rsidR="00451907">
        <w:rPr>
          <w:sz w:val="24"/>
          <w:szCs w:val="24"/>
          <w:lang w:val="en-US"/>
        </w:rPr>
        <w:t>v</w:t>
      </w:r>
      <w:r w:rsidR="00451907" w:rsidRPr="00AE2E68">
        <w:rPr>
          <w:sz w:val="24"/>
          <w:szCs w:val="24"/>
        </w:rPr>
        <w:t xml:space="preserve">. </w:t>
      </w:r>
      <w:r w:rsidR="00451907">
        <w:rPr>
          <w:sz w:val="24"/>
          <w:szCs w:val="24"/>
          <w:lang w:val="en-US"/>
        </w:rPr>
        <w:t>Italy</w:t>
      </w:r>
      <w:r w:rsidR="00451907">
        <w:rPr>
          <w:sz w:val="24"/>
          <w:szCs w:val="24"/>
        </w:rPr>
        <w:t xml:space="preserve"> </w:t>
      </w:r>
      <w:r w:rsidR="00451907" w:rsidRPr="00451907">
        <w:rPr>
          <w:sz w:val="24"/>
          <w:szCs w:val="24"/>
        </w:rPr>
        <w:t>το</w:t>
      </w:r>
      <w:r w:rsidR="00451907">
        <w:rPr>
          <w:sz w:val="24"/>
          <w:szCs w:val="24"/>
        </w:rPr>
        <w:t xml:space="preserve"> δικαστήριο αποφάνθηκε ότι</w:t>
      </w:r>
      <w:r w:rsidR="004475DA" w:rsidRPr="00451907">
        <w:rPr>
          <w:sz w:val="24"/>
          <w:szCs w:val="24"/>
        </w:rPr>
        <w:t xml:space="preserve"> </w:t>
      </w:r>
      <w:r w:rsidR="00516838" w:rsidRPr="00451907">
        <w:rPr>
          <w:sz w:val="24"/>
          <w:szCs w:val="24"/>
        </w:rPr>
        <w:t>«</w:t>
      </w:r>
      <w:r w:rsidR="00D22795" w:rsidRPr="00451907">
        <w:rPr>
          <w:i/>
          <w:sz w:val="24"/>
          <w:szCs w:val="24"/>
        </w:rPr>
        <w:t>το θύμα δεν είναι υποχρεωμένο να καθορίσει ποιό άρθρο, ποιά παράγραφος ή ποιό εδάφιο της σύμβασης έχει παραβιαστεί</w:t>
      </w:r>
      <w:r w:rsidR="00421EDB" w:rsidRPr="00451907">
        <w:rPr>
          <w:i/>
          <w:sz w:val="24"/>
          <w:szCs w:val="24"/>
        </w:rPr>
        <w:t xml:space="preserve">. Αυτό που απαιτείται είναι η αίτηση να εκθέτει όσο το δυνατόν περισσότερο την διάταξη της σύμβασης </w:t>
      </w:r>
      <w:r w:rsidR="00D4041E" w:rsidRPr="00451907">
        <w:rPr>
          <w:i/>
          <w:sz w:val="24"/>
          <w:szCs w:val="24"/>
        </w:rPr>
        <w:t>που εικάζεται ότι</w:t>
      </w:r>
      <w:r w:rsidR="00421EDB" w:rsidRPr="00451907">
        <w:rPr>
          <w:i/>
          <w:sz w:val="24"/>
          <w:szCs w:val="24"/>
        </w:rPr>
        <w:t xml:space="preserve"> έχει παραβιαστεί.</w:t>
      </w:r>
      <w:r w:rsidR="00D4041E" w:rsidRPr="00451907">
        <w:rPr>
          <w:i/>
          <w:sz w:val="24"/>
          <w:szCs w:val="24"/>
        </w:rPr>
        <w:t xml:space="preserve"> Μεγαλύτερη αυστηρότητα θα οδηγούσε σε άδικες συνέπειες</w:t>
      </w:r>
      <w:r w:rsidR="001E4DD0" w:rsidRPr="00451907">
        <w:rPr>
          <w:i/>
          <w:sz w:val="24"/>
          <w:szCs w:val="24"/>
        </w:rPr>
        <w:t xml:space="preserve"> γ</w:t>
      </w:r>
      <w:r w:rsidR="003D60FC" w:rsidRPr="00451907">
        <w:rPr>
          <w:i/>
          <w:sz w:val="24"/>
          <w:szCs w:val="24"/>
        </w:rPr>
        <w:t>ιατί η συντριπτική πλειοψηφί</w:t>
      </w:r>
      <w:r w:rsidR="00677D2D">
        <w:rPr>
          <w:i/>
          <w:sz w:val="24"/>
          <w:szCs w:val="24"/>
        </w:rPr>
        <w:t>α των ατομικών αναφορών προέρχεται από απλ</w:t>
      </w:r>
      <w:r w:rsidR="003D60FC" w:rsidRPr="00451907">
        <w:rPr>
          <w:i/>
          <w:sz w:val="24"/>
          <w:szCs w:val="24"/>
        </w:rPr>
        <w:t>ούς πολίτες χωρίς την επικουρία δικηγόρου</w:t>
      </w:r>
      <w:r w:rsidR="00451907" w:rsidRPr="00451907">
        <w:rPr>
          <w:i/>
          <w:sz w:val="24"/>
          <w:szCs w:val="24"/>
        </w:rPr>
        <w:t>».</w:t>
      </w:r>
    </w:p>
    <w:p w:rsidR="003054A3" w:rsidRPr="00451907" w:rsidRDefault="003054A3" w:rsidP="00597305">
      <w:pPr>
        <w:pStyle w:val="ListParagraph"/>
        <w:spacing w:after="0" w:line="240" w:lineRule="auto"/>
        <w:ind w:left="567"/>
        <w:contextualSpacing w:val="0"/>
        <w:jc w:val="both"/>
        <w:rPr>
          <w:sz w:val="24"/>
          <w:szCs w:val="24"/>
        </w:rPr>
      </w:pPr>
    </w:p>
    <w:p w:rsidR="005D34B4" w:rsidRDefault="00EE639E" w:rsidP="00597305">
      <w:pPr>
        <w:pStyle w:val="ListParagraph"/>
        <w:numPr>
          <w:ilvl w:val="0"/>
          <w:numId w:val="25"/>
        </w:numPr>
        <w:spacing w:after="0" w:line="240" w:lineRule="auto"/>
        <w:ind w:left="567" w:firstLine="0"/>
        <w:contextualSpacing w:val="0"/>
        <w:jc w:val="both"/>
        <w:rPr>
          <w:sz w:val="24"/>
          <w:szCs w:val="24"/>
        </w:rPr>
      </w:pPr>
      <w:r w:rsidRPr="00451907">
        <w:rPr>
          <w:sz w:val="24"/>
          <w:szCs w:val="24"/>
        </w:rPr>
        <w:t>Επιπλέον, τα εσωτερικά ένδικα μέσα θα πρέπει να έχουν εξαντληθεί</w:t>
      </w:r>
      <w:r w:rsidR="005D34B4" w:rsidRPr="00451907">
        <w:rPr>
          <w:sz w:val="24"/>
          <w:szCs w:val="24"/>
        </w:rPr>
        <w:t xml:space="preserve"> αλλιώς η προσφυγή θα κριθεί απαράδεκτη. </w:t>
      </w:r>
      <w:r w:rsidR="00217C7D" w:rsidRPr="00451907">
        <w:rPr>
          <w:sz w:val="24"/>
          <w:szCs w:val="24"/>
        </w:rPr>
        <w:t xml:space="preserve">Εξαίρεση: </w:t>
      </w:r>
    </w:p>
    <w:p w:rsidR="003D656C" w:rsidRPr="00010646" w:rsidRDefault="003D656C" w:rsidP="00463803">
      <w:pPr>
        <w:pStyle w:val="ListParagraph"/>
        <w:spacing w:after="0" w:line="240" w:lineRule="auto"/>
        <w:ind w:left="0"/>
        <w:contextualSpacing w:val="0"/>
        <w:jc w:val="both"/>
        <w:rPr>
          <w:sz w:val="24"/>
          <w:szCs w:val="24"/>
          <w:lang w:val="en-US"/>
        </w:rPr>
      </w:pPr>
    </w:p>
    <w:p w:rsidR="00597305" w:rsidRDefault="00597305" w:rsidP="00463803">
      <w:pPr>
        <w:pStyle w:val="ListParagraph"/>
        <w:spacing w:after="0" w:line="240" w:lineRule="auto"/>
        <w:ind w:left="0"/>
        <w:contextualSpacing w:val="0"/>
        <w:jc w:val="both"/>
        <w:rPr>
          <w:sz w:val="24"/>
          <w:szCs w:val="24"/>
        </w:rPr>
      </w:pPr>
    </w:p>
    <w:p w:rsidR="003054A3" w:rsidRDefault="00C135F2" w:rsidP="00463803">
      <w:pPr>
        <w:pStyle w:val="ListParagraph"/>
        <w:pBdr>
          <w:top w:val="single" w:sz="4" w:space="1" w:color="auto"/>
        </w:pBdr>
        <w:spacing w:after="0" w:line="240" w:lineRule="auto"/>
        <w:ind w:left="0"/>
        <w:contextualSpacing w:val="0"/>
        <w:jc w:val="both"/>
        <w:rPr>
          <w:sz w:val="20"/>
          <w:szCs w:val="20"/>
        </w:rPr>
      </w:pPr>
      <w:r w:rsidRPr="007F5C35">
        <w:rPr>
          <w:sz w:val="20"/>
          <w:szCs w:val="20"/>
          <w:vertAlign w:val="superscript"/>
        </w:rPr>
        <w:t>2</w:t>
      </w:r>
      <w:r w:rsidRPr="007F5C35">
        <w:rPr>
          <w:sz w:val="20"/>
          <w:szCs w:val="20"/>
        </w:rPr>
        <w:t xml:space="preserve"> Το 1997 το 11</w:t>
      </w:r>
      <w:r w:rsidRPr="007F5C35">
        <w:rPr>
          <w:sz w:val="20"/>
          <w:szCs w:val="20"/>
          <w:vertAlign w:val="superscript"/>
        </w:rPr>
        <w:t>ο</w:t>
      </w:r>
      <w:r w:rsidRPr="007F5C35">
        <w:rPr>
          <w:sz w:val="20"/>
          <w:szCs w:val="20"/>
        </w:rPr>
        <w:t xml:space="preserve"> Πρωτόκολλο τροποποίησε την Σύμβαση, με την δημιουργία ενός ενιαίου και </w:t>
      </w:r>
      <w:r w:rsidRPr="0073398E">
        <w:rPr>
          <w:sz w:val="20"/>
          <w:szCs w:val="20"/>
        </w:rPr>
        <w:t>διαρκούς δικαστηρίου και θέτοντας έτσι τέρμα στον μηχανισμό της «πρώην» Ευρωπαϊκής</w:t>
      </w:r>
      <w:r w:rsidRPr="007F5C35">
        <w:rPr>
          <w:sz w:val="20"/>
          <w:szCs w:val="20"/>
        </w:rPr>
        <w:t xml:space="preserve"> Επιτροπής των Δικαιωμάτων του Ανθρώπου. Αναγνωρίστηκε πλήρως το δικαίωμα κάθε ατόμου να απευθύνεται απευθείας στο δικαστήριο. Όπως, ωσ</w:t>
      </w:r>
      <w:r w:rsidR="005574E9">
        <w:rPr>
          <w:sz w:val="20"/>
          <w:szCs w:val="20"/>
        </w:rPr>
        <w:t>τόσο, μπορεί να γίνει αντιληπτό</w:t>
      </w:r>
      <w:r>
        <w:rPr>
          <w:sz w:val="20"/>
          <w:szCs w:val="20"/>
        </w:rPr>
        <w:t xml:space="preserve"> </w:t>
      </w:r>
      <w:r w:rsidRPr="007F5C35">
        <w:rPr>
          <w:sz w:val="20"/>
          <w:szCs w:val="20"/>
        </w:rPr>
        <w:t>η κατάργηση της Επιτροπής και η υποβολή καταγγελιών απευθείας στο δικαστήριο αύξησε κατά πολύ τον όγκο υποθέσεων του δικαστηρίου. Για την επίλυση αυτού του προβλήματος το 2010 εισήχθησαν με το 14</w:t>
      </w:r>
      <w:r w:rsidRPr="007F5C35">
        <w:rPr>
          <w:sz w:val="20"/>
          <w:szCs w:val="20"/>
          <w:vertAlign w:val="superscript"/>
        </w:rPr>
        <w:t>ο</w:t>
      </w:r>
      <w:r w:rsidRPr="007F5C35">
        <w:rPr>
          <w:sz w:val="20"/>
          <w:szCs w:val="20"/>
        </w:rPr>
        <w:t xml:space="preserve"> προτόκολλο 2 νέες προϋποθέσεις, όπως θα δούμε παρακάτω.</w:t>
      </w:r>
    </w:p>
    <w:p w:rsidR="003054A3" w:rsidRDefault="003054A3" w:rsidP="003054A3">
      <w:r>
        <w:br w:type="page"/>
      </w:r>
    </w:p>
    <w:p w:rsidR="003D656C" w:rsidRDefault="003D656C" w:rsidP="00597305">
      <w:pPr>
        <w:pStyle w:val="ListParagraph"/>
        <w:numPr>
          <w:ilvl w:val="0"/>
          <w:numId w:val="4"/>
        </w:numPr>
        <w:spacing w:after="0" w:line="240" w:lineRule="auto"/>
        <w:ind w:left="851" w:firstLine="0"/>
        <w:contextualSpacing w:val="0"/>
        <w:jc w:val="both"/>
        <w:rPr>
          <w:sz w:val="24"/>
          <w:szCs w:val="24"/>
        </w:rPr>
      </w:pPr>
      <w:r>
        <w:rPr>
          <w:sz w:val="24"/>
          <w:szCs w:val="24"/>
        </w:rPr>
        <w:lastRenderedPageBreak/>
        <w:t>Αν δεν υπάρχουν τα εσωτερικά μέσα ή</w:t>
      </w:r>
    </w:p>
    <w:p w:rsidR="003D656C" w:rsidRDefault="003D656C" w:rsidP="00597305">
      <w:pPr>
        <w:pStyle w:val="ListParagraph"/>
        <w:numPr>
          <w:ilvl w:val="0"/>
          <w:numId w:val="4"/>
        </w:numPr>
        <w:spacing w:after="0" w:line="240" w:lineRule="auto"/>
        <w:ind w:left="851" w:firstLine="0"/>
        <w:contextualSpacing w:val="0"/>
        <w:jc w:val="both"/>
        <w:rPr>
          <w:sz w:val="24"/>
          <w:szCs w:val="24"/>
        </w:rPr>
      </w:pPr>
      <w:r w:rsidRPr="00217C7D">
        <w:rPr>
          <w:sz w:val="24"/>
          <w:szCs w:val="24"/>
        </w:rPr>
        <w:t>Αν δεν υπάρχουν αποτελεσματικά ένδικα μέσα.</w:t>
      </w:r>
    </w:p>
    <w:p w:rsidR="003054A3" w:rsidRDefault="003054A3" w:rsidP="003054A3">
      <w:pPr>
        <w:pStyle w:val="ListParagraph"/>
        <w:spacing w:after="0" w:line="240" w:lineRule="auto"/>
        <w:ind w:left="0"/>
        <w:contextualSpacing w:val="0"/>
        <w:jc w:val="both"/>
        <w:rPr>
          <w:sz w:val="24"/>
          <w:szCs w:val="24"/>
        </w:rPr>
      </w:pPr>
    </w:p>
    <w:p w:rsidR="003054A3" w:rsidRDefault="00B55744" w:rsidP="00597305">
      <w:pPr>
        <w:pStyle w:val="ListParagraph"/>
        <w:spacing w:after="0" w:line="240" w:lineRule="auto"/>
        <w:ind w:left="567"/>
        <w:contextualSpacing w:val="0"/>
        <w:jc w:val="both"/>
        <w:rPr>
          <w:sz w:val="24"/>
          <w:szCs w:val="24"/>
        </w:rPr>
      </w:pPr>
      <w:r w:rsidRPr="007D2729">
        <w:rPr>
          <w:sz w:val="24"/>
          <w:szCs w:val="24"/>
        </w:rPr>
        <w:t>Σκοπός της συγκεκριμένης προϋπόθεσης είναι να υπάρξ</w:t>
      </w:r>
      <w:r w:rsidR="00ED5EC2">
        <w:rPr>
          <w:sz w:val="24"/>
          <w:szCs w:val="24"/>
        </w:rPr>
        <w:t>ει</w:t>
      </w:r>
      <w:r w:rsidRPr="007D2729">
        <w:rPr>
          <w:sz w:val="24"/>
          <w:szCs w:val="24"/>
        </w:rPr>
        <w:t xml:space="preserve"> συζήτηση πρώτα σε εθνικό επίπεδο</w:t>
      </w:r>
      <w:r w:rsidR="00A0532E">
        <w:rPr>
          <w:sz w:val="24"/>
          <w:szCs w:val="24"/>
        </w:rPr>
        <w:t>, να δοθεί</w:t>
      </w:r>
      <w:r w:rsidR="00247D72">
        <w:rPr>
          <w:sz w:val="24"/>
          <w:szCs w:val="24"/>
        </w:rPr>
        <w:t>, δηλαδή,</w:t>
      </w:r>
      <w:r w:rsidRPr="007D2729">
        <w:rPr>
          <w:sz w:val="24"/>
          <w:szCs w:val="24"/>
        </w:rPr>
        <w:t xml:space="preserve"> </w:t>
      </w:r>
      <w:r w:rsidR="00A0532E">
        <w:rPr>
          <w:sz w:val="24"/>
          <w:szCs w:val="24"/>
        </w:rPr>
        <w:t>η</w:t>
      </w:r>
      <w:r w:rsidR="00247D72">
        <w:rPr>
          <w:sz w:val="24"/>
          <w:szCs w:val="24"/>
        </w:rPr>
        <w:t xml:space="preserve"> ευκαιρία στα εθνικά δικαστήρια να αποτρέψουν ή να διορθώσουν τις εικαζόμενες παραβιάσεις της Σύμβασης. Αν δε δοθεί λύ</w:t>
      </w:r>
      <w:r w:rsidR="003F3B3B">
        <w:rPr>
          <w:sz w:val="24"/>
          <w:szCs w:val="24"/>
        </w:rPr>
        <w:t xml:space="preserve">ση, σε αυτήν την περίπτωση μόνο θα πρέπει </w:t>
      </w:r>
      <w:r w:rsidRPr="007D2729">
        <w:rPr>
          <w:sz w:val="24"/>
          <w:szCs w:val="24"/>
        </w:rPr>
        <w:t>να υπάρχει δυνατότητα προσφυγής στο ΕΔΔΑ</w:t>
      </w:r>
      <w:r w:rsidR="00516838" w:rsidRPr="00516838">
        <w:rPr>
          <w:sz w:val="24"/>
          <w:szCs w:val="24"/>
          <w:vertAlign w:val="superscript"/>
        </w:rPr>
        <w:t>3</w:t>
      </w:r>
      <w:r w:rsidR="00516838">
        <w:rPr>
          <w:b/>
          <w:sz w:val="24"/>
          <w:szCs w:val="24"/>
        </w:rPr>
        <w:t>.</w:t>
      </w:r>
      <w:r w:rsidRPr="007D2729">
        <w:rPr>
          <w:sz w:val="24"/>
          <w:szCs w:val="24"/>
        </w:rPr>
        <w:t xml:space="preserve"> </w:t>
      </w:r>
      <w:r w:rsidR="00D73825" w:rsidRPr="007D2729">
        <w:rPr>
          <w:sz w:val="24"/>
          <w:szCs w:val="24"/>
        </w:rPr>
        <w:t>Πρέπει</w:t>
      </w:r>
      <w:r w:rsidRPr="007D2729">
        <w:rPr>
          <w:sz w:val="24"/>
          <w:szCs w:val="24"/>
        </w:rPr>
        <w:t xml:space="preserve">, όμως, </w:t>
      </w:r>
      <w:r w:rsidR="00D73825" w:rsidRPr="007D2729">
        <w:rPr>
          <w:sz w:val="24"/>
          <w:szCs w:val="24"/>
        </w:rPr>
        <w:t xml:space="preserve"> να υπάρ</w:t>
      </w:r>
      <w:r w:rsidR="00217C7D" w:rsidRPr="007D2729">
        <w:rPr>
          <w:sz w:val="24"/>
          <w:szCs w:val="24"/>
        </w:rPr>
        <w:t xml:space="preserve">χουν διάθεσιμα </w:t>
      </w:r>
      <w:r w:rsidR="00195A51" w:rsidRPr="00F91C8E">
        <w:rPr>
          <w:sz w:val="24"/>
          <w:szCs w:val="24"/>
        </w:rPr>
        <w:t xml:space="preserve">και αποτελεσματικά ένδικα μέσα. </w:t>
      </w:r>
      <w:r w:rsidR="007D357F" w:rsidRPr="00F91C8E">
        <w:rPr>
          <w:sz w:val="24"/>
          <w:szCs w:val="24"/>
        </w:rPr>
        <w:t xml:space="preserve">Αν ένα πρόσωπο έχει προσφύγει στα εσωτερικά δικαστήρια με συγκεκριμένο αίτημα και η δίκη διαιωνίζεται για λόγους που δεν οφείλονται σε υπαιτιότητα του, τότε μπορεί να απευθυνθεί στο ΕΔΔΑ έστω και πρίν την εξάντληση των εσωτερικών ενδίκων μέσων με το επιχείρημα ότι αυτά δεν είναι αποτελεσματικά. </w:t>
      </w:r>
      <w:r w:rsidR="00195A51" w:rsidRPr="00F91C8E">
        <w:rPr>
          <w:sz w:val="24"/>
          <w:szCs w:val="24"/>
        </w:rPr>
        <w:t xml:space="preserve">Σε περίπτωση που η κυβέρνηση ισχυρίζεται ότι δεν υπάρχει εξάντληση εσωτερικών ενδίκων μέσων το βάρος απόδειξης φέρει η κυβέρνηση να αποδείξει ότι υπήρχε διαθέσιμο και αποτελεσματικό μέσο που δεν χρησιμοποιήθηκε. </w:t>
      </w:r>
      <w:r w:rsidR="00D276AA" w:rsidRPr="00F91C8E">
        <w:rPr>
          <w:sz w:val="24"/>
          <w:szCs w:val="24"/>
        </w:rPr>
        <w:t xml:space="preserve">Το δικαστήριο όσο αφορά την συγκεκριμένη προϋπόθεση την έχει ερμηνεύσει με ευελιξία και χωρίς υπερβολική τυπολατρεία. Έχει κάνει </w:t>
      </w:r>
      <w:r w:rsidR="00355328" w:rsidRPr="00F91C8E">
        <w:rPr>
          <w:sz w:val="24"/>
          <w:szCs w:val="24"/>
        </w:rPr>
        <w:t>δεκτό το</w:t>
      </w:r>
      <w:r w:rsidR="003C18E0" w:rsidRPr="00F91C8E">
        <w:rPr>
          <w:sz w:val="24"/>
          <w:szCs w:val="24"/>
        </w:rPr>
        <w:t xml:space="preserve"> ΕΔΔΑ</w:t>
      </w:r>
      <w:r w:rsidR="00355328" w:rsidRPr="00F91C8E">
        <w:rPr>
          <w:sz w:val="24"/>
          <w:szCs w:val="24"/>
        </w:rPr>
        <w:t xml:space="preserve"> στην νομολόγια του</w:t>
      </w:r>
      <w:r w:rsidR="003C18E0" w:rsidRPr="00F91C8E">
        <w:rPr>
          <w:sz w:val="24"/>
          <w:szCs w:val="24"/>
        </w:rPr>
        <w:t xml:space="preserve"> ότι </w:t>
      </w:r>
      <w:r w:rsidR="00B2505C" w:rsidRPr="00F91C8E">
        <w:rPr>
          <w:sz w:val="24"/>
          <w:szCs w:val="24"/>
        </w:rPr>
        <w:t>«</w:t>
      </w:r>
      <w:r w:rsidR="003C18E0" w:rsidRPr="00F91C8E">
        <w:rPr>
          <w:i/>
          <w:sz w:val="24"/>
          <w:szCs w:val="24"/>
        </w:rPr>
        <w:t>η ύπαρξη επανορθωτικών μέτρων πρέπει να είναι βέβαιη όχι μόνο στην θεωρία αλλά και στην πράξη</w:t>
      </w:r>
      <w:r w:rsidR="00CF5280" w:rsidRPr="00F91C8E">
        <w:rPr>
          <w:i/>
          <w:sz w:val="24"/>
          <w:szCs w:val="24"/>
        </w:rPr>
        <w:t>, δηλαδή, τα διορθωτικά μέτρα πρέπει να είναι προσβάσιμα, ικανά να παράσχουν αποκατάσταση σε σχέση με τα παράπονα τους και να προσφέρο</w:t>
      </w:r>
      <w:r w:rsidR="00683AE4" w:rsidRPr="00F91C8E">
        <w:rPr>
          <w:i/>
          <w:sz w:val="24"/>
          <w:szCs w:val="24"/>
        </w:rPr>
        <w:t>υν εύλογες προοπτικές επιτυχίας»</w:t>
      </w:r>
      <w:r w:rsidR="00863A34" w:rsidRPr="00F91C8E">
        <w:rPr>
          <w:i/>
          <w:sz w:val="24"/>
          <w:szCs w:val="24"/>
        </w:rPr>
        <w:t xml:space="preserve"> </w:t>
      </w:r>
      <w:r w:rsidR="00B2505C" w:rsidRPr="00F91C8E">
        <w:rPr>
          <w:i/>
          <w:sz w:val="24"/>
          <w:szCs w:val="24"/>
        </w:rPr>
        <w:t>και ότι «</w:t>
      </w:r>
      <w:r w:rsidR="003C18E0" w:rsidRPr="00F91C8E">
        <w:rPr>
          <w:i/>
          <w:sz w:val="24"/>
          <w:szCs w:val="24"/>
        </w:rPr>
        <w:t xml:space="preserve">κατά τον προσδιορισμό του εάν κάποιο συγκεκριμένο μέσο πληροί τα κριτήρια </w:t>
      </w:r>
      <w:r w:rsidRPr="00F91C8E">
        <w:rPr>
          <w:i/>
          <w:sz w:val="24"/>
          <w:szCs w:val="24"/>
        </w:rPr>
        <w:t>της διαθεσιμότητας και της αποτελεσματικότητας πρέπει να ληφθούν υπόψιν οι ιδιαίτερες περιστάσεις της συγκεκριμένης υπόθεσης</w:t>
      </w:r>
      <w:r w:rsidR="00B2505C" w:rsidRPr="00F91C8E">
        <w:rPr>
          <w:i/>
          <w:sz w:val="24"/>
          <w:szCs w:val="24"/>
        </w:rPr>
        <w:t>»</w:t>
      </w:r>
      <w:r w:rsidR="006827DF" w:rsidRPr="00F91C8E">
        <w:rPr>
          <w:i/>
          <w:sz w:val="24"/>
          <w:szCs w:val="24"/>
        </w:rPr>
        <w:t xml:space="preserve"> </w:t>
      </w:r>
      <w:r w:rsidR="00863A34" w:rsidRPr="00F91C8E">
        <w:rPr>
          <w:i/>
          <w:sz w:val="24"/>
          <w:szCs w:val="24"/>
        </w:rPr>
        <w:t>(</w:t>
      </w:r>
      <w:proofErr w:type="spellStart"/>
      <w:r w:rsidR="00863A34" w:rsidRPr="00F91C8E">
        <w:rPr>
          <w:i/>
          <w:sz w:val="24"/>
          <w:szCs w:val="24"/>
          <w:lang w:val="en-US"/>
        </w:rPr>
        <w:t>sejdovic</w:t>
      </w:r>
      <w:proofErr w:type="spellEnd"/>
      <w:r w:rsidR="00863A34" w:rsidRPr="00F91C8E">
        <w:rPr>
          <w:i/>
          <w:sz w:val="24"/>
          <w:szCs w:val="24"/>
        </w:rPr>
        <w:t xml:space="preserve"> </w:t>
      </w:r>
      <w:r w:rsidR="00863A34" w:rsidRPr="00F91C8E">
        <w:rPr>
          <w:i/>
          <w:sz w:val="24"/>
          <w:szCs w:val="24"/>
          <w:lang w:val="en-US"/>
        </w:rPr>
        <w:t>v</w:t>
      </w:r>
      <w:r w:rsidR="00863A34" w:rsidRPr="00F91C8E">
        <w:rPr>
          <w:i/>
          <w:sz w:val="24"/>
          <w:szCs w:val="24"/>
        </w:rPr>
        <w:t>. Ιταλίας)</w:t>
      </w:r>
      <w:r w:rsidRPr="00F91C8E">
        <w:rPr>
          <w:sz w:val="24"/>
          <w:szCs w:val="24"/>
        </w:rPr>
        <w:t>.</w:t>
      </w:r>
    </w:p>
    <w:p w:rsidR="003054A3" w:rsidRPr="00F91C8E" w:rsidRDefault="003054A3" w:rsidP="00597305">
      <w:pPr>
        <w:pStyle w:val="ListParagraph"/>
        <w:spacing w:after="0" w:line="240" w:lineRule="auto"/>
        <w:ind w:left="567"/>
        <w:contextualSpacing w:val="0"/>
        <w:jc w:val="both"/>
        <w:rPr>
          <w:sz w:val="24"/>
          <w:szCs w:val="24"/>
        </w:rPr>
      </w:pPr>
    </w:p>
    <w:p w:rsidR="0067403E" w:rsidRDefault="00B55744" w:rsidP="00597305">
      <w:pPr>
        <w:pStyle w:val="ListParagraph"/>
        <w:numPr>
          <w:ilvl w:val="0"/>
          <w:numId w:val="26"/>
        </w:numPr>
        <w:spacing w:after="0" w:line="240" w:lineRule="auto"/>
        <w:ind w:left="567" w:firstLine="0"/>
        <w:contextualSpacing w:val="0"/>
        <w:jc w:val="both"/>
        <w:rPr>
          <w:sz w:val="24"/>
          <w:szCs w:val="24"/>
        </w:rPr>
      </w:pPr>
      <w:r>
        <w:rPr>
          <w:sz w:val="24"/>
          <w:szCs w:val="24"/>
        </w:rPr>
        <w:t>Πρέπει να έχ</w:t>
      </w:r>
      <w:r w:rsidR="00514199">
        <w:rPr>
          <w:sz w:val="24"/>
          <w:szCs w:val="24"/>
        </w:rPr>
        <w:t>ουν</w:t>
      </w:r>
      <w:r>
        <w:rPr>
          <w:sz w:val="24"/>
          <w:szCs w:val="24"/>
        </w:rPr>
        <w:t xml:space="preserve"> προβ</w:t>
      </w:r>
      <w:r w:rsidR="00514199">
        <w:rPr>
          <w:sz w:val="24"/>
          <w:szCs w:val="24"/>
        </w:rPr>
        <w:t>ληθεί</w:t>
      </w:r>
      <w:r>
        <w:rPr>
          <w:sz w:val="24"/>
          <w:szCs w:val="24"/>
        </w:rPr>
        <w:t xml:space="preserve"> ισχυρισμ</w:t>
      </w:r>
      <w:r w:rsidR="00514199">
        <w:rPr>
          <w:sz w:val="24"/>
          <w:szCs w:val="24"/>
        </w:rPr>
        <w:t>οί</w:t>
      </w:r>
      <w:r>
        <w:rPr>
          <w:sz w:val="24"/>
          <w:szCs w:val="24"/>
        </w:rPr>
        <w:t xml:space="preserve"> σχετικά με παραβιάσεις των άρθρων της ΕΣΔΑ ενώπιον των εθνικών δικαστηρίων.</w:t>
      </w:r>
      <w:r w:rsidR="00740133">
        <w:rPr>
          <w:sz w:val="24"/>
          <w:szCs w:val="24"/>
        </w:rPr>
        <w:t xml:space="preserve"> Δεν αρκεί απλώς να έχ</w:t>
      </w:r>
      <w:r w:rsidR="00514199">
        <w:rPr>
          <w:sz w:val="24"/>
          <w:szCs w:val="24"/>
        </w:rPr>
        <w:t>ουν</w:t>
      </w:r>
      <w:r w:rsidR="00740133">
        <w:rPr>
          <w:sz w:val="24"/>
          <w:szCs w:val="24"/>
        </w:rPr>
        <w:t xml:space="preserve"> εξαντλ</w:t>
      </w:r>
      <w:r w:rsidR="00514199">
        <w:rPr>
          <w:sz w:val="24"/>
          <w:szCs w:val="24"/>
        </w:rPr>
        <w:t>ηθεί</w:t>
      </w:r>
      <w:r w:rsidR="00740133">
        <w:rPr>
          <w:sz w:val="24"/>
          <w:szCs w:val="24"/>
        </w:rPr>
        <w:t xml:space="preserve"> τα εσωτερικά ένδικα μέσα αλλά πρέπει στο δικόγραφο να </w:t>
      </w:r>
      <w:r w:rsidR="00514199">
        <w:rPr>
          <w:sz w:val="24"/>
          <w:szCs w:val="24"/>
        </w:rPr>
        <w:t>έχει</w:t>
      </w:r>
      <w:r w:rsidR="00740133">
        <w:rPr>
          <w:sz w:val="24"/>
          <w:szCs w:val="24"/>
        </w:rPr>
        <w:t xml:space="preserve"> </w:t>
      </w:r>
      <w:r w:rsidR="00514199">
        <w:rPr>
          <w:sz w:val="24"/>
          <w:szCs w:val="24"/>
        </w:rPr>
        <w:t>γίνει επίκληση</w:t>
      </w:r>
      <w:r w:rsidR="00740133">
        <w:rPr>
          <w:sz w:val="24"/>
          <w:szCs w:val="24"/>
        </w:rPr>
        <w:t xml:space="preserve"> άρθρ</w:t>
      </w:r>
      <w:r w:rsidR="00514199">
        <w:rPr>
          <w:sz w:val="24"/>
          <w:szCs w:val="24"/>
        </w:rPr>
        <w:t>ων</w:t>
      </w:r>
      <w:r w:rsidR="00740133">
        <w:rPr>
          <w:sz w:val="24"/>
          <w:szCs w:val="24"/>
        </w:rPr>
        <w:t xml:space="preserve"> της ΕΣΔΑ ώστε ο εθνικός δικαστής να έχει την δυνατότητα να διαπιστώσει την παραβίαση της σύμβασης.</w:t>
      </w:r>
    </w:p>
    <w:p w:rsidR="003054A3" w:rsidRDefault="003054A3" w:rsidP="00597305">
      <w:pPr>
        <w:pStyle w:val="ListParagraph"/>
        <w:spacing w:after="0" w:line="240" w:lineRule="auto"/>
        <w:ind w:left="567"/>
        <w:contextualSpacing w:val="0"/>
        <w:jc w:val="both"/>
        <w:rPr>
          <w:sz w:val="24"/>
          <w:szCs w:val="24"/>
        </w:rPr>
      </w:pPr>
    </w:p>
    <w:p w:rsidR="005E21CD" w:rsidRDefault="00740133" w:rsidP="00597305">
      <w:pPr>
        <w:pStyle w:val="ListParagraph"/>
        <w:numPr>
          <w:ilvl w:val="0"/>
          <w:numId w:val="26"/>
        </w:numPr>
        <w:spacing w:after="0" w:line="240" w:lineRule="auto"/>
        <w:ind w:left="567" w:firstLine="0"/>
        <w:contextualSpacing w:val="0"/>
        <w:jc w:val="both"/>
        <w:rPr>
          <w:sz w:val="24"/>
          <w:szCs w:val="24"/>
        </w:rPr>
      </w:pPr>
      <w:r w:rsidRPr="0067403E">
        <w:rPr>
          <w:sz w:val="24"/>
          <w:szCs w:val="24"/>
        </w:rPr>
        <w:t>Η υπόθεση πρέπει να εισαχθεί ενώπιον του δικαστηρίου μέσα σε προθεσμία 6 μηνών από την ημερομηνία της τελεσίδικης εσωτερικής απόφασης. Το δικαστήριο έχει θέσει αυτή την προϋπόθεση για να υπάρχει ασφάλεια δικαίου.</w:t>
      </w:r>
      <w:r w:rsidR="00FC478E" w:rsidRPr="0067403E">
        <w:rPr>
          <w:sz w:val="24"/>
          <w:szCs w:val="24"/>
        </w:rPr>
        <w:t xml:space="preserve"> Νομολογιακά έχει κρίνει</w:t>
      </w:r>
      <w:r w:rsidR="003E6663" w:rsidRPr="0067403E">
        <w:rPr>
          <w:sz w:val="24"/>
          <w:szCs w:val="24"/>
        </w:rPr>
        <w:t xml:space="preserve"> ότι </w:t>
      </w:r>
      <w:r w:rsidR="00B2505C" w:rsidRPr="0067403E">
        <w:rPr>
          <w:sz w:val="24"/>
          <w:szCs w:val="24"/>
        </w:rPr>
        <w:t>«</w:t>
      </w:r>
      <w:r w:rsidR="003E6663" w:rsidRPr="0067403E">
        <w:rPr>
          <w:i/>
          <w:sz w:val="24"/>
          <w:szCs w:val="24"/>
        </w:rPr>
        <w:t xml:space="preserve">η περίοδος των 6 μηνών τρέχει από την ημερομηνία κατά την οποία ο αιτών ή ο αντιπρόσωπος του έλαβε γνώση της </w:t>
      </w:r>
      <w:r w:rsidR="0068690B" w:rsidRPr="0067403E">
        <w:rPr>
          <w:i/>
          <w:sz w:val="24"/>
          <w:szCs w:val="24"/>
        </w:rPr>
        <w:t xml:space="preserve">τελεσίδικης εσωτερικής  </w:t>
      </w:r>
      <w:r w:rsidR="003E6663" w:rsidRPr="0067403E">
        <w:rPr>
          <w:i/>
          <w:sz w:val="24"/>
          <w:szCs w:val="24"/>
        </w:rPr>
        <w:t>απόφασης</w:t>
      </w:r>
      <w:r w:rsidR="00B2505C" w:rsidRPr="0067403E">
        <w:rPr>
          <w:sz w:val="24"/>
          <w:szCs w:val="24"/>
        </w:rPr>
        <w:t>»</w:t>
      </w:r>
      <w:r w:rsidR="00657507" w:rsidRPr="0067403E">
        <w:rPr>
          <w:sz w:val="24"/>
          <w:szCs w:val="24"/>
        </w:rPr>
        <w:t xml:space="preserve"> </w:t>
      </w:r>
      <w:r w:rsidR="00FC478E" w:rsidRPr="0067403E">
        <w:rPr>
          <w:sz w:val="24"/>
          <w:szCs w:val="24"/>
        </w:rPr>
        <w:t>(</w:t>
      </w:r>
      <w:proofErr w:type="spellStart"/>
      <w:r w:rsidR="00FC478E" w:rsidRPr="0067403E">
        <w:rPr>
          <w:sz w:val="24"/>
          <w:szCs w:val="24"/>
          <w:lang w:val="en-US"/>
        </w:rPr>
        <w:t>Koc</w:t>
      </w:r>
      <w:proofErr w:type="spellEnd"/>
      <w:r w:rsidR="00FC478E" w:rsidRPr="0067403E">
        <w:rPr>
          <w:sz w:val="24"/>
          <w:szCs w:val="24"/>
        </w:rPr>
        <w:t xml:space="preserve"> και </w:t>
      </w:r>
      <w:proofErr w:type="spellStart"/>
      <w:r w:rsidR="00FC478E" w:rsidRPr="0067403E">
        <w:rPr>
          <w:sz w:val="24"/>
          <w:szCs w:val="24"/>
          <w:lang w:val="en-US"/>
        </w:rPr>
        <w:t>Tosun</w:t>
      </w:r>
      <w:proofErr w:type="spellEnd"/>
      <w:r w:rsidR="00FC478E" w:rsidRPr="0067403E">
        <w:rPr>
          <w:sz w:val="24"/>
          <w:szCs w:val="24"/>
        </w:rPr>
        <w:t xml:space="preserve"> </w:t>
      </w:r>
      <w:r w:rsidR="00FC478E" w:rsidRPr="0067403E">
        <w:rPr>
          <w:sz w:val="24"/>
          <w:szCs w:val="24"/>
          <w:lang w:val="en-US"/>
        </w:rPr>
        <w:t>v</w:t>
      </w:r>
      <w:r w:rsidR="00FC478E" w:rsidRPr="0067403E">
        <w:rPr>
          <w:sz w:val="24"/>
          <w:szCs w:val="24"/>
        </w:rPr>
        <w:t>. Τουρκίας)</w:t>
      </w:r>
      <w:r w:rsidR="00145A49" w:rsidRPr="0067403E">
        <w:rPr>
          <w:sz w:val="24"/>
          <w:szCs w:val="24"/>
        </w:rPr>
        <w:t>.</w:t>
      </w:r>
    </w:p>
    <w:p w:rsidR="003054A3" w:rsidRPr="003054A3" w:rsidRDefault="003054A3" w:rsidP="003054A3">
      <w:pPr>
        <w:pStyle w:val="ListParagraph"/>
        <w:rPr>
          <w:sz w:val="24"/>
          <w:szCs w:val="24"/>
        </w:rPr>
      </w:pPr>
    </w:p>
    <w:p w:rsidR="003054A3" w:rsidRDefault="003054A3" w:rsidP="003054A3">
      <w:pPr>
        <w:spacing w:after="0" w:line="240" w:lineRule="auto"/>
        <w:jc w:val="both"/>
        <w:rPr>
          <w:sz w:val="24"/>
          <w:szCs w:val="24"/>
        </w:rPr>
      </w:pPr>
    </w:p>
    <w:p w:rsidR="003054A3" w:rsidRDefault="003054A3" w:rsidP="003054A3">
      <w:pPr>
        <w:spacing w:after="0" w:line="240" w:lineRule="auto"/>
        <w:jc w:val="both"/>
        <w:rPr>
          <w:sz w:val="24"/>
          <w:szCs w:val="24"/>
        </w:rPr>
      </w:pPr>
    </w:p>
    <w:p w:rsidR="003054A3" w:rsidRPr="005C527B" w:rsidRDefault="003054A3" w:rsidP="003054A3">
      <w:pPr>
        <w:spacing w:after="0" w:line="240" w:lineRule="auto"/>
        <w:jc w:val="both"/>
        <w:rPr>
          <w:sz w:val="24"/>
          <w:szCs w:val="24"/>
          <w:lang w:val="en-US"/>
        </w:rPr>
      </w:pPr>
    </w:p>
    <w:p w:rsidR="003054A3" w:rsidRPr="003054A3" w:rsidRDefault="003054A3" w:rsidP="003054A3">
      <w:pPr>
        <w:spacing w:after="0" w:line="240" w:lineRule="auto"/>
        <w:jc w:val="both"/>
        <w:rPr>
          <w:sz w:val="24"/>
          <w:szCs w:val="24"/>
        </w:rPr>
      </w:pPr>
    </w:p>
    <w:p w:rsidR="003054A3" w:rsidRDefault="00145A49" w:rsidP="00463803">
      <w:pPr>
        <w:pBdr>
          <w:top w:val="single" w:sz="4" w:space="1" w:color="auto"/>
        </w:pBdr>
        <w:spacing w:after="0" w:line="240" w:lineRule="auto"/>
        <w:jc w:val="both"/>
        <w:rPr>
          <w:sz w:val="20"/>
          <w:szCs w:val="20"/>
        </w:rPr>
      </w:pPr>
      <w:r w:rsidRPr="005E21CD">
        <w:rPr>
          <w:sz w:val="24"/>
          <w:szCs w:val="24"/>
        </w:rPr>
        <w:t xml:space="preserve"> </w:t>
      </w:r>
      <w:r w:rsidR="00F91C8E" w:rsidRPr="005E21CD">
        <w:rPr>
          <w:sz w:val="20"/>
          <w:szCs w:val="20"/>
          <w:vertAlign w:val="superscript"/>
        </w:rPr>
        <w:t>3</w:t>
      </w:r>
      <w:r w:rsidR="00F91C8E" w:rsidRPr="005E21CD">
        <w:rPr>
          <w:sz w:val="24"/>
          <w:szCs w:val="24"/>
        </w:rPr>
        <w:t xml:space="preserve"> </w:t>
      </w:r>
      <w:r w:rsidR="00F91C8E" w:rsidRPr="005E21CD">
        <w:rPr>
          <w:sz w:val="20"/>
          <w:szCs w:val="20"/>
        </w:rPr>
        <w:t>Σε κάθε περίπτωση έχει επικουρικό, συμπληρωματικό χαρακτήρα και δεν αποτελεί 4</w:t>
      </w:r>
      <w:r w:rsidR="00F91C8E" w:rsidRPr="005E21CD">
        <w:rPr>
          <w:sz w:val="20"/>
          <w:szCs w:val="20"/>
          <w:vertAlign w:val="superscript"/>
        </w:rPr>
        <w:t>ο</w:t>
      </w:r>
      <w:r w:rsidR="00F91C8E" w:rsidRPr="005E21CD">
        <w:rPr>
          <w:sz w:val="20"/>
          <w:szCs w:val="20"/>
        </w:rPr>
        <w:t xml:space="preserve"> βαθμό δικαιοδοσίας. Δεν </w:t>
      </w:r>
      <w:r w:rsidR="00E35E1A">
        <w:rPr>
          <w:sz w:val="20"/>
          <w:szCs w:val="20"/>
        </w:rPr>
        <w:t>έχει αρμοδι</w:t>
      </w:r>
      <w:r w:rsidR="002472D4">
        <w:rPr>
          <w:sz w:val="20"/>
          <w:szCs w:val="20"/>
        </w:rPr>
        <w:t xml:space="preserve">ότητα να ακυρώνει, </w:t>
      </w:r>
      <w:r w:rsidR="00F91C8E" w:rsidRPr="005E21CD">
        <w:rPr>
          <w:sz w:val="20"/>
          <w:szCs w:val="20"/>
        </w:rPr>
        <w:t xml:space="preserve">να τροποποιεί </w:t>
      </w:r>
      <w:r w:rsidR="002472D4">
        <w:rPr>
          <w:sz w:val="20"/>
          <w:szCs w:val="20"/>
        </w:rPr>
        <w:t xml:space="preserve">ή να υποκαθιστά </w:t>
      </w:r>
      <w:r w:rsidR="00F91C8E" w:rsidRPr="005E21CD">
        <w:rPr>
          <w:sz w:val="20"/>
          <w:szCs w:val="20"/>
        </w:rPr>
        <w:t>εσωτερικές δικαστικές αποφάσεις.</w:t>
      </w:r>
    </w:p>
    <w:p w:rsidR="003054A3" w:rsidRDefault="003054A3" w:rsidP="003054A3">
      <w:r>
        <w:br w:type="page"/>
      </w:r>
    </w:p>
    <w:p w:rsidR="003054A3" w:rsidRDefault="00145A49" w:rsidP="00597305">
      <w:pPr>
        <w:pStyle w:val="ListParagraph"/>
        <w:spacing w:after="0" w:line="240" w:lineRule="auto"/>
        <w:ind w:left="567"/>
        <w:contextualSpacing w:val="0"/>
        <w:jc w:val="both"/>
        <w:rPr>
          <w:sz w:val="24"/>
          <w:szCs w:val="24"/>
        </w:rPr>
      </w:pPr>
      <w:r>
        <w:rPr>
          <w:sz w:val="24"/>
          <w:szCs w:val="24"/>
        </w:rPr>
        <w:lastRenderedPageBreak/>
        <w:t xml:space="preserve">Ωστόσο, στην υπόθεση </w:t>
      </w:r>
      <w:proofErr w:type="spellStart"/>
      <w:r>
        <w:rPr>
          <w:sz w:val="24"/>
          <w:szCs w:val="24"/>
          <w:lang w:val="en-US"/>
        </w:rPr>
        <w:t>Celik</w:t>
      </w:r>
      <w:proofErr w:type="spellEnd"/>
      <w:r w:rsidRPr="00145A49">
        <w:rPr>
          <w:sz w:val="24"/>
          <w:szCs w:val="24"/>
        </w:rPr>
        <w:t xml:space="preserve"> </w:t>
      </w:r>
      <w:r>
        <w:rPr>
          <w:sz w:val="24"/>
          <w:szCs w:val="24"/>
          <w:lang w:val="en-US"/>
        </w:rPr>
        <w:t>v</w:t>
      </w:r>
      <w:r w:rsidRPr="00145A49">
        <w:rPr>
          <w:sz w:val="24"/>
          <w:szCs w:val="24"/>
        </w:rPr>
        <w:t xml:space="preserve">. </w:t>
      </w:r>
      <w:r>
        <w:rPr>
          <w:sz w:val="24"/>
          <w:szCs w:val="24"/>
        </w:rPr>
        <w:t>Τουρκίας δέχτηκε</w:t>
      </w:r>
      <w:r w:rsidR="0068690B">
        <w:rPr>
          <w:sz w:val="24"/>
          <w:szCs w:val="24"/>
        </w:rPr>
        <w:t xml:space="preserve"> </w:t>
      </w:r>
      <w:r w:rsidR="00B2505C">
        <w:rPr>
          <w:sz w:val="24"/>
          <w:szCs w:val="24"/>
        </w:rPr>
        <w:t>«</w:t>
      </w:r>
      <w:r w:rsidR="00D46AE8">
        <w:rPr>
          <w:i/>
          <w:sz w:val="24"/>
          <w:szCs w:val="24"/>
        </w:rPr>
        <w:t>ότι η γνωστοπίηση</w:t>
      </w:r>
      <w:r w:rsidR="0068690B" w:rsidRPr="00145A49">
        <w:rPr>
          <w:i/>
          <w:sz w:val="24"/>
          <w:szCs w:val="24"/>
        </w:rPr>
        <w:t xml:space="preserve"> </w:t>
      </w:r>
      <w:r w:rsidR="00D46AE8">
        <w:rPr>
          <w:i/>
          <w:sz w:val="24"/>
          <w:szCs w:val="24"/>
        </w:rPr>
        <w:t>στον δικηγόρο</w:t>
      </w:r>
      <w:r w:rsidR="0068690B" w:rsidRPr="00145A49">
        <w:rPr>
          <w:i/>
          <w:sz w:val="24"/>
          <w:szCs w:val="24"/>
        </w:rPr>
        <w:t xml:space="preserve"> </w:t>
      </w:r>
      <w:r w:rsidR="00D86A0B" w:rsidRPr="00145A49">
        <w:rPr>
          <w:i/>
          <w:sz w:val="24"/>
          <w:szCs w:val="24"/>
        </w:rPr>
        <w:t>της απόφασης θεωρείται ως εναρκτήριος χρόνος για τον υπο</w:t>
      </w:r>
      <w:r>
        <w:rPr>
          <w:i/>
          <w:sz w:val="24"/>
          <w:szCs w:val="24"/>
        </w:rPr>
        <w:t>λογισμό του 6μήνου έστω και αν ο προσφεύγων</w:t>
      </w:r>
      <w:r w:rsidR="00D86A0B" w:rsidRPr="00145A49">
        <w:rPr>
          <w:i/>
          <w:sz w:val="24"/>
          <w:szCs w:val="24"/>
        </w:rPr>
        <w:t xml:space="preserve"> έλαβε γνώση </w:t>
      </w:r>
      <w:r w:rsidRPr="00145A49">
        <w:rPr>
          <w:i/>
          <w:sz w:val="24"/>
          <w:szCs w:val="24"/>
        </w:rPr>
        <w:t>της απόφασης αργότερα</w:t>
      </w:r>
      <w:r w:rsidR="00B2505C">
        <w:rPr>
          <w:sz w:val="24"/>
          <w:szCs w:val="24"/>
        </w:rPr>
        <w:t>»</w:t>
      </w:r>
      <w:r w:rsidR="00D86A0B">
        <w:rPr>
          <w:sz w:val="24"/>
          <w:szCs w:val="24"/>
        </w:rPr>
        <w:t>.</w:t>
      </w:r>
      <w:r w:rsidR="002F7643">
        <w:rPr>
          <w:sz w:val="24"/>
          <w:szCs w:val="24"/>
        </w:rPr>
        <w:t xml:space="preserve"> Επίσης, </w:t>
      </w:r>
      <w:r w:rsidR="00B2505C">
        <w:rPr>
          <w:sz w:val="24"/>
          <w:szCs w:val="24"/>
        </w:rPr>
        <w:t>«</w:t>
      </w:r>
      <w:r w:rsidR="002F7643" w:rsidRPr="00F4524A">
        <w:rPr>
          <w:i/>
          <w:sz w:val="24"/>
          <w:szCs w:val="24"/>
        </w:rPr>
        <w:t>όταν η επικαλούμενη παραβίαση αποτελεί μια συνεχή κατάσταση, μόνο όταν τελειώσει η συνεχιζόμενη κατάσταση αρχίζει να τρέχει η προθεσμία των 6 μήνων</w:t>
      </w:r>
      <w:r w:rsidR="00F4524A">
        <w:rPr>
          <w:i/>
          <w:sz w:val="24"/>
          <w:szCs w:val="24"/>
        </w:rPr>
        <w:t>, διαφορετικά ο κανόνας δεν έχει εφαρμογή</w:t>
      </w:r>
      <w:r w:rsidR="00B2505C">
        <w:rPr>
          <w:i/>
          <w:sz w:val="24"/>
          <w:szCs w:val="24"/>
        </w:rPr>
        <w:t>»</w:t>
      </w:r>
      <w:r w:rsidR="00683AE4">
        <w:rPr>
          <w:i/>
          <w:sz w:val="24"/>
          <w:szCs w:val="24"/>
        </w:rPr>
        <w:t xml:space="preserve"> </w:t>
      </w:r>
      <w:r w:rsidR="006A7EB9">
        <w:rPr>
          <w:i/>
          <w:sz w:val="24"/>
          <w:szCs w:val="24"/>
        </w:rPr>
        <w:t>(</w:t>
      </w:r>
      <w:r w:rsidR="002278D6">
        <w:rPr>
          <w:i/>
          <w:sz w:val="24"/>
          <w:szCs w:val="24"/>
        </w:rPr>
        <w:t xml:space="preserve">Βαρνάβα και άλλοι </w:t>
      </w:r>
      <w:r w:rsidR="002278D6">
        <w:rPr>
          <w:i/>
          <w:sz w:val="24"/>
          <w:szCs w:val="24"/>
          <w:lang w:val="en-US"/>
        </w:rPr>
        <w:t>v</w:t>
      </w:r>
      <w:r w:rsidR="002278D6" w:rsidRPr="002278D6">
        <w:rPr>
          <w:i/>
          <w:sz w:val="24"/>
          <w:szCs w:val="24"/>
        </w:rPr>
        <w:t xml:space="preserve">. </w:t>
      </w:r>
      <w:r w:rsidR="002278D6">
        <w:rPr>
          <w:i/>
          <w:sz w:val="24"/>
          <w:szCs w:val="24"/>
        </w:rPr>
        <w:t>Τουρκίας)</w:t>
      </w:r>
      <w:r w:rsidR="00683AE4">
        <w:rPr>
          <w:sz w:val="24"/>
          <w:szCs w:val="24"/>
        </w:rPr>
        <w:t>.</w:t>
      </w:r>
    </w:p>
    <w:p w:rsidR="003054A3" w:rsidRPr="00BB5256" w:rsidRDefault="003054A3" w:rsidP="00597305">
      <w:pPr>
        <w:pStyle w:val="ListParagraph"/>
        <w:spacing w:after="0" w:line="240" w:lineRule="auto"/>
        <w:ind w:left="567"/>
        <w:contextualSpacing w:val="0"/>
        <w:jc w:val="both"/>
        <w:rPr>
          <w:sz w:val="24"/>
          <w:szCs w:val="24"/>
        </w:rPr>
      </w:pPr>
    </w:p>
    <w:p w:rsidR="00D86A0B" w:rsidRDefault="00F3222A" w:rsidP="00597305">
      <w:pPr>
        <w:pStyle w:val="ListParagraph"/>
        <w:numPr>
          <w:ilvl w:val="0"/>
          <w:numId w:val="26"/>
        </w:numPr>
        <w:spacing w:after="0" w:line="240" w:lineRule="auto"/>
        <w:ind w:left="567" w:firstLine="0"/>
        <w:contextualSpacing w:val="0"/>
        <w:jc w:val="both"/>
        <w:rPr>
          <w:sz w:val="24"/>
          <w:szCs w:val="24"/>
        </w:rPr>
      </w:pPr>
      <w:r>
        <w:rPr>
          <w:sz w:val="24"/>
          <w:szCs w:val="24"/>
        </w:rPr>
        <w:t>Η ατομική προσφυγή δεν επιτρέπεται</w:t>
      </w:r>
      <w:r w:rsidR="00D86A0B">
        <w:rPr>
          <w:sz w:val="24"/>
          <w:szCs w:val="24"/>
        </w:rPr>
        <w:t xml:space="preserve"> να είναι ανώνυμη.</w:t>
      </w:r>
      <w:r w:rsidR="005F4C22" w:rsidRPr="005F4C22">
        <w:rPr>
          <w:sz w:val="24"/>
          <w:szCs w:val="24"/>
        </w:rPr>
        <w:t xml:space="preserve"> </w:t>
      </w:r>
      <w:r w:rsidR="0005051C">
        <w:rPr>
          <w:sz w:val="24"/>
          <w:szCs w:val="24"/>
        </w:rPr>
        <w:t xml:space="preserve">Το </w:t>
      </w:r>
      <w:r w:rsidR="00BB7A42">
        <w:rPr>
          <w:sz w:val="24"/>
          <w:szCs w:val="24"/>
        </w:rPr>
        <w:t>Ευρωπαϊκό δικ</w:t>
      </w:r>
      <w:r w:rsidR="0005051C">
        <w:rPr>
          <w:sz w:val="24"/>
          <w:szCs w:val="24"/>
        </w:rPr>
        <w:t>αστήριο έχει ακολουθήσει σ</w:t>
      </w:r>
      <w:r w:rsidR="00B47B36">
        <w:rPr>
          <w:sz w:val="24"/>
          <w:szCs w:val="24"/>
        </w:rPr>
        <w:t>υ</w:t>
      </w:r>
      <w:r w:rsidR="00BB7A42">
        <w:rPr>
          <w:sz w:val="24"/>
          <w:szCs w:val="24"/>
        </w:rPr>
        <w:t>σταλτική ερμηνεί</w:t>
      </w:r>
      <w:r w:rsidR="001A7ED6">
        <w:rPr>
          <w:sz w:val="24"/>
          <w:szCs w:val="24"/>
        </w:rPr>
        <w:t>α της συγκεκριμένης προϋπόθεσης δεχόμενο</w:t>
      </w:r>
      <w:r w:rsidR="00D86A0B">
        <w:rPr>
          <w:sz w:val="24"/>
          <w:szCs w:val="24"/>
        </w:rPr>
        <w:t xml:space="preserve"> ότι </w:t>
      </w:r>
      <w:r w:rsidR="00B2505C">
        <w:rPr>
          <w:sz w:val="24"/>
          <w:szCs w:val="24"/>
        </w:rPr>
        <w:t>«</w:t>
      </w:r>
      <w:r w:rsidR="00D86A0B" w:rsidRPr="0094444E">
        <w:rPr>
          <w:i/>
          <w:sz w:val="24"/>
          <w:szCs w:val="24"/>
        </w:rPr>
        <w:t>ανώνυμη θεωρείται μια αίτηση όταν από την δικογραφία δεν προκύπτει κάνενα στοιχείο που να επιτρέπει στο δικαστήριο να προσδιορίσει τον αιτούντα</w:t>
      </w:r>
      <w:r w:rsidR="00B2505C">
        <w:rPr>
          <w:sz w:val="24"/>
          <w:szCs w:val="24"/>
        </w:rPr>
        <w:t>»</w:t>
      </w:r>
      <w:r w:rsidR="00657507">
        <w:rPr>
          <w:sz w:val="24"/>
          <w:szCs w:val="24"/>
        </w:rPr>
        <w:t xml:space="preserve"> </w:t>
      </w:r>
      <w:r w:rsidR="003D341A">
        <w:rPr>
          <w:sz w:val="24"/>
          <w:szCs w:val="24"/>
        </w:rPr>
        <w:t>(</w:t>
      </w:r>
      <w:proofErr w:type="spellStart"/>
      <w:r w:rsidR="0094444E">
        <w:rPr>
          <w:sz w:val="24"/>
          <w:szCs w:val="24"/>
          <w:lang w:val="en-US"/>
        </w:rPr>
        <w:t>Blondje</w:t>
      </w:r>
      <w:proofErr w:type="spellEnd"/>
      <w:r w:rsidR="003D341A" w:rsidRPr="003D341A">
        <w:rPr>
          <w:sz w:val="24"/>
          <w:szCs w:val="24"/>
        </w:rPr>
        <w:t xml:space="preserve"> </w:t>
      </w:r>
      <w:r w:rsidR="003D341A">
        <w:rPr>
          <w:sz w:val="24"/>
          <w:szCs w:val="24"/>
          <w:lang w:val="en-US"/>
        </w:rPr>
        <w:t>v</w:t>
      </w:r>
      <w:r w:rsidR="003D341A" w:rsidRPr="003D341A">
        <w:rPr>
          <w:sz w:val="24"/>
          <w:szCs w:val="24"/>
        </w:rPr>
        <w:t xml:space="preserve">. </w:t>
      </w:r>
      <w:r w:rsidR="003D341A">
        <w:rPr>
          <w:sz w:val="24"/>
          <w:szCs w:val="24"/>
        </w:rPr>
        <w:t>Ολλανδίας)</w:t>
      </w:r>
      <w:r w:rsidR="00D86A0B">
        <w:rPr>
          <w:sz w:val="24"/>
          <w:szCs w:val="24"/>
        </w:rPr>
        <w:t xml:space="preserve"> και ότι </w:t>
      </w:r>
      <w:r w:rsidR="00B2505C">
        <w:rPr>
          <w:sz w:val="24"/>
          <w:szCs w:val="24"/>
        </w:rPr>
        <w:t>«</w:t>
      </w:r>
      <w:r w:rsidR="00936208" w:rsidRPr="00AF6F3A">
        <w:rPr>
          <w:i/>
          <w:sz w:val="24"/>
          <w:szCs w:val="24"/>
        </w:rPr>
        <w:t xml:space="preserve">οι αιτήσεις από </w:t>
      </w:r>
      <w:r w:rsidR="00D86A0B" w:rsidRPr="00AF6F3A">
        <w:rPr>
          <w:i/>
          <w:sz w:val="24"/>
          <w:szCs w:val="24"/>
        </w:rPr>
        <w:t>άτομα που χρησιμοποιούν ψευδώνυμα εξηγώντας στο δικαστήριο</w:t>
      </w:r>
      <w:r w:rsidR="009127A0">
        <w:rPr>
          <w:i/>
          <w:sz w:val="24"/>
          <w:szCs w:val="24"/>
        </w:rPr>
        <w:t>,</w:t>
      </w:r>
      <w:r w:rsidR="00D86A0B" w:rsidRPr="00AF6F3A">
        <w:rPr>
          <w:i/>
          <w:sz w:val="24"/>
          <w:szCs w:val="24"/>
        </w:rPr>
        <w:t xml:space="preserve"> ότι υποχρεούνται να μην αποκαλύψουν τα πραγματικά τους ονόματα</w:t>
      </w:r>
      <w:r w:rsidR="009127A0">
        <w:rPr>
          <w:i/>
          <w:sz w:val="24"/>
          <w:szCs w:val="24"/>
        </w:rPr>
        <w:t>,</w:t>
      </w:r>
      <w:r w:rsidR="00D86A0B" w:rsidRPr="00AF6F3A">
        <w:rPr>
          <w:i/>
          <w:sz w:val="24"/>
          <w:szCs w:val="24"/>
        </w:rPr>
        <w:t xml:space="preserve"> προκειμένου να προστατεύσουν μέλη της οικογένειας τους </w:t>
      </w:r>
      <w:r w:rsidR="00F64432" w:rsidRPr="00AF6F3A">
        <w:rPr>
          <w:i/>
          <w:sz w:val="24"/>
          <w:szCs w:val="24"/>
        </w:rPr>
        <w:t>και φίλους του</w:t>
      </w:r>
      <w:r w:rsidR="00E03A70">
        <w:rPr>
          <w:i/>
          <w:sz w:val="24"/>
          <w:szCs w:val="24"/>
        </w:rPr>
        <w:t>ς</w:t>
      </w:r>
      <w:r w:rsidR="00F64432" w:rsidRPr="00AF6F3A">
        <w:rPr>
          <w:i/>
          <w:sz w:val="24"/>
          <w:szCs w:val="24"/>
        </w:rPr>
        <w:t xml:space="preserve"> αλλά</w:t>
      </w:r>
      <w:r w:rsidR="00936208" w:rsidRPr="00AF6F3A">
        <w:rPr>
          <w:i/>
          <w:sz w:val="24"/>
          <w:szCs w:val="24"/>
        </w:rPr>
        <w:t xml:space="preserve"> φέρουν επαρ</w:t>
      </w:r>
      <w:r w:rsidR="00646290">
        <w:rPr>
          <w:i/>
          <w:sz w:val="24"/>
          <w:szCs w:val="24"/>
        </w:rPr>
        <w:t>κή αριθμό ενδείξεων για το ποι</w:t>
      </w:r>
      <w:r w:rsidR="003D341A" w:rsidRPr="00AF6F3A">
        <w:rPr>
          <w:i/>
          <w:sz w:val="24"/>
          <w:szCs w:val="24"/>
        </w:rPr>
        <w:t>ο</w:t>
      </w:r>
      <w:r w:rsidR="00646290">
        <w:rPr>
          <w:i/>
          <w:sz w:val="24"/>
          <w:szCs w:val="24"/>
        </w:rPr>
        <w:t>ί</w:t>
      </w:r>
      <w:r w:rsidR="00936208" w:rsidRPr="00AF6F3A">
        <w:rPr>
          <w:i/>
          <w:sz w:val="24"/>
          <w:szCs w:val="24"/>
        </w:rPr>
        <w:t xml:space="preserve"> είναι εκτός από τα ονοματά τους</w:t>
      </w:r>
      <w:r w:rsidR="00663C7B" w:rsidRPr="00AF6F3A">
        <w:rPr>
          <w:i/>
          <w:sz w:val="24"/>
          <w:szCs w:val="24"/>
        </w:rPr>
        <w:t xml:space="preserve">, </w:t>
      </w:r>
      <w:r w:rsidR="00936208" w:rsidRPr="00AF6F3A">
        <w:rPr>
          <w:i/>
          <w:sz w:val="24"/>
          <w:szCs w:val="24"/>
        </w:rPr>
        <w:t xml:space="preserve"> δεν θεωρούνται ανώνυμες</w:t>
      </w:r>
      <w:r w:rsidR="00B2505C">
        <w:rPr>
          <w:sz w:val="24"/>
          <w:szCs w:val="24"/>
        </w:rPr>
        <w:t>»</w:t>
      </w:r>
      <w:r w:rsidR="00657507">
        <w:rPr>
          <w:sz w:val="24"/>
          <w:szCs w:val="24"/>
        </w:rPr>
        <w:t xml:space="preserve"> </w:t>
      </w:r>
      <w:r w:rsidR="003D341A">
        <w:rPr>
          <w:sz w:val="24"/>
          <w:szCs w:val="24"/>
        </w:rPr>
        <w:t>(</w:t>
      </w:r>
      <w:proofErr w:type="spellStart"/>
      <w:r w:rsidR="00F64432">
        <w:rPr>
          <w:sz w:val="24"/>
          <w:szCs w:val="24"/>
          <w:lang w:val="en-US"/>
        </w:rPr>
        <w:t>Shamayev</w:t>
      </w:r>
      <w:proofErr w:type="spellEnd"/>
      <w:r w:rsidR="003D341A" w:rsidRPr="003D341A">
        <w:rPr>
          <w:sz w:val="24"/>
          <w:szCs w:val="24"/>
        </w:rPr>
        <w:t xml:space="preserve"> </w:t>
      </w:r>
      <w:r w:rsidR="003D341A">
        <w:rPr>
          <w:sz w:val="24"/>
          <w:szCs w:val="24"/>
        </w:rPr>
        <w:t xml:space="preserve">και λοιποί </w:t>
      </w:r>
      <w:r w:rsidR="003D341A">
        <w:rPr>
          <w:sz w:val="24"/>
          <w:szCs w:val="24"/>
          <w:lang w:val="en-US"/>
        </w:rPr>
        <w:t>v</w:t>
      </w:r>
      <w:r w:rsidR="003D341A" w:rsidRPr="003D341A">
        <w:rPr>
          <w:sz w:val="24"/>
          <w:szCs w:val="24"/>
        </w:rPr>
        <w:t xml:space="preserve">. </w:t>
      </w:r>
      <w:r w:rsidR="00F64432">
        <w:rPr>
          <w:sz w:val="24"/>
          <w:szCs w:val="24"/>
        </w:rPr>
        <w:t>Γεωργία</w:t>
      </w:r>
      <w:r w:rsidR="003D341A">
        <w:rPr>
          <w:sz w:val="24"/>
          <w:szCs w:val="24"/>
        </w:rPr>
        <w:t>ς</w:t>
      </w:r>
      <w:r w:rsidR="00764DB9">
        <w:rPr>
          <w:sz w:val="24"/>
          <w:szCs w:val="24"/>
        </w:rPr>
        <w:t xml:space="preserve"> και Ρωσίας</w:t>
      </w:r>
      <w:r w:rsidR="003D341A">
        <w:rPr>
          <w:sz w:val="24"/>
          <w:szCs w:val="24"/>
        </w:rPr>
        <w:t>)</w:t>
      </w:r>
      <w:r w:rsidR="00936208">
        <w:rPr>
          <w:sz w:val="24"/>
          <w:szCs w:val="24"/>
        </w:rPr>
        <w:t>.</w:t>
      </w:r>
    </w:p>
    <w:p w:rsidR="003054A3" w:rsidRDefault="003054A3" w:rsidP="00597305">
      <w:pPr>
        <w:pStyle w:val="ListParagraph"/>
        <w:spacing w:after="0" w:line="240" w:lineRule="auto"/>
        <w:ind w:left="567"/>
        <w:contextualSpacing w:val="0"/>
        <w:jc w:val="both"/>
        <w:rPr>
          <w:sz w:val="24"/>
          <w:szCs w:val="24"/>
        </w:rPr>
      </w:pPr>
    </w:p>
    <w:p w:rsidR="00667B17" w:rsidRPr="003054A3" w:rsidRDefault="00936208" w:rsidP="00597305">
      <w:pPr>
        <w:pStyle w:val="ListParagraph"/>
        <w:numPr>
          <w:ilvl w:val="0"/>
          <w:numId w:val="30"/>
        </w:numPr>
        <w:spacing w:after="0" w:line="240" w:lineRule="auto"/>
        <w:ind w:left="567" w:firstLine="0"/>
        <w:contextualSpacing w:val="0"/>
        <w:jc w:val="both"/>
        <w:rPr>
          <w:sz w:val="24"/>
          <w:szCs w:val="24"/>
        </w:rPr>
      </w:pPr>
      <w:r>
        <w:rPr>
          <w:sz w:val="24"/>
          <w:szCs w:val="24"/>
        </w:rPr>
        <w:t>Ο προσφεύγων θα πρέπει να είναι προσωπικά και άμεσα θύμα παραβίασης</w:t>
      </w:r>
      <w:r w:rsidR="006C4D8E">
        <w:rPr>
          <w:sz w:val="24"/>
          <w:szCs w:val="24"/>
        </w:rPr>
        <w:t xml:space="preserve">. </w:t>
      </w:r>
      <w:r w:rsidR="00FE1661">
        <w:rPr>
          <w:sz w:val="24"/>
          <w:szCs w:val="24"/>
        </w:rPr>
        <w:t xml:space="preserve">Η ερμηνεία του όρου </w:t>
      </w:r>
      <w:r w:rsidR="00B2505C">
        <w:rPr>
          <w:sz w:val="24"/>
          <w:szCs w:val="24"/>
        </w:rPr>
        <w:t>«</w:t>
      </w:r>
      <w:r w:rsidR="00FE1661">
        <w:rPr>
          <w:sz w:val="24"/>
          <w:szCs w:val="24"/>
        </w:rPr>
        <w:t>θύμα</w:t>
      </w:r>
      <w:r w:rsidR="00B2505C">
        <w:rPr>
          <w:sz w:val="24"/>
          <w:szCs w:val="24"/>
        </w:rPr>
        <w:t>»</w:t>
      </w:r>
      <w:r w:rsidR="00FE1661">
        <w:rPr>
          <w:sz w:val="24"/>
          <w:szCs w:val="24"/>
        </w:rPr>
        <w:t xml:space="preserve"> πρέπει να ερμηνευθεί υπό το πρίσμα των συνθηκών που επικρατούν σε μια σύγχρονη κοινωνία και πρέπει να εφαρμοστεί χωρίς υπερβολική τυπολατρεία.</w:t>
      </w:r>
      <w:r w:rsidR="007A008C">
        <w:rPr>
          <w:sz w:val="24"/>
          <w:szCs w:val="24"/>
        </w:rPr>
        <w:t xml:space="preserve"> Γι΄αυτό </w:t>
      </w:r>
      <w:r>
        <w:rPr>
          <w:sz w:val="24"/>
          <w:szCs w:val="24"/>
        </w:rPr>
        <w:t xml:space="preserve"> το ΕΔΔΑ έχει κάνει δεκτό νομολογιακώς </w:t>
      </w:r>
      <w:r w:rsidR="00B2505C">
        <w:rPr>
          <w:sz w:val="24"/>
          <w:szCs w:val="24"/>
        </w:rPr>
        <w:t>«</w:t>
      </w:r>
      <w:r w:rsidRPr="00FE1661">
        <w:rPr>
          <w:i/>
          <w:sz w:val="24"/>
          <w:szCs w:val="24"/>
        </w:rPr>
        <w:t xml:space="preserve">ότι δεν χρειάζεται το άτομο να υφίσταται μόνο άμεση βλάβη αλλά μπορεί να υπάρξει και έμμεση βλάβη. </w:t>
      </w:r>
      <w:r w:rsidR="007A008C">
        <w:rPr>
          <w:i/>
          <w:sz w:val="24"/>
          <w:szCs w:val="24"/>
        </w:rPr>
        <w:t xml:space="preserve">Έμμεση βλάβη υπάρχει στην περίπτωση που το θύμα είχε πεθάνει </w:t>
      </w:r>
      <w:r w:rsidR="005F3524">
        <w:rPr>
          <w:i/>
          <w:sz w:val="24"/>
          <w:szCs w:val="24"/>
        </w:rPr>
        <w:t>ή είχε εξαφανιστ</w:t>
      </w:r>
      <w:r w:rsidR="00A32A50">
        <w:rPr>
          <w:i/>
          <w:sz w:val="24"/>
          <w:szCs w:val="24"/>
        </w:rPr>
        <w:t xml:space="preserve">εί </w:t>
      </w:r>
      <w:r w:rsidR="007A008C">
        <w:rPr>
          <w:i/>
          <w:sz w:val="24"/>
          <w:szCs w:val="24"/>
        </w:rPr>
        <w:t>πρ</w:t>
      </w:r>
      <w:r w:rsidR="00164462">
        <w:rPr>
          <w:i/>
          <w:sz w:val="24"/>
          <w:szCs w:val="24"/>
        </w:rPr>
        <w:t>ι</w:t>
      </w:r>
      <w:r w:rsidR="007A008C">
        <w:rPr>
          <w:i/>
          <w:sz w:val="24"/>
          <w:szCs w:val="24"/>
        </w:rPr>
        <w:t>ν την εισαγωγή της αίτησης</w:t>
      </w:r>
      <w:r w:rsidR="00207AA0">
        <w:rPr>
          <w:i/>
          <w:sz w:val="24"/>
          <w:szCs w:val="24"/>
        </w:rPr>
        <w:t xml:space="preserve"> στο ΕΔΔΑ</w:t>
      </w:r>
      <w:r w:rsidR="00A32A50">
        <w:rPr>
          <w:i/>
          <w:sz w:val="24"/>
          <w:szCs w:val="24"/>
        </w:rPr>
        <w:t xml:space="preserve"> και στον θάνατο ή </w:t>
      </w:r>
      <w:r w:rsidR="005F3524">
        <w:rPr>
          <w:i/>
          <w:sz w:val="24"/>
          <w:szCs w:val="24"/>
        </w:rPr>
        <w:t>σ</w:t>
      </w:r>
      <w:r w:rsidR="00A32A50">
        <w:rPr>
          <w:i/>
          <w:sz w:val="24"/>
          <w:szCs w:val="24"/>
        </w:rPr>
        <w:t>την εξαφάνιση φέρετ</w:t>
      </w:r>
      <w:r w:rsidR="00657507">
        <w:rPr>
          <w:i/>
          <w:sz w:val="24"/>
          <w:szCs w:val="24"/>
        </w:rPr>
        <w:t>αι να υπάρχει ευθύνη του κράτους»</w:t>
      </w:r>
      <w:r w:rsidR="007A008C">
        <w:rPr>
          <w:i/>
          <w:sz w:val="24"/>
          <w:szCs w:val="24"/>
        </w:rPr>
        <w:t xml:space="preserve">. </w:t>
      </w:r>
      <w:r w:rsidRPr="00657507">
        <w:rPr>
          <w:sz w:val="24"/>
          <w:szCs w:val="24"/>
        </w:rPr>
        <w:t>Δέχεται έμμεση βλάβη υπό την προϋπόθεση ότι υπάρχει προσωπική και ειδική σύνδεση με το θύμα που η εφαρμογή καλύπτει π.χ. σύζυγ</w:t>
      </w:r>
      <w:r w:rsidR="00E7629A" w:rsidRPr="00657507">
        <w:rPr>
          <w:sz w:val="24"/>
          <w:szCs w:val="24"/>
        </w:rPr>
        <w:t>ο του θύ</w:t>
      </w:r>
      <w:r w:rsidRPr="00657507">
        <w:rPr>
          <w:sz w:val="24"/>
          <w:szCs w:val="24"/>
        </w:rPr>
        <w:t>ματος</w:t>
      </w:r>
      <w:r>
        <w:rPr>
          <w:sz w:val="24"/>
          <w:szCs w:val="24"/>
        </w:rPr>
        <w:t xml:space="preserve"> (</w:t>
      </w:r>
      <w:r>
        <w:rPr>
          <w:sz w:val="24"/>
          <w:szCs w:val="24"/>
          <w:lang w:val="en-US"/>
        </w:rPr>
        <w:t>MCCAN</w:t>
      </w:r>
      <w:r w:rsidRPr="00FB1817">
        <w:rPr>
          <w:sz w:val="24"/>
          <w:szCs w:val="24"/>
        </w:rPr>
        <w:t xml:space="preserve"> </w:t>
      </w:r>
      <w:r>
        <w:rPr>
          <w:sz w:val="24"/>
          <w:szCs w:val="24"/>
          <w:lang w:val="en-US"/>
        </w:rPr>
        <w:t>v</w:t>
      </w:r>
      <w:r w:rsidRPr="00FB1817">
        <w:rPr>
          <w:sz w:val="24"/>
          <w:szCs w:val="24"/>
        </w:rPr>
        <w:t xml:space="preserve">. </w:t>
      </w:r>
      <w:r>
        <w:rPr>
          <w:sz w:val="24"/>
          <w:szCs w:val="24"/>
        </w:rPr>
        <w:t>Ηνωμένου Βασιλείου)</w:t>
      </w:r>
      <w:r w:rsidR="00386E5C">
        <w:rPr>
          <w:sz w:val="24"/>
          <w:szCs w:val="24"/>
        </w:rPr>
        <w:t xml:space="preserve"> ή κληρονόμοι του θύματος</w:t>
      </w:r>
      <w:r w:rsidR="00E7629A">
        <w:rPr>
          <w:sz w:val="24"/>
          <w:szCs w:val="24"/>
        </w:rPr>
        <w:t xml:space="preserve">. </w:t>
      </w:r>
      <w:r w:rsidR="00207AA0">
        <w:rPr>
          <w:sz w:val="24"/>
          <w:szCs w:val="24"/>
        </w:rPr>
        <w:t xml:space="preserve">Ωστόσο, στην υπόθεση </w:t>
      </w:r>
      <w:proofErr w:type="spellStart"/>
      <w:r w:rsidR="00207AA0">
        <w:rPr>
          <w:sz w:val="24"/>
          <w:szCs w:val="24"/>
          <w:lang w:val="en-US"/>
        </w:rPr>
        <w:t>Aksu</w:t>
      </w:r>
      <w:proofErr w:type="spellEnd"/>
      <w:r w:rsidR="00207AA0" w:rsidRPr="00207AA0">
        <w:rPr>
          <w:sz w:val="24"/>
          <w:szCs w:val="24"/>
        </w:rPr>
        <w:t xml:space="preserve"> </w:t>
      </w:r>
      <w:r w:rsidR="00207AA0">
        <w:rPr>
          <w:sz w:val="24"/>
          <w:szCs w:val="24"/>
          <w:lang w:val="en-US"/>
        </w:rPr>
        <w:t>v</w:t>
      </w:r>
      <w:r w:rsidR="00207AA0" w:rsidRPr="00207AA0">
        <w:rPr>
          <w:sz w:val="24"/>
          <w:szCs w:val="24"/>
        </w:rPr>
        <w:t xml:space="preserve">. </w:t>
      </w:r>
      <w:r w:rsidR="00207AA0">
        <w:rPr>
          <w:sz w:val="24"/>
          <w:szCs w:val="24"/>
        </w:rPr>
        <w:t xml:space="preserve">Τουρκίας το δικαστήριο τόνισε ότι </w:t>
      </w:r>
      <w:r w:rsidR="00B2505C">
        <w:rPr>
          <w:sz w:val="24"/>
          <w:szCs w:val="24"/>
        </w:rPr>
        <w:t>«</w:t>
      </w:r>
      <w:r w:rsidR="00207AA0">
        <w:rPr>
          <w:i/>
          <w:sz w:val="24"/>
          <w:szCs w:val="24"/>
        </w:rPr>
        <w:t>η σύμβαση δεν προβλέπει την άσκηση λαϊκής αγωγής για την ερμηνεία των δικαιωμάτων που αυτή προβλέπει και ότι τα άτομα δεν επιτρέπεται να διαμαρτύρονται για ένα εσωτερικό μέτρο, χωρίς να έχουν επηρεαστεί άμεσα από αυτό, απλώς και μόνο επειδή θεωρούν ότι μπορεί να παραβιάζει την σύμβαση</w:t>
      </w:r>
      <w:r w:rsidR="00B2505C">
        <w:rPr>
          <w:i/>
          <w:sz w:val="24"/>
          <w:szCs w:val="24"/>
        </w:rPr>
        <w:t>».</w:t>
      </w:r>
    </w:p>
    <w:p w:rsidR="003054A3" w:rsidRPr="00667B17" w:rsidRDefault="003054A3" w:rsidP="00597305">
      <w:pPr>
        <w:pStyle w:val="ListParagraph"/>
        <w:spacing w:after="0" w:line="240" w:lineRule="auto"/>
        <w:ind w:left="567"/>
        <w:contextualSpacing w:val="0"/>
        <w:jc w:val="both"/>
        <w:rPr>
          <w:sz w:val="24"/>
          <w:szCs w:val="24"/>
        </w:rPr>
      </w:pPr>
    </w:p>
    <w:p w:rsidR="00B6732D" w:rsidRDefault="006C4D8E" w:rsidP="00597305">
      <w:pPr>
        <w:pStyle w:val="ListParagraph"/>
        <w:numPr>
          <w:ilvl w:val="0"/>
          <w:numId w:val="30"/>
        </w:numPr>
        <w:spacing w:after="0" w:line="240" w:lineRule="auto"/>
        <w:ind w:left="567" w:firstLine="0"/>
        <w:contextualSpacing w:val="0"/>
        <w:jc w:val="both"/>
        <w:rPr>
          <w:sz w:val="24"/>
          <w:szCs w:val="24"/>
        </w:rPr>
      </w:pPr>
      <w:r w:rsidRPr="00667B17">
        <w:rPr>
          <w:sz w:val="24"/>
          <w:szCs w:val="24"/>
        </w:rPr>
        <w:t>Επιπλέον, ο προσφεύγων θα πρέπει να έχει υποστεί σημαντική βλάβη, εκτός αν ο σεβ</w:t>
      </w:r>
      <w:r w:rsidR="00B2505C" w:rsidRPr="00667B17">
        <w:rPr>
          <w:sz w:val="24"/>
          <w:szCs w:val="24"/>
        </w:rPr>
        <w:t>ασμός των δικαιωμάτων του ανθρώπου</w:t>
      </w:r>
      <w:r w:rsidRPr="00667B17">
        <w:rPr>
          <w:sz w:val="24"/>
          <w:szCs w:val="24"/>
        </w:rPr>
        <w:t xml:space="preserve"> απαιτεί εξέτα</w:t>
      </w:r>
      <w:r w:rsidR="00462D8E" w:rsidRPr="00667B17">
        <w:rPr>
          <w:sz w:val="24"/>
          <w:szCs w:val="24"/>
        </w:rPr>
        <w:t xml:space="preserve">ση της </w:t>
      </w:r>
      <w:r w:rsidR="00462D8E" w:rsidRPr="00F820C5">
        <w:rPr>
          <w:sz w:val="24"/>
          <w:szCs w:val="24"/>
        </w:rPr>
        <w:t xml:space="preserve">προσφυγής </w:t>
      </w:r>
      <w:r w:rsidR="00667B17" w:rsidRPr="00F820C5">
        <w:rPr>
          <w:sz w:val="24"/>
          <w:szCs w:val="24"/>
        </w:rPr>
        <w:t xml:space="preserve"> </w:t>
      </w:r>
      <w:r w:rsidR="00462D8E" w:rsidRPr="00F820C5">
        <w:rPr>
          <w:sz w:val="24"/>
          <w:szCs w:val="24"/>
        </w:rPr>
        <w:t>επί της ουσίας</w:t>
      </w:r>
      <w:r w:rsidR="00591BB0" w:rsidRPr="00F820C5">
        <w:rPr>
          <w:sz w:val="24"/>
          <w:szCs w:val="24"/>
        </w:rPr>
        <w:t>.</w:t>
      </w:r>
      <w:r w:rsidR="00462D8E" w:rsidRPr="00F820C5">
        <w:rPr>
          <w:sz w:val="24"/>
          <w:szCs w:val="24"/>
          <w:vertAlign w:val="superscript"/>
        </w:rPr>
        <w:t>4</w:t>
      </w:r>
      <w:r w:rsidR="00A25EA3" w:rsidRPr="00F820C5">
        <w:rPr>
          <w:sz w:val="24"/>
          <w:szCs w:val="24"/>
        </w:rPr>
        <w:t xml:space="preserve"> </w:t>
      </w:r>
      <w:r w:rsidR="00E7629A" w:rsidRPr="00F820C5">
        <w:rPr>
          <w:sz w:val="24"/>
          <w:szCs w:val="24"/>
        </w:rPr>
        <w:t>Σχετικά με την σημαντική βλάβη</w:t>
      </w:r>
      <w:r w:rsidR="00DC2F7E" w:rsidRPr="00F820C5">
        <w:rPr>
          <w:sz w:val="24"/>
          <w:szCs w:val="24"/>
        </w:rPr>
        <w:t>, αυτή πρέπει να</w:t>
      </w:r>
      <w:r w:rsidR="00667B17" w:rsidRPr="00F820C5">
        <w:rPr>
          <w:sz w:val="24"/>
          <w:szCs w:val="24"/>
        </w:rPr>
        <w:t xml:space="preserve"> </w:t>
      </w:r>
      <w:r w:rsidR="00DC2F7E" w:rsidRPr="00F820C5">
        <w:rPr>
          <w:sz w:val="24"/>
          <w:szCs w:val="24"/>
        </w:rPr>
        <w:t xml:space="preserve">αξιολογηθεί </w:t>
      </w:r>
      <w:r w:rsidR="00E7629A" w:rsidRPr="00F820C5">
        <w:rPr>
          <w:sz w:val="24"/>
          <w:szCs w:val="24"/>
        </w:rPr>
        <w:t xml:space="preserve"> </w:t>
      </w:r>
      <w:r w:rsidR="00DC2F7E" w:rsidRPr="00F820C5">
        <w:rPr>
          <w:sz w:val="24"/>
          <w:szCs w:val="24"/>
        </w:rPr>
        <w:t xml:space="preserve">λαμβάνοντας υπόψη τόσο την υποκειμενική αντίληψη του προσφεύγοντος όσο και αυτό που βρίσκεται αντικειμενικά σε κίνδυνο σε μια συγκεκριμένη περίπτωση. </w:t>
      </w:r>
      <w:r w:rsidR="00E4152C" w:rsidRPr="00F820C5">
        <w:rPr>
          <w:sz w:val="24"/>
          <w:szCs w:val="24"/>
        </w:rPr>
        <w:t xml:space="preserve">Σε ορισμένες περιπτώσεις το επίπεδο της </w:t>
      </w:r>
    </w:p>
    <w:p w:rsidR="00B6732D" w:rsidRPr="00B6732D" w:rsidRDefault="00B6732D" w:rsidP="00B6732D">
      <w:pPr>
        <w:spacing w:after="0" w:line="240" w:lineRule="auto"/>
        <w:jc w:val="both"/>
        <w:rPr>
          <w:sz w:val="24"/>
          <w:szCs w:val="24"/>
        </w:rPr>
      </w:pPr>
    </w:p>
    <w:p w:rsidR="00B6732D" w:rsidRPr="00B6732D" w:rsidRDefault="00B6732D" w:rsidP="00B6732D">
      <w:pPr>
        <w:pStyle w:val="ListParagraph"/>
        <w:numPr>
          <w:ilvl w:val="0"/>
          <w:numId w:val="30"/>
        </w:numPr>
        <w:pBdr>
          <w:top w:val="single" w:sz="4" w:space="1" w:color="auto"/>
        </w:pBdr>
        <w:spacing w:after="0" w:line="240" w:lineRule="auto"/>
        <w:jc w:val="both"/>
        <w:rPr>
          <w:sz w:val="20"/>
          <w:szCs w:val="20"/>
        </w:rPr>
      </w:pPr>
      <w:r w:rsidRPr="00B6732D">
        <w:rPr>
          <w:sz w:val="20"/>
          <w:szCs w:val="20"/>
          <w:vertAlign w:val="superscript"/>
        </w:rPr>
        <w:t>4</w:t>
      </w:r>
      <w:r w:rsidRPr="00B6732D">
        <w:rPr>
          <w:sz w:val="24"/>
          <w:szCs w:val="24"/>
        </w:rPr>
        <w:t xml:space="preserve"> </w:t>
      </w:r>
      <w:r w:rsidRPr="00B6732D">
        <w:rPr>
          <w:sz w:val="20"/>
          <w:szCs w:val="20"/>
        </w:rPr>
        <w:t>Το κριτήριο αυτό εισήχθει το 2010 με το 14</w:t>
      </w:r>
      <w:r w:rsidRPr="00B6732D">
        <w:rPr>
          <w:sz w:val="20"/>
          <w:szCs w:val="20"/>
          <w:vertAlign w:val="superscript"/>
        </w:rPr>
        <w:t>ο</w:t>
      </w:r>
      <w:r w:rsidRPr="00B6732D">
        <w:rPr>
          <w:sz w:val="20"/>
          <w:szCs w:val="20"/>
        </w:rPr>
        <w:t xml:space="preserve"> πρωτόκολλο έχοντας σκοπό την μείωση του φόρτου εργασίας του ΕΔΔΑ.</w:t>
      </w:r>
    </w:p>
    <w:p w:rsidR="00936208" w:rsidRDefault="00B6732D" w:rsidP="00B6732D">
      <w:pPr>
        <w:pStyle w:val="ListParagraph"/>
        <w:spacing w:after="0" w:line="240" w:lineRule="auto"/>
        <w:ind w:left="567"/>
        <w:contextualSpacing w:val="0"/>
        <w:jc w:val="both"/>
        <w:rPr>
          <w:sz w:val="24"/>
          <w:szCs w:val="24"/>
        </w:rPr>
      </w:pPr>
      <w:r w:rsidRPr="00F820C5">
        <w:rPr>
          <w:sz w:val="24"/>
          <w:szCs w:val="24"/>
        </w:rPr>
        <w:lastRenderedPageBreak/>
        <w:t xml:space="preserve">σοβαρότητας μπορεί να αξιολογηθεί υπό το πρίσμα της οικονομικής </w:t>
      </w:r>
      <w:r w:rsidR="00E4152C" w:rsidRPr="00F820C5">
        <w:rPr>
          <w:sz w:val="24"/>
          <w:szCs w:val="24"/>
        </w:rPr>
        <w:t xml:space="preserve">επίπτωσης της διαφοράς για τον αιτούντα. </w:t>
      </w:r>
      <w:r w:rsidR="00695AB0" w:rsidRPr="00F820C5">
        <w:rPr>
          <w:sz w:val="24"/>
          <w:szCs w:val="24"/>
        </w:rPr>
        <w:t xml:space="preserve"> Τ</w:t>
      </w:r>
      <w:r w:rsidR="00E7629A" w:rsidRPr="00F820C5">
        <w:rPr>
          <w:sz w:val="24"/>
          <w:szCs w:val="24"/>
        </w:rPr>
        <w:t>ο</w:t>
      </w:r>
      <w:r w:rsidR="00695AB0" w:rsidRPr="00F820C5">
        <w:rPr>
          <w:sz w:val="24"/>
          <w:szCs w:val="24"/>
        </w:rPr>
        <w:t xml:space="preserve"> Ευρωπαϊκό δικαστήριο συνδέει, δηλαδή, τις</w:t>
      </w:r>
      <w:r w:rsidR="00E7629A" w:rsidRPr="00F820C5">
        <w:rPr>
          <w:sz w:val="24"/>
          <w:szCs w:val="24"/>
        </w:rPr>
        <w:t xml:space="preserve"> οικονομικές συνέπειες για τον αιτούντα</w:t>
      </w:r>
      <w:r w:rsidR="00695AB0" w:rsidRPr="00F820C5">
        <w:rPr>
          <w:sz w:val="24"/>
          <w:szCs w:val="24"/>
        </w:rPr>
        <w:t xml:space="preserve"> με το μέγεθος της βλάβης</w:t>
      </w:r>
      <w:r w:rsidR="00E7629A" w:rsidRPr="00F820C5">
        <w:rPr>
          <w:sz w:val="24"/>
          <w:szCs w:val="24"/>
        </w:rPr>
        <w:t>, όχι, όμως</w:t>
      </w:r>
      <w:r w:rsidR="00EF6B52" w:rsidRPr="00F820C5">
        <w:rPr>
          <w:sz w:val="24"/>
          <w:szCs w:val="24"/>
        </w:rPr>
        <w:t xml:space="preserve"> ως αποκλειστικό κριτήριο. Χαρακηριστικό παράδειγμα αποτελεί η υπόθεση</w:t>
      </w:r>
      <w:r w:rsidR="00E7629A" w:rsidRPr="00F820C5">
        <w:rPr>
          <w:sz w:val="24"/>
          <w:szCs w:val="24"/>
        </w:rPr>
        <w:t xml:space="preserve"> Ιονέσκου κατά Ρουμανίας </w:t>
      </w:r>
      <w:r w:rsidR="00EF6B52" w:rsidRPr="00F820C5">
        <w:rPr>
          <w:sz w:val="24"/>
          <w:szCs w:val="24"/>
        </w:rPr>
        <w:t>στην οποία τ</w:t>
      </w:r>
      <w:r w:rsidR="00E7629A" w:rsidRPr="00F820C5">
        <w:rPr>
          <w:sz w:val="24"/>
          <w:szCs w:val="24"/>
        </w:rPr>
        <w:t xml:space="preserve">ο δικαστήριο έκρινε </w:t>
      </w:r>
      <w:r w:rsidR="00EF6B52" w:rsidRPr="00F820C5">
        <w:rPr>
          <w:sz w:val="24"/>
          <w:szCs w:val="24"/>
        </w:rPr>
        <w:t xml:space="preserve">ότι </w:t>
      </w:r>
      <w:r w:rsidR="00CE218B" w:rsidRPr="00F820C5">
        <w:rPr>
          <w:i/>
          <w:sz w:val="24"/>
          <w:szCs w:val="24"/>
        </w:rPr>
        <w:t>«</w:t>
      </w:r>
      <w:r w:rsidR="00EF6B52" w:rsidRPr="00F820C5">
        <w:rPr>
          <w:i/>
          <w:sz w:val="24"/>
          <w:szCs w:val="24"/>
        </w:rPr>
        <w:t>στην συγκεκριμένη περίπτωση</w:t>
      </w:r>
      <w:r w:rsidR="00E7629A" w:rsidRPr="00F820C5">
        <w:rPr>
          <w:i/>
          <w:sz w:val="24"/>
          <w:szCs w:val="24"/>
        </w:rPr>
        <w:t xml:space="preserve"> η οικονομική ζημία για την αιτούσα δεν ήταν μεγάλη - 90 ευρώ και ότι δεν υπήρχε πληροφορία που να  υποδεικνύει ότι η απώλεια μπορεί να έχει επι</w:t>
      </w:r>
      <w:r w:rsidR="00022295" w:rsidRPr="00F820C5">
        <w:rPr>
          <w:i/>
          <w:sz w:val="24"/>
          <w:szCs w:val="24"/>
        </w:rPr>
        <w:t>πτώσεις στην ζωή της αιτούσας</w:t>
      </w:r>
      <w:r w:rsidR="00CE218B" w:rsidRPr="00F820C5">
        <w:rPr>
          <w:sz w:val="24"/>
          <w:szCs w:val="24"/>
        </w:rPr>
        <w:t>»</w:t>
      </w:r>
      <w:r w:rsidR="008A5E8A" w:rsidRPr="00F820C5">
        <w:rPr>
          <w:sz w:val="24"/>
          <w:szCs w:val="24"/>
        </w:rPr>
        <w:t>.</w:t>
      </w:r>
      <w:r w:rsidR="00663C7B" w:rsidRPr="00F820C5">
        <w:rPr>
          <w:sz w:val="24"/>
          <w:szCs w:val="24"/>
        </w:rPr>
        <w:t xml:space="preserve"> Το</w:t>
      </w:r>
      <w:r w:rsidR="00E7629A" w:rsidRPr="00F820C5">
        <w:rPr>
          <w:sz w:val="24"/>
          <w:szCs w:val="24"/>
        </w:rPr>
        <w:t xml:space="preserve"> ΕΔΔΑ, ωστόσο</w:t>
      </w:r>
      <w:r w:rsidR="00481FC9" w:rsidRPr="00F820C5">
        <w:rPr>
          <w:sz w:val="24"/>
          <w:szCs w:val="24"/>
        </w:rPr>
        <w:t>,</w:t>
      </w:r>
      <w:r w:rsidR="00E7629A" w:rsidRPr="00F820C5">
        <w:rPr>
          <w:sz w:val="24"/>
          <w:szCs w:val="24"/>
        </w:rPr>
        <w:t xml:space="preserve"> θεωρεί ότι το χρηματικό ποσό δεν πρέπει να εκτιμάται με τρόπο αφηρημένο αλλά ενόψει των ειδικών συνθηκών </w:t>
      </w:r>
      <w:r w:rsidR="00481FC9" w:rsidRPr="00F820C5">
        <w:rPr>
          <w:sz w:val="24"/>
          <w:szCs w:val="24"/>
        </w:rPr>
        <w:t>του ατόμου και την οικονομική κατάσταση της χώρας ή της περιοχής</w:t>
      </w:r>
      <w:r w:rsidR="007A69F2" w:rsidRPr="00F820C5">
        <w:rPr>
          <w:sz w:val="24"/>
          <w:szCs w:val="24"/>
        </w:rPr>
        <w:t xml:space="preserve"> στην οποία ζει</w:t>
      </w:r>
      <w:r w:rsidR="00481FC9" w:rsidRPr="00F820C5">
        <w:rPr>
          <w:sz w:val="24"/>
          <w:szCs w:val="24"/>
        </w:rPr>
        <w:t>.</w:t>
      </w:r>
    </w:p>
    <w:p w:rsidR="003054A3" w:rsidRPr="00F820C5" w:rsidRDefault="003054A3" w:rsidP="00597305">
      <w:pPr>
        <w:pStyle w:val="ListParagraph"/>
        <w:spacing w:after="0" w:line="240" w:lineRule="auto"/>
        <w:ind w:left="567"/>
        <w:contextualSpacing w:val="0"/>
        <w:jc w:val="both"/>
        <w:rPr>
          <w:sz w:val="24"/>
          <w:szCs w:val="24"/>
        </w:rPr>
      </w:pPr>
    </w:p>
    <w:p w:rsidR="00592A49" w:rsidRPr="003054A3" w:rsidRDefault="009B5EE9" w:rsidP="00597305">
      <w:pPr>
        <w:pStyle w:val="ListParagraph"/>
        <w:numPr>
          <w:ilvl w:val="0"/>
          <w:numId w:val="31"/>
        </w:numPr>
        <w:spacing w:after="0" w:line="240" w:lineRule="auto"/>
        <w:ind w:left="567" w:firstLine="0"/>
        <w:contextualSpacing w:val="0"/>
        <w:jc w:val="both"/>
        <w:rPr>
          <w:sz w:val="24"/>
          <w:szCs w:val="24"/>
        </w:rPr>
      </w:pPr>
      <w:r>
        <w:rPr>
          <w:sz w:val="24"/>
          <w:szCs w:val="24"/>
        </w:rPr>
        <w:t>Η</w:t>
      </w:r>
      <w:r w:rsidR="00265517">
        <w:rPr>
          <w:sz w:val="24"/>
          <w:szCs w:val="24"/>
        </w:rPr>
        <w:t xml:space="preserve"> </w:t>
      </w:r>
      <w:r w:rsidRPr="007A69F2">
        <w:rPr>
          <w:sz w:val="24"/>
          <w:szCs w:val="24"/>
        </w:rPr>
        <w:t xml:space="preserve">προσφυγή δεν πρέπει να είναι ασυμβίβαστη προς τις διατάξεις της </w:t>
      </w:r>
      <w:r w:rsidR="00B87971" w:rsidRPr="00592A49">
        <w:rPr>
          <w:sz w:val="24"/>
          <w:szCs w:val="24"/>
        </w:rPr>
        <w:t>σύμβασης, ούτε προδήλως αβάσιμη αλλιώς το δικαστήριο θα την κηρύξει απαράδεκτη.</w:t>
      </w:r>
      <w:r w:rsidR="00B87971" w:rsidRPr="00592A49">
        <w:rPr>
          <w:sz w:val="24"/>
          <w:szCs w:val="24"/>
          <w:vertAlign w:val="superscript"/>
        </w:rPr>
        <w:t xml:space="preserve">5 </w:t>
      </w:r>
      <w:r w:rsidR="00A74A31" w:rsidRPr="00592A49">
        <w:rPr>
          <w:sz w:val="24"/>
          <w:szCs w:val="24"/>
        </w:rPr>
        <w:t xml:space="preserve">Το δικαστήριο θα θεωρήσει καταγγελία προδήλως αβάσιμη, </w:t>
      </w:r>
      <w:r w:rsidR="00CE218B" w:rsidRPr="00592A49">
        <w:rPr>
          <w:sz w:val="24"/>
          <w:szCs w:val="24"/>
        </w:rPr>
        <w:t xml:space="preserve">εφόσον είναι πεπεισμένο ότι, για λόγους που αφορούν την ουσία, δεν </w:t>
      </w:r>
      <w:r w:rsidR="00462D8E" w:rsidRPr="00592A49">
        <w:rPr>
          <w:sz w:val="24"/>
          <w:szCs w:val="24"/>
        </w:rPr>
        <w:t xml:space="preserve">υπάρχει παραβίαση της διάταξης της Σύμβασης που επικαλείται ο διάδικος. Υπάρχουν 2 περιπτώσεις ιδίως στις οποίες συμβαίνει αυτό: Όπου υπάρχει </w:t>
      </w:r>
      <w:r w:rsidR="00811059" w:rsidRPr="00592A49">
        <w:rPr>
          <w:sz w:val="24"/>
          <w:szCs w:val="24"/>
        </w:rPr>
        <w:t xml:space="preserve">πλούσια και πάγια νομολογία του Δικαστηρίου σε ίδιες ή παρόμοιες περιπτώσεις με την υπόθεση που εκκρεμεί ενώπιον του δικαστηρίου, στην βάση των οποίων μπορεί να συναχθεί το συμπέρασμα ότι δεν υπήρξε παραβίαση της Σύμβασης. Και </w:t>
      </w:r>
      <w:r w:rsidR="00EF0690" w:rsidRPr="00592A49">
        <w:rPr>
          <w:sz w:val="24"/>
          <w:szCs w:val="24"/>
        </w:rPr>
        <w:t>δεύτερον</w:t>
      </w:r>
      <w:r w:rsidR="00811059" w:rsidRPr="00592A49">
        <w:rPr>
          <w:sz w:val="24"/>
          <w:szCs w:val="24"/>
        </w:rPr>
        <w:t>, όπου αν και δεν υπάρχουν προηγούμενες αποφάσεις που αφορούν άμεσα και συγκεκριμένα το ζήτημα, το δικαστήριο</w:t>
      </w:r>
      <w:r w:rsidR="00696056" w:rsidRPr="00592A49">
        <w:rPr>
          <w:sz w:val="24"/>
          <w:szCs w:val="24"/>
        </w:rPr>
        <w:t>, όμως,</w:t>
      </w:r>
      <w:r w:rsidR="00811059" w:rsidRPr="00592A49">
        <w:rPr>
          <w:sz w:val="24"/>
          <w:szCs w:val="24"/>
        </w:rPr>
        <w:t xml:space="preserve"> μπορεί να εξάγει το συμπέρασμα με βάση την υφιστάμενη νομολογία </w:t>
      </w:r>
      <w:r w:rsidR="00696056" w:rsidRPr="00592A49">
        <w:rPr>
          <w:sz w:val="24"/>
          <w:szCs w:val="24"/>
        </w:rPr>
        <w:t xml:space="preserve">του </w:t>
      </w:r>
      <w:r w:rsidR="00811059" w:rsidRPr="00592A49">
        <w:rPr>
          <w:sz w:val="24"/>
          <w:szCs w:val="24"/>
        </w:rPr>
        <w:t xml:space="preserve">ότι </w:t>
      </w:r>
      <w:r w:rsidR="001D4A65" w:rsidRPr="00592A49">
        <w:rPr>
          <w:sz w:val="24"/>
          <w:szCs w:val="24"/>
        </w:rPr>
        <w:t>δεν παραβιάζεται η Σύμβαση.</w:t>
      </w:r>
      <w:r w:rsidR="00EF0690" w:rsidRPr="00592A49">
        <w:rPr>
          <w:sz w:val="24"/>
          <w:szCs w:val="24"/>
        </w:rPr>
        <w:t xml:space="preserve"> Άλλη χαρακτηριστική περίπτωση είνα</w:t>
      </w:r>
      <w:r w:rsidR="00A954C9" w:rsidRPr="00592A49">
        <w:rPr>
          <w:sz w:val="24"/>
          <w:szCs w:val="24"/>
        </w:rPr>
        <w:t xml:space="preserve">ι, </w:t>
      </w:r>
      <w:r w:rsidR="00EF0690" w:rsidRPr="00592A49">
        <w:rPr>
          <w:sz w:val="24"/>
          <w:szCs w:val="24"/>
        </w:rPr>
        <w:t xml:space="preserve">όταν υποβάλλονται καταγγελίες στο δικαστήριο, οι οποίες είναι τόσο συγκεχυμένες που είναι αντικειμενικά αδύνατον </w:t>
      </w:r>
      <w:r w:rsidR="002E52FF" w:rsidRPr="00592A49">
        <w:rPr>
          <w:sz w:val="24"/>
          <w:szCs w:val="24"/>
        </w:rPr>
        <w:t>για τον δικαστή να κατανοήσει τα γεγονότα που καταγγέλονται</w:t>
      </w:r>
      <w:r w:rsidR="00A954C9" w:rsidRPr="00592A49">
        <w:rPr>
          <w:sz w:val="24"/>
          <w:szCs w:val="24"/>
        </w:rPr>
        <w:t xml:space="preserve">, </w:t>
      </w:r>
      <w:r w:rsidR="00EF0690" w:rsidRPr="00592A49">
        <w:rPr>
          <w:sz w:val="24"/>
          <w:szCs w:val="24"/>
        </w:rPr>
        <w:t xml:space="preserve">  </w:t>
      </w:r>
      <w:r w:rsidR="00A954C9" w:rsidRPr="00592A49">
        <w:rPr>
          <w:sz w:val="24"/>
          <w:szCs w:val="24"/>
        </w:rPr>
        <w:t xml:space="preserve">καθώς και όταν καταγγέλονται περιστατικά τα οποία είναι αντικειμενικά αδύνατον να έχουν πραγματοποιηθεί ή είναι προδήλως αντίθετα με την κοινή λογική. Σε τέτοιες περιπτώσεις το γεγονός ότι δεν υπάρχει </w:t>
      </w:r>
      <w:r w:rsidR="00B87F3B" w:rsidRPr="00592A49">
        <w:rPr>
          <w:sz w:val="24"/>
          <w:szCs w:val="24"/>
        </w:rPr>
        <w:t>καμία ένδειξη παραβίασης της Σύμβασης θα είναι προφανές και σε ένα μέσο παρατηρητ</w:t>
      </w:r>
      <w:r w:rsidR="00EC5376" w:rsidRPr="00592A49">
        <w:rPr>
          <w:sz w:val="24"/>
          <w:szCs w:val="24"/>
        </w:rPr>
        <w:t>ή, έστω και χωρίς</w:t>
      </w:r>
      <w:r w:rsidR="00B87F3B" w:rsidRPr="00592A49">
        <w:rPr>
          <w:sz w:val="24"/>
          <w:szCs w:val="24"/>
        </w:rPr>
        <w:t xml:space="preserve"> καμία νομική κατάρτιση.</w:t>
      </w:r>
      <w:r w:rsidR="00EC5376" w:rsidRPr="00592A49">
        <w:rPr>
          <w:sz w:val="24"/>
          <w:szCs w:val="24"/>
        </w:rPr>
        <w:t xml:space="preserve"> Οποιαδήποτε καταγγελία εμπίπτει στις ανωτέρω περιπτώσεις θα κηρυχθεί απαράδεκτη από </w:t>
      </w:r>
      <w:r w:rsidR="00B4410C" w:rsidRPr="00592A49">
        <w:rPr>
          <w:sz w:val="24"/>
          <w:szCs w:val="24"/>
        </w:rPr>
        <w:t>το δικαστήριο</w:t>
      </w:r>
      <w:r w:rsidR="00B4410C" w:rsidRPr="00592A49">
        <w:rPr>
          <w:i/>
          <w:sz w:val="24"/>
          <w:szCs w:val="24"/>
        </w:rPr>
        <w:t>.</w:t>
      </w:r>
    </w:p>
    <w:p w:rsidR="003054A3" w:rsidRDefault="003054A3" w:rsidP="00597305">
      <w:pPr>
        <w:pStyle w:val="ListParagraph"/>
        <w:spacing w:after="0" w:line="240" w:lineRule="auto"/>
        <w:ind w:left="567"/>
        <w:contextualSpacing w:val="0"/>
        <w:jc w:val="both"/>
        <w:rPr>
          <w:sz w:val="24"/>
          <w:szCs w:val="24"/>
        </w:rPr>
      </w:pPr>
    </w:p>
    <w:p w:rsidR="003054A3" w:rsidRDefault="003054A3" w:rsidP="00597305">
      <w:pPr>
        <w:pStyle w:val="ListParagraph"/>
        <w:numPr>
          <w:ilvl w:val="0"/>
          <w:numId w:val="32"/>
        </w:numPr>
        <w:spacing w:after="0" w:line="240" w:lineRule="auto"/>
        <w:ind w:left="567" w:firstLine="0"/>
        <w:contextualSpacing w:val="0"/>
        <w:jc w:val="both"/>
        <w:rPr>
          <w:sz w:val="24"/>
          <w:szCs w:val="24"/>
        </w:rPr>
      </w:pPr>
      <w:r>
        <w:rPr>
          <w:sz w:val="24"/>
          <w:szCs w:val="24"/>
        </w:rPr>
        <w:t>Το Ευρωπαϊκό δικαστήριο δεν μπορεί να επιλυφθεί μιας υπόθεσης η οποία έχει ήδη εξεταστεί από άλλο Διεθνές δικαστήριο ή έχει υποβληθεί προς εξέταση σε άλλη διεθνή διαδικασία. Όμοιες θεωρούνται 2 προσφυγές όταν αφορούν κατ΄ουσίαν τα ίδια πρόσωπα, τα ίδια πραγματικά περιστατικά και τις ίδιες αιτιάσεις. Ωστόσο, όταν ο αιτών υποβάλλει νέα στοιχεία δεν θα είναι κατ’ ουσίαν ίδια με την προηγούμενη προσφυγή και αρά το δικαστήριο μπορεί να επιλυφθεί μιας τέτοιας υπόθεσης.</w:t>
      </w:r>
    </w:p>
    <w:p w:rsidR="003054A3" w:rsidRDefault="003054A3" w:rsidP="003054A3">
      <w:pPr>
        <w:pStyle w:val="ListParagraph"/>
        <w:spacing w:after="0" w:line="240" w:lineRule="auto"/>
        <w:ind w:left="0"/>
        <w:contextualSpacing w:val="0"/>
        <w:jc w:val="both"/>
        <w:rPr>
          <w:sz w:val="24"/>
          <w:szCs w:val="24"/>
        </w:rPr>
      </w:pPr>
    </w:p>
    <w:p w:rsidR="003054A3" w:rsidRDefault="003054A3" w:rsidP="003054A3">
      <w:pPr>
        <w:pStyle w:val="ListParagraph"/>
        <w:spacing w:after="0" w:line="240" w:lineRule="auto"/>
        <w:ind w:left="0"/>
        <w:contextualSpacing w:val="0"/>
        <w:jc w:val="both"/>
        <w:rPr>
          <w:sz w:val="24"/>
          <w:szCs w:val="24"/>
        </w:rPr>
      </w:pPr>
    </w:p>
    <w:p w:rsidR="003054A3" w:rsidRDefault="003054A3" w:rsidP="003054A3">
      <w:pPr>
        <w:pStyle w:val="ListParagraph"/>
        <w:spacing w:after="0" w:line="240" w:lineRule="auto"/>
        <w:ind w:left="0"/>
        <w:contextualSpacing w:val="0"/>
        <w:jc w:val="both"/>
        <w:rPr>
          <w:sz w:val="24"/>
          <w:szCs w:val="24"/>
        </w:rPr>
      </w:pPr>
    </w:p>
    <w:p w:rsidR="003054A3" w:rsidRDefault="003054A3" w:rsidP="003054A3">
      <w:pPr>
        <w:pStyle w:val="ListParagraph"/>
        <w:spacing w:after="0" w:line="240" w:lineRule="auto"/>
        <w:ind w:left="0"/>
        <w:contextualSpacing w:val="0"/>
        <w:jc w:val="both"/>
        <w:rPr>
          <w:sz w:val="24"/>
          <w:szCs w:val="24"/>
        </w:rPr>
      </w:pPr>
    </w:p>
    <w:p w:rsidR="00592A49" w:rsidRPr="00FB3D48" w:rsidRDefault="00592A49" w:rsidP="00FB3D48">
      <w:pPr>
        <w:pBdr>
          <w:top w:val="single" w:sz="4" w:space="1" w:color="auto"/>
        </w:pBdr>
        <w:spacing w:after="0" w:line="240" w:lineRule="auto"/>
        <w:jc w:val="both"/>
        <w:rPr>
          <w:sz w:val="20"/>
          <w:szCs w:val="20"/>
        </w:rPr>
      </w:pPr>
      <w:r w:rsidRPr="007747DE">
        <w:rPr>
          <w:sz w:val="20"/>
          <w:szCs w:val="20"/>
          <w:vertAlign w:val="superscript"/>
        </w:rPr>
        <w:t>5</w:t>
      </w:r>
      <w:r>
        <w:rPr>
          <w:sz w:val="20"/>
          <w:szCs w:val="20"/>
          <w:vertAlign w:val="superscript"/>
        </w:rPr>
        <w:t xml:space="preserve"> </w:t>
      </w:r>
      <w:r w:rsidRPr="007747DE">
        <w:rPr>
          <w:sz w:val="20"/>
          <w:szCs w:val="20"/>
        </w:rPr>
        <w:t>Αυτή είναι η 2</w:t>
      </w:r>
      <w:r w:rsidRPr="007747DE">
        <w:rPr>
          <w:sz w:val="20"/>
          <w:szCs w:val="20"/>
          <w:vertAlign w:val="superscript"/>
        </w:rPr>
        <w:t>η</w:t>
      </w:r>
      <w:r w:rsidRPr="007747DE">
        <w:rPr>
          <w:sz w:val="20"/>
          <w:szCs w:val="20"/>
        </w:rPr>
        <w:t xml:space="preserve"> προϋπόθεση που εισήχθει με το 14</w:t>
      </w:r>
      <w:r w:rsidRPr="007747DE">
        <w:rPr>
          <w:sz w:val="20"/>
          <w:szCs w:val="20"/>
          <w:vertAlign w:val="superscript"/>
        </w:rPr>
        <w:t>ο</w:t>
      </w:r>
      <w:r>
        <w:rPr>
          <w:sz w:val="20"/>
          <w:szCs w:val="20"/>
        </w:rPr>
        <w:t xml:space="preserve"> πρωτόκολλο το 2010.</w:t>
      </w:r>
    </w:p>
    <w:p w:rsidR="00217C7D" w:rsidRPr="00597305" w:rsidRDefault="00543A6C" w:rsidP="00597305">
      <w:pPr>
        <w:pStyle w:val="Heading2"/>
        <w:numPr>
          <w:ilvl w:val="0"/>
          <w:numId w:val="42"/>
        </w:numPr>
        <w:spacing w:before="0" w:line="240" w:lineRule="auto"/>
        <w:ind w:left="0" w:firstLine="0"/>
        <w:rPr>
          <w:b/>
          <w:color w:val="auto"/>
          <w:sz w:val="24"/>
        </w:rPr>
      </w:pPr>
      <w:bookmarkStart w:id="39" w:name="_Toc419545180"/>
      <w:r w:rsidRPr="00597305">
        <w:rPr>
          <w:b/>
          <w:color w:val="auto"/>
          <w:sz w:val="24"/>
        </w:rPr>
        <w:lastRenderedPageBreak/>
        <w:t>Inter – American Court of Human Rights (Διαμερικανικό Δικαστήριο Ανθρωπίνων Δικαιωμάτων):</w:t>
      </w:r>
      <w:bookmarkEnd w:id="39"/>
    </w:p>
    <w:p w:rsidR="003054A3" w:rsidRPr="00597305" w:rsidRDefault="003054A3" w:rsidP="00597305">
      <w:pPr>
        <w:spacing w:after="0" w:line="240" w:lineRule="auto"/>
        <w:rPr>
          <w:sz w:val="20"/>
        </w:rPr>
      </w:pPr>
    </w:p>
    <w:p w:rsidR="003054A3" w:rsidRDefault="005029FC" w:rsidP="003054A3">
      <w:pPr>
        <w:spacing w:after="0" w:line="240" w:lineRule="auto"/>
        <w:jc w:val="both"/>
        <w:rPr>
          <w:sz w:val="24"/>
          <w:szCs w:val="24"/>
        </w:rPr>
      </w:pPr>
      <w:r>
        <w:rPr>
          <w:sz w:val="24"/>
          <w:szCs w:val="24"/>
        </w:rPr>
        <w:t xml:space="preserve">Το </w:t>
      </w:r>
      <w:r w:rsidR="004D5F05">
        <w:rPr>
          <w:sz w:val="24"/>
          <w:szCs w:val="24"/>
        </w:rPr>
        <w:t>Διαμερικανικό Δ</w:t>
      </w:r>
      <w:r>
        <w:rPr>
          <w:sz w:val="24"/>
          <w:szCs w:val="24"/>
        </w:rPr>
        <w:t xml:space="preserve">ικαστήριο </w:t>
      </w:r>
      <w:r w:rsidR="004D5F05">
        <w:rPr>
          <w:sz w:val="24"/>
          <w:szCs w:val="24"/>
        </w:rPr>
        <w:t xml:space="preserve">Δικαιωμάτων του Ανθρώπου </w:t>
      </w:r>
      <w:r>
        <w:rPr>
          <w:sz w:val="24"/>
          <w:szCs w:val="24"/>
        </w:rPr>
        <w:t>δ</w:t>
      </w:r>
      <w:r w:rsidR="008B1A58" w:rsidRPr="005029FC">
        <w:rPr>
          <w:sz w:val="24"/>
          <w:szCs w:val="24"/>
        </w:rPr>
        <w:t>ημιουργήθηκε από την Δια</w:t>
      </w:r>
      <w:r w:rsidR="0016137A" w:rsidRPr="005029FC">
        <w:rPr>
          <w:sz w:val="24"/>
          <w:szCs w:val="24"/>
        </w:rPr>
        <w:t xml:space="preserve">μερικανική Σύμβαση για τα δικαιώματα του ανθρώπου τον Νοέμβριο του 1969 και έχει </w:t>
      </w:r>
      <w:r w:rsidR="00634FC3">
        <w:rPr>
          <w:sz w:val="24"/>
          <w:szCs w:val="24"/>
        </w:rPr>
        <w:t xml:space="preserve">την </w:t>
      </w:r>
      <w:r w:rsidR="0016137A" w:rsidRPr="005029FC">
        <w:rPr>
          <w:sz w:val="24"/>
          <w:szCs w:val="24"/>
        </w:rPr>
        <w:t>έ</w:t>
      </w:r>
      <w:r>
        <w:rPr>
          <w:sz w:val="24"/>
          <w:szCs w:val="24"/>
        </w:rPr>
        <w:t>δρα</w:t>
      </w:r>
      <w:r w:rsidR="00833802" w:rsidRPr="00833802">
        <w:rPr>
          <w:sz w:val="24"/>
          <w:szCs w:val="24"/>
          <w:vertAlign w:val="superscript"/>
        </w:rPr>
        <w:t>6</w:t>
      </w:r>
      <w:r>
        <w:rPr>
          <w:sz w:val="24"/>
          <w:szCs w:val="24"/>
        </w:rPr>
        <w:t xml:space="preserve"> το</w:t>
      </w:r>
      <w:r w:rsidR="00634FC3">
        <w:rPr>
          <w:sz w:val="24"/>
          <w:szCs w:val="24"/>
        </w:rPr>
        <w:t>υ στο</w:t>
      </w:r>
      <w:r>
        <w:rPr>
          <w:sz w:val="24"/>
          <w:szCs w:val="24"/>
        </w:rPr>
        <w:t xml:space="preserve"> Σάν Χοσέ στην Κόστα Ρίκα</w:t>
      </w:r>
      <w:r w:rsidR="00833802">
        <w:rPr>
          <w:sz w:val="24"/>
          <w:szCs w:val="24"/>
        </w:rPr>
        <w:t xml:space="preserve">. </w:t>
      </w:r>
      <w:r>
        <w:rPr>
          <w:sz w:val="24"/>
          <w:szCs w:val="24"/>
        </w:rPr>
        <w:t>Αρμοδιότητα του είναι η εφαρμογή και η ερμηνεία της Διαμερικανικής Σύμβασ</w:t>
      </w:r>
      <w:r w:rsidR="0032257E">
        <w:rPr>
          <w:sz w:val="24"/>
          <w:szCs w:val="24"/>
        </w:rPr>
        <w:t>η</w:t>
      </w:r>
      <w:r>
        <w:rPr>
          <w:sz w:val="24"/>
          <w:szCs w:val="24"/>
        </w:rPr>
        <w:t>ς για τα δικαιώματα του ανθρώπου, η οποία τέθηκε σε ισχύ το 1978. Στη Διαμερικανική Σύμβαση έχουν προσχωρήσει 25 χώρες</w:t>
      </w:r>
      <w:r w:rsidR="00EF45A6">
        <w:rPr>
          <w:sz w:val="24"/>
          <w:szCs w:val="24"/>
        </w:rPr>
        <w:t>,</w:t>
      </w:r>
      <w:r>
        <w:rPr>
          <w:sz w:val="24"/>
          <w:szCs w:val="24"/>
        </w:rPr>
        <w:t xml:space="preserve"> </w:t>
      </w:r>
      <w:r w:rsidR="00D7586A">
        <w:rPr>
          <w:sz w:val="24"/>
          <w:szCs w:val="24"/>
        </w:rPr>
        <w:t>ενώ</w:t>
      </w:r>
      <w:r w:rsidR="00F77E53">
        <w:rPr>
          <w:sz w:val="24"/>
          <w:szCs w:val="24"/>
        </w:rPr>
        <w:t xml:space="preserve"> 21 </w:t>
      </w:r>
      <w:r w:rsidR="007D2729" w:rsidRPr="005029FC">
        <w:rPr>
          <w:sz w:val="24"/>
          <w:szCs w:val="24"/>
        </w:rPr>
        <w:t>συμβαλλόμενα κράτη έχουν αναγνωρίσει αρμοδιότητα του δικαστηρίου</w:t>
      </w:r>
      <w:r w:rsidR="00F77E53">
        <w:rPr>
          <w:sz w:val="24"/>
          <w:szCs w:val="24"/>
        </w:rPr>
        <w:t xml:space="preserve">. Το δικαστήριο συγκροτείται από </w:t>
      </w:r>
      <w:r w:rsidR="00AC5EE7">
        <w:rPr>
          <w:sz w:val="24"/>
          <w:szCs w:val="24"/>
        </w:rPr>
        <w:t>7</w:t>
      </w:r>
      <w:r w:rsidR="007D2729" w:rsidRPr="005029FC">
        <w:rPr>
          <w:sz w:val="24"/>
          <w:szCs w:val="24"/>
        </w:rPr>
        <w:t xml:space="preserve"> δικαστές, οι οποίοι είναι υπήκοοι των κρατών μελών του Οργανισμού Αμερικανικών Κρατών</w:t>
      </w:r>
      <w:r w:rsidR="00833802" w:rsidRPr="00833802">
        <w:rPr>
          <w:sz w:val="24"/>
          <w:szCs w:val="24"/>
          <w:vertAlign w:val="superscript"/>
        </w:rPr>
        <w:t>7</w:t>
      </w:r>
      <w:r w:rsidR="00F77E53">
        <w:rPr>
          <w:sz w:val="24"/>
          <w:szCs w:val="24"/>
        </w:rPr>
        <w:t xml:space="preserve"> και </w:t>
      </w:r>
      <w:r w:rsidR="00804240">
        <w:rPr>
          <w:sz w:val="24"/>
          <w:szCs w:val="24"/>
        </w:rPr>
        <w:t>έχουν</w:t>
      </w:r>
      <w:r w:rsidR="00E81B3C">
        <w:rPr>
          <w:sz w:val="24"/>
          <w:szCs w:val="24"/>
        </w:rPr>
        <w:t xml:space="preserve"> 6ετη θητεία με δυνατότητα επανεκλογής μόνο μία φορά.</w:t>
      </w:r>
      <w:r w:rsidR="00833802">
        <w:rPr>
          <w:sz w:val="24"/>
          <w:szCs w:val="24"/>
        </w:rPr>
        <w:t xml:space="preserve"> </w:t>
      </w:r>
      <w:r w:rsidR="0098685A">
        <w:rPr>
          <w:sz w:val="24"/>
          <w:szCs w:val="24"/>
        </w:rPr>
        <w:t>Το Δ</w:t>
      </w:r>
      <w:r w:rsidR="00E05EAA" w:rsidRPr="005029FC">
        <w:rPr>
          <w:sz w:val="24"/>
          <w:szCs w:val="24"/>
        </w:rPr>
        <w:t>ιαμερικανικ</w:t>
      </w:r>
      <w:r w:rsidR="004567A4">
        <w:rPr>
          <w:sz w:val="24"/>
          <w:szCs w:val="24"/>
        </w:rPr>
        <w:t xml:space="preserve">ό δικαστήριο έχει 2 λειτουργίες, αφενός μια γνωμοδοτική στην οποία </w:t>
      </w:r>
      <w:r w:rsidR="00B41D19">
        <w:rPr>
          <w:sz w:val="24"/>
          <w:szCs w:val="24"/>
        </w:rPr>
        <w:t>τ</w:t>
      </w:r>
      <w:r w:rsidR="0091228F" w:rsidRPr="004567A4">
        <w:rPr>
          <w:sz w:val="24"/>
          <w:szCs w:val="24"/>
        </w:rPr>
        <w:t xml:space="preserve">ο δικαστήριο απαντά σε διαβουλεύσεις που πραγματοποιούνται από </w:t>
      </w:r>
      <w:r w:rsidR="004567A4">
        <w:rPr>
          <w:sz w:val="24"/>
          <w:szCs w:val="24"/>
        </w:rPr>
        <w:t xml:space="preserve">κράτη μέλη Οργανισμού Αμερικανικών Κρατών και </w:t>
      </w:r>
      <w:r w:rsidR="00634FC3">
        <w:rPr>
          <w:sz w:val="24"/>
          <w:szCs w:val="24"/>
        </w:rPr>
        <w:t>αφετέρου μια δικαιοδοτική</w:t>
      </w:r>
      <w:r w:rsidR="00802F32">
        <w:rPr>
          <w:sz w:val="24"/>
          <w:szCs w:val="24"/>
        </w:rPr>
        <w:t>.</w:t>
      </w:r>
      <w:r w:rsidR="00CD1AEB">
        <w:rPr>
          <w:sz w:val="24"/>
          <w:szCs w:val="24"/>
        </w:rPr>
        <w:t xml:space="preserve"> Αυτό που θα εξεταστεί παρακάτω αφορά το ένα μόνο σκέλος λειτουργίας του Διαμερικανικού δικαστηρίου, το δικαιοδοτικό. Πιο συγκεκριμένα θα εξεταστούν οι προϋποθέσεις πρόσβασης σε αυτό:</w:t>
      </w:r>
    </w:p>
    <w:p w:rsidR="003054A3" w:rsidRDefault="003054A3" w:rsidP="003054A3">
      <w:pPr>
        <w:spacing w:after="0" w:line="240" w:lineRule="auto"/>
        <w:jc w:val="both"/>
        <w:rPr>
          <w:sz w:val="24"/>
          <w:szCs w:val="24"/>
        </w:rPr>
      </w:pPr>
    </w:p>
    <w:p w:rsidR="00833802" w:rsidRPr="003054A3" w:rsidRDefault="0089315F" w:rsidP="00597305">
      <w:pPr>
        <w:pStyle w:val="ListParagraph"/>
        <w:numPr>
          <w:ilvl w:val="0"/>
          <w:numId w:val="9"/>
        </w:numPr>
        <w:spacing w:after="0" w:line="240" w:lineRule="auto"/>
        <w:ind w:left="567" w:firstLine="0"/>
        <w:contextualSpacing w:val="0"/>
        <w:jc w:val="both"/>
        <w:rPr>
          <w:sz w:val="24"/>
          <w:szCs w:val="24"/>
        </w:rPr>
      </w:pPr>
      <w:r w:rsidRPr="00E12DF9">
        <w:rPr>
          <w:sz w:val="24"/>
          <w:szCs w:val="24"/>
        </w:rPr>
        <w:t>Μόνο τα συμβαλλόμενα κράτη μέλη και η Διαμερικανική Επιτροπή ανθρωπίνων δικαιωμάτων</w:t>
      </w:r>
      <w:r w:rsidR="00FB5970">
        <w:rPr>
          <w:sz w:val="24"/>
          <w:szCs w:val="24"/>
        </w:rPr>
        <w:t xml:space="preserve"> </w:t>
      </w:r>
      <w:r w:rsidRPr="00E12DF9">
        <w:rPr>
          <w:sz w:val="24"/>
          <w:szCs w:val="24"/>
        </w:rPr>
        <w:t>(</w:t>
      </w:r>
      <w:r w:rsidRPr="00E12DF9">
        <w:rPr>
          <w:sz w:val="24"/>
          <w:szCs w:val="24"/>
          <w:lang w:val="en-US"/>
        </w:rPr>
        <w:t>inter</w:t>
      </w:r>
      <w:r w:rsidRPr="00E12DF9">
        <w:rPr>
          <w:sz w:val="24"/>
          <w:szCs w:val="24"/>
        </w:rPr>
        <w:t>-</w:t>
      </w:r>
      <w:proofErr w:type="spellStart"/>
      <w:r w:rsidRPr="00E12DF9">
        <w:rPr>
          <w:sz w:val="24"/>
          <w:szCs w:val="24"/>
          <w:lang w:val="en-US"/>
        </w:rPr>
        <w:t>american</w:t>
      </w:r>
      <w:proofErr w:type="spellEnd"/>
      <w:r w:rsidRPr="00E12DF9">
        <w:rPr>
          <w:sz w:val="24"/>
          <w:szCs w:val="24"/>
        </w:rPr>
        <w:t xml:space="preserve"> </w:t>
      </w:r>
      <w:r w:rsidRPr="00E12DF9">
        <w:rPr>
          <w:sz w:val="24"/>
          <w:szCs w:val="24"/>
          <w:lang w:val="en-US"/>
        </w:rPr>
        <w:t>commission</w:t>
      </w:r>
      <w:r w:rsidRPr="00E12DF9">
        <w:rPr>
          <w:sz w:val="24"/>
          <w:szCs w:val="24"/>
        </w:rPr>
        <w:t xml:space="preserve"> </w:t>
      </w:r>
      <w:r w:rsidRPr="00E12DF9">
        <w:rPr>
          <w:sz w:val="24"/>
          <w:szCs w:val="24"/>
          <w:lang w:val="en-US"/>
        </w:rPr>
        <w:t>on</w:t>
      </w:r>
      <w:r w:rsidRPr="00E12DF9">
        <w:rPr>
          <w:sz w:val="24"/>
          <w:szCs w:val="24"/>
        </w:rPr>
        <w:t xml:space="preserve"> </w:t>
      </w:r>
      <w:r w:rsidRPr="00E12DF9">
        <w:rPr>
          <w:sz w:val="24"/>
          <w:szCs w:val="24"/>
          <w:lang w:val="en-US"/>
        </w:rPr>
        <w:t>human</w:t>
      </w:r>
      <w:r w:rsidRPr="00E12DF9">
        <w:rPr>
          <w:sz w:val="24"/>
          <w:szCs w:val="24"/>
        </w:rPr>
        <w:t xml:space="preserve"> </w:t>
      </w:r>
      <w:r w:rsidRPr="00E12DF9">
        <w:rPr>
          <w:sz w:val="24"/>
          <w:szCs w:val="24"/>
          <w:lang w:val="en-US"/>
        </w:rPr>
        <w:t>rights</w:t>
      </w:r>
      <w:r w:rsidRPr="00E12DF9">
        <w:rPr>
          <w:sz w:val="24"/>
          <w:szCs w:val="24"/>
        </w:rPr>
        <w:t>)</w:t>
      </w:r>
      <w:r w:rsidRPr="00E12DF9">
        <w:rPr>
          <w:sz w:val="24"/>
          <w:szCs w:val="24"/>
          <w:vertAlign w:val="superscript"/>
        </w:rPr>
        <w:t>8</w:t>
      </w:r>
      <w:r w:rsidRPr="00E12DF9">
        <w:rPr>
          <w:b/>
          <w:sz w:val="24"/>
          <w:szCs w:val="24"/>
        </w:rPr>
        <w:t xml:space="preserve"> </w:t>
      </w:r>
      <w:r w:rsidRPr="00E12DF9">
        <w:rPr>
          <w:sz w:val="24"/>
          <w:szCs w:val="24"/>
        </w:rPr>
        <w:t>έχουν δικαίωμα να υποβάλλ</w:t>
      </w:r>
      <w:r w:rsidR="000534E0">
        <w:rPr>
          <w:sz w:val="24"/>
          <w:szCs w:val="24"/>
        </w:rPr>
        <w:t>ουν υπόθεση στο δικαστήριο. Το Δ</w:t>
      </w:r>
      <w:r w:rsidRPr="00E12DF9">
        <w:rPr>
          <w:sz w:val="24"/>
          <w:szCs w:val="24"/>
        </w:rPr>
        <w:t>ιαμερικανικό δικαστήριο δεν είναι αρμόδιο να απαντήσει στις αναφορές που υποβάλλονται από ιδιώτες ή οργανισμούς δεδομένου ότι η καταγγελία πρέπει να κατατεθεί ενώπιον της Επιτροπής η οποία είναι ο φορέας που είναι υπεύθυνος για την  παραλαβή και την αξιολόγηση των καταγγελιών που υποβάλλονται από φυσικά πρόσωπα. Η Διαμερικανική Επιτροπή δέχεται παράπονα ατόμων ή οργανώσεων σχετικά με παραβιάσεις ανθρωπίνων δικαιωμάτων, εξετάζει τις αναφορές και αν πληρούνται οι προϋποθέσεις παραδεκτού. Πιο συγκεκριμένα το άρθρο 44 προβλέπει πως «</w:t>
      </w:r>
      <w:r w:rsidRPr="00E12DF9">
        <w:rPr>
          <w:i/>
          <w:sz w:val="24"/>
          <w:szCs w:val="24"/>
        </w:rPr>
        <w:t xml:space="preserve">οποιοδήποτε πρόσωπο για τον εαυτό του ή για την εκπροσώπηση άλλου, ομάδα ατόμων ή κυβερνητικοί φορείς και μη κυβερνητικές οργανώσεις μπορούν να υποβάλλουν καταγγελίες ενώπιον της </w:t>
      </w:r>
      <w:r w:rsidR="00597305" w:rsidRPr="00E12DF9">
        <w:rPr>
          <w:i/>
          <w:sz w:val="24"/>
          <w:szCs w:val="24"/>
        </w:rPr>
        <w:t>επιτροπής</w:t>
      </w:r>
      <w:r w:rsidR="00597305" w:rsidRPr="00E12DF9">
        <w:rPr>
          <w:sz w:val="24"/>
          <w:szCs w:val="24"/>
        </w:rPr>
        <w:t>»</w:t>
      </w:r>
      <w:r w:rsidR="00597305">
        <w:rPr>
          <w:sz w:val="24"/>
          <w:szCs w:val="24"/>
        </w:rPr>
        <w:t xml:space="preserve">. </w:t>
      </w:r>
      <w:r w:rsidR="00597305" w:rsidRPr="00833802">
        <w:rPr>
          <w:sz w:val="24"/>
          <w:szCs w:val="24"/>
        </w:rPr>
        <w:t>Από τα ανωτέρω συνάγεται ότι υπάρχει δυνατότητα κρατικής και ατομικής προσφυγής, όπως και στο Ευρωπαϊκό Δικαστήριο Ανθρωπίνων Δικαιωμάτων, με την μόνη διαφορά ότι η καταγγελία εκ μέρους ιδιωτών ή οργανώσεων δεν μπορεί να υποβληθεί απευθείας ενώπιον του δικαστηρίου, όπως συμβαίνει με το ΕΔΔΑ, αλλά θα πρέπει πρώτα να υποβληθεί ενώπιον της Επιτροπής</w:t>
      </w:r>
      <w:r w:rsidR="00597305" w:rsidRPr="00833802">
        <w:rPr>
          <w:b/>
          <w:sz w:val="24"/>
          <w:szCs w:val="24"/>
        </w:rPr>
        <w:t>.</w:t>
      </w:r>
    </w:p>
    <w:p w:rsidR="003054A3" w:rsidRDefault="003054A3" w:rsidP="003054A3">
      <w:pPr>
        <w:spacing w:after="0" w:line="240" w:lineRule="auto"/>
        <w:jc w:val="both"/>
        <w:rPr>
          <w:sz w:val="24"/>
          <w:szCs w:val="24"/>
        </w:rPr>
      </w:pPr>
    </w:p>
    <w:p w:rsidR="00833802" w:rsidRDefault="00833802" w:rsidP="00463803">
      <w:pPr>
        <w:pBdr>
          <w:top w:val="single" w:sz="4" w:space="1" w:color="auto"/>
        </w:pBdr>
        <w:spacing w:after="0" w:line="240" w:lineRule="auto"/>
        <w:jc w:val="both"/>
        <w:rPr>
          <w:b/>
          <w:sz w:val="24"/>
          <w:szCs w:val="24"/>
        </w:rPr>
      </w:pPr>
      <w:r w:rsidRPr="00833802">
        <w:rPr>
          <w:sz w:val="20"/>
          <w:szCs w:val="20"/>
          <w:vertAlign w:val="superscript"/>
        </w:rPr>
        <w:t>6</w:t>
      </w:r>
      <w:r w:rsidR="00226050">
        <w:rPr>
          <w:sz w:val="20"/>
          <w:szCs w:val="20"/>
          <w:vertAlign w:val="superscript"/>
        </w:rPr>
        <w:t xml:space="preserve"> </w:t>
      </w:r>
      <w:r w:rsidRPr="00833802">
        <w:rPr>
          <w:sz w:val="20"/>
          <w:szCs w:val="20"/>
        </w:rPr>
        <w:t>Η έδρα του δικαστηρίου μπορεί να αλλάζει με ψήφο 2/3 των κρατών μελών της σύμβασης, στη Γενική συνέλευση του Οργ</w:t>
      </w:r>
      <w:r>
        <w:rPr>
          <w:sz w:val="20"/>
          <w:szCs w:val="20"/>
        </w:rPr>
        <w:t>ανισμού των Αμερικανικών Κρατών.</w:t>
      </w:r>
      <w:r w:rsidRPr="00833802">
        <w:rPr>
          <w:b/>
          <w:sz w:val="24"/>
          <w:szCs w:val="24"/>
        </w:rPr>
        <w:t xml:space="preserve"> </w:t>
      </w:r>
    </w:p>
    <w:p w:rsidR="00833802" w:rsidRPr="00833802" w:rsidRDefault="00833802" w:rsidP="00463803">
      <w:pPr>
        <w:pBdr>
          <w:top w:val="single" w:sz="4" w:space="1" w:color="auto"/>
        </w:pBdr>
        <w:spacing w:after="0" w:line="240" w:lineRule="auto"/>
        <w:jc w:val="both"/>
        <w:rPr>
          <w:sz w:val="20"/>
          <w:szCs w:val="20"/>
        </w:rPr>
      </w:pPr>
      <w:r w:rsidRPr="00833802">
        <w:rPr>
          <w:sz w:val="20"/>
          <w:szCs w:val="20"/>
          <w:vertAlign w:val="superscript"/>
        </w:rPr>
        <w:t>7</w:t>
      </w:r>
      <w:r w:rsidR="00226050">
        <w:rPr>
          <w:sz w:val="20"/>
          <w:szCs w:val="20"/>
          <w:vertAlign w:val="superscript"/>
        </w:rPr>
        <w:t xml:space="preserve"> </w:t>
      </w:r>
      <w:r w:rsidRPr="00833802">
        <w:rPr>
          <w:sz w:val="20"/>
          <w:szCs w:val="20"/>
        </w:rPr>
        <w:t>Ο Ο</w:t>
      </w:r>
      <w:r>
        <w:rPr>
          <w:sz w:val="20"/>
          <w:szCs w:val="20"/>
        </w:rPr>
        <w:t xml:space="preserve">ργανισμός </w:t>
      </w:r>
      <w:r w:rsidRPr="00833802">
        <w:rPr>
          <w:sz w:val="20"/>
          <w:szCs w:val="20"/>
        </w:rPr>
        <w:t>Α</w:t>
      </w:r>
      <w:r>
        <w:rPr>
          <w:sz w:val="20"/>
          <w:szCs w:val="20"/>
        </w:rPr>
        <w:t xml:space="preserve">μερικανικών </w:t>
      </w:r>
      <w:r w:rsidRPr="00833802">
        <w:rPr>
          <w:sz w:val="20"/>
          <w:szCs w:val="20"/>
        </w:rPr>
        <w:t>Κ</w:t>
      </w:r>
      <w:r>
        <w:rPr>
          <w:sz w:val="20"/>
          <w:szCs w:val="20"/>
        </w:rPr>
        <w:t>ρατών</w:t>
      </w:r>
      <w:r w:rsidRPr="00833802">
        <w:rPr>
          <w:sz w:val="20"/>
          <w:szCs w:val="20"/>
        </w:rPr>
        <w:t xml:space="preserve"> </w:t>
      </w:r>
      <w:r w:rsidR="001E6759">
        <w:rPr>
          <w:sz w:val="20"/>
          <w:szCs w:val="20"/>
        </w:rPr>
        <w:t xml:space="preserve">ιδρύθηκε το 1948 και </w:t>
      </w:r>
      <w:r w:rsidRPr="00833802">
        <w:rPr>
          <w:sz w:val="20"/>
          <w:szCs w:val="20"/>
        </w:rPr>
        <w:t>συγκεντρώνει όλα τα 35 ανεξάρτητα κρά</w:t>
      </w:r>
      <w:r w:rsidR="001E6759">
        <w:rPr>
          <w:sz w:val="20"/>
          <w:szCs w:val="20"/>
        </w:rPr>
        <w:t>τη της αμερικανικής ηπείρου. Α</w:t>
      </w:r>
      <w:r w:rsidRPr="00833802">
        <w:rPr>
          <w:sz w:val="20"/>
          <w:szCs w:val="20"/>
        </w:rPr>
        <w:t xml:space="preserve">ποτελεί το κύριο πολιτικό, νομικό και κοινωνικό κυβερνητικό φόρουμ στο ημισφαίριο. Επιπλέον, του έχει χορηγηθεί καθεστώς του μόνιμου παρατηρητή σε 69 κράτη μέλη, καθώς και στην Ευρωπαϊκή Ένωση. Ο Οργανισμός ιδρύθηκε με σκοπό να επιτευχθεί μεταξύ των κρατών-μελών της, </w:t>
      </w:r>
      <w:r w:rsidR="00443572">
        <w:rPr>
          <w:sz w:val="20"/>
          <w:szCs w:val="20"/>
        </w:rPr>
        <w:t>«</w:t>
      </w:r>
      <w:r w:rsidRPr="00833802">
        <w:rPr>
          <w:sz w:val="20"/>
          <w:szCs w:val="20"/>
        </w:rPr>
        <w:t>τ</w:t>
      </w:r>
      <w:r w:rsidR="004B7698">
        <w:rPr>
          <w:sz w:val="20"/>
          <w:szCs w:val="20"/>
        </w:rPr>
        <w:t>άξη ειρήνης και δικαιοσύνης, να προωθηθεί</w:t>
      </w:r>
      <w:r w:rsidR="004902AF">
        <w:rPr>
          <w:sz w:val="20"/>
          <w:szCs w:val="20"/>
        </w:rPr>
        <w:t xml:space="preserve"> η</w:t>
      </w:r>
      <w:r w:rsidRPr="00833802">
        <w:rPr>
          <w:sz w:val="20"/>
          <w:szCs w:val="20"/>
        </w:rPr>
        <w:t xml:space="preserve"> α</w:t>
      </w:r>
      <w:r w:rsidR="004902AF">
        <w:rPr>
          <w:sz w:val="20"/>
          <w:szCs w:val="20"/>
        </w:rPr>
        <w:t xml:space="preserve">λληλεγγύη τους, να ενισχυθεί </w:t>
      </w:r>
      <w:r w:rsidR="009217CC">
        <w:rPr>
          <w:sz w:val="20"/>
          <w:szCs w:val="20"/>
        </w:rPr>
        <w:t>η συνεργασία τους</w:t>
      </w:r>
      <w:r w:rsidRPr="00833802">
        <w:rPr>
          <w:sz w:val="20"/>
          <w:szCs w:val="20"/>
        </w:rPr>
        <w:t xml:space="preserve"> και να υπερασπιστούν την κυριαρχία τους, την εδαφική τους ακεραιότητα, και την ανεξαρτησία τους</w:t>
      </w:r>
      <w:r w:rsidR="00443572">
        <w:rPr>
          <w:sz w:val="20"/>
          <w:szCs w:val="20"/>
        </w:rPr>
        <w:t>»</w:t>
      </w:r>
      <w:r w:rsidRPr="00833802">
        <w:rPr>
          <w:sz w:val="20"/>
          <w:szCs w:val="20"/>
        </w:rPr>
        <w:t xml:space="preserve">. </w:t>
      </w:r>
    </w:p>
    <w:p w:rsidR="003054A3" w:rsidRDefault="00E73F50" w:rsidP="00597305">
      <w:pPr>
        <w:spacing w:after="0" w:line="240" w:lineRule="auto"/>
        <w:jc w:val="both"/>
      </w:pPr>
      <w:r w:rsidRPr="00E73F50">
        <w:rPr>
          <w:sz w:val="20"/>
          <w:szCs w:val="20"/>
          <w:vertAlign w:val="superscript"/>
        </w:rPr>
        <w:t>8</w:t>
      </w:r>
      <w:r w:rsidR="00226050">
        <w:rPr>
          <w:sz w:val="20"/>
          <w:szCs w:val="20"/>
          <w:vertAlign w:val="superscript"/>
        </w:rPr>
        <w:t xml:space="preserve"> </w:t>
      </w:r>
      <w:r w:rsidRPr="00E73F50">
        <w:rPr>
          <w:sz w:val="20"/>
          <w:szCs w:val="20"/>
        </w:rPr>
        <w:t>Η έδρα της Διαμερικάνικης Επιτ</w:t>
      </w:r>
      <w:r w:rsidR="005A7CD8">
        <w:rPr>
          <w:sz w:val="20"/>
          <w:szCs w:val="20"/>
        </w:rPr>
        <w:t>ροπής Ανθρωπίνων Δ</w:t>
      </w:r>
      <w:r>
        <w:rPr>
          <w:sz w:val="20"/>
          <w:szCs w:val="20"/>
        </w:rPr>
        <w:t>ικαιωμάτων βρίσκεται στην Ουάσιγκτον.</w:t>
      </w:r>
      <w:r w:rsidR="003054A3">
        <w:br w:type="page"/>
      </w:r>
    </w:p>
    <w:p w:rsidR="00E12DF9" w:rsidRDefault="00E12DF9" w:rsidP="00597305">
      <w:pPr>
        <w:pStyle w:val="ListParagraph"/>
        <w:numPr>
          <w:ilvl w:val="0"/>
          <w:numId w:val="10"/>
        </w:numPr>
        <w:spacing w:after="0" w:line="240" w:lineRule="auto"/>
        <w:ind w:left="567" w:firstLine="0"/>
        <w:contextualSpacing w:val="0"/>
        <w:jc w:val="both"/>
        <w:rPr>
          <w:sz w:val="24"/>
          <w:szCs w:val="24"/>
        </w:rPr>
      </w:pPr>
      <w:r>
        <w:rPr>
          <w:sz w:val="24"/>
          <w:szCs w:val="24"/>
        </w:rPr>
        <w:lastRenderedPageBreak/>
        <w:t>Η</w:t>
      </w:r>
      <w:r w:rsidRPr="00E12DF9">
        <w:rPr>
          <w:sz w:val="24"/>
          <w:szCs w:val="24"/>
        </w:rPr>
        <w:t xml:space="preserve"> </w:t>
      </w:r>
      <w:r w:rsidRPr="00591BB0">
        <w:rPr>
          <w:sz w:val="24"/>
          <w:szCs w:val="24"/>
        </w:rPr>
        <w:t>Διαμερικανική Επιτρ</w:t>
      </w:r>
      <w:r w:rsidR="009127A0">
        <w:rPr>
          <w:sz w:val="24"/>
          <w:szCs w:val="24"/>
        </w:rPr>
        <w:t>οπή μπορεί να επιληφθεί</w:t>
      </w:r>
      <w:r w:rsidR="0012198F">
        <w:rPr>
          <w:sz w:val="24"/>
          <w:szCs w:val="24"/>
        </w:rPr>
        <w:t xml:space="preserve"> καταγγελιών</w:t>
      </w:r>
      <w:r w:rsidRPr="00591BB0">
        <w:rPr>
          <w:sz w:val="24"/>
          <w:szCs w:val="24"/>
        </w:rPr>
        <w:t xml:space="preserve"> για παραβάσεις που διαπράχθηκαν από κράτη που έχουν κυρώσει την Διαμερικανική Σύμβαση. Η επιτροπ</w:t>
      </w:r>
      <w:r w:rsidR="00826E91">
        <w:rPr>
          <w:sz w:val="24"/>
          <w:szCs w:val="24"/>
        </w:rPr>
        <w:t>ή δεν μπορεί να διαβιβάσει στο Δ</w:t>
      </w:r>
      <w:r w:rsidRPr="00591BB0">
        <w:rPr>
          <w:sz w:val="24"/>
          <w:szCs w:val="24"/>
        </w:rPr>
        <w:t>ιαμερικανικό δικαστήριο αιτήσεις που στρέφονται κατά κράτους που δεν έχει κυρώσει την σύμβαση (γιατί μόνο τα κράτη που έχουν προσχωρήσει στη</w:t>
      </w:r>
      <w:r w:rsidR="005A487B">
        <w:rPr>
          <w:sz w:val="24"/>
          <w:szCs w:val="24"/>
        </w:rPr>
        <w:t>ν σύμβαση υποχρεούνται να την τη</w:t>
      </w:r>
      <w:r w:rsidRPr="00591BB0">
        <w:rPr>
          <w:sz w:val="24"/>
          <w:szCs w:val="24"/>
        </w:rPr>
        <w:t>ρούν). Επιπλέον, όμως, ούτε η επιτροπή αλλά ούτε το δικαστήριο λαμβάνουν καταγγελίες κατά συγκεκριμένων ατόμων μόνο κατά κράτους. Προσφυγή που θα στρέφεται κατά κράτους που δεν έχει κυρώσει την Σύμβαση αλλά και κατά ιδιώτη ατομικά θα απορριφθεί από την Επιτροπή ως απαράδεκτη, χωρίς να διαβιβαστεί στο δικαστήριο.</w:t>
      </w:r>
    </w:p>
    <w:p w:rsidR="003054A3" w:rsidRPr="00E12DF9" w:rsidRDefault="003054A3" w:rsidP="00597305">
      <w:pPr>
        <w:pStyle w:val="ListParagraph"/>
        <w:spacing w:after="0" w:line="240" w:lineRule="auto"/>
        <w:ind w:left="567"/>
        <w:contextualSpacing w:val="0"/>
        <w:jc w:val="both"/>
        <w:rPr>
          <w:sz w:val="24"/>
          <w:szCs w:val="24"/>
        </w:rPr>
      </w:pPr>
    </w:p>
    <w:p w:rsidR="00742182" w:rsidRDefault="00E12DF9" w:rsidP="00597305">
      <w:pPr>
        <w:pStyle w:val="ListParagraph"/>
        <w:numPr>
          <w:ilvl w:val="0"/>
          <w:numId w:val="11"/>
        </w:numPr>
        <w:spacing w:after="0" w:line="240" w:lineRule="auto"/>
        <w:ind w:left="567" w:firstLine="0"/>
        <w:contextualSpacing w:val="0"/>
        <w:jc w:val="both"/>
        <w:rPr>
          <w:sz w:val="24"/>
          <w:szCs w:val="24"/>
        </w:rPr>
      </w:pPr>
      <w:r>
        <w:rPr>
          <w:sz w:val="24"/>
          <w:szCs w:val="24"/>
        </w:rPr>
        <w:t>ΑΡΘΡΟ</w:t>
      </w:r>
      <w:r w:rsidR="00A46C6B">
        <w:rPr>
          <w:sz w:val="24"/>
          <w:szCs w:val="24"/>
        </w:rPr>
        <w:t xml:space="preserve"> </w:t>
      </w:r>
      <w:r w:rsidR="00A46C6B" w:rsidRPr="00E12DF9">
        <w:rPr>
          <w:sz w:val="24"/>
          <w:szCs w:val="24"/>
        </w:rPr>
        <w:t>46</w:t>
      </w:r>
      <w:r w:rsidR="00A46C6B">
        <w:rPr>
          <w:sz w:val="24"/>
          <w:szCs w:val="24"/>
        </w:rPr>
        <w:t>: Πρέπει τα ένδικα μέσα που προβλέπει το εσωτερικό δίκαιο να έχουν ασκηθεί και εξαντληθεί. Εξαίρεση:</w:t>
      </w:r>
    </w:p>
    <w:p w:rsidR="00CB7A22" w:rsidRDefault="00CB7A22" w:rsidP="00597305">
      <w:pPr>
        <w:pStyle w:val="ListParagraph"/>
        <w:spacing w:after="0" w:line="240" w:lineRule="auto"/>
        <w:ind w:left="567"/>
        <w:contextualSpacing w:val="0"/>
        <w:jc w:val="both"/>
        <w:rPr>
          <w:sz w:val="24"/>
          <w:szCs w:val="24"/>
        </w:rPr>
      </w:pPr>
    </w:p>
    <w:p w:rsidR="00A46C6B" w:rsidRDefault="00617A81" w:rsidP="00597305">
      <w:pPr>
        <w:pStyle w:val="ListParagraph"/>
        <w:numPr>
          <w:ilvl w:val="0"/>
          <w:numId w:val="7"/>
        </w:numPr>
        <w:spacing w:after="0" w:line="240" w:lineRule="auto"/>
        <w:ind w:left="851" w:firstLine="0"/>
        <w:contextualSpacing w:val="0"/>
        <w:jc w:val="both"/>
        <w:rPr>
          <w:sz w:val="24"/>
          <w:szCs w:val="24"/>
        </w:rPr>
      </w:pPr>
      <w:r>
        <w:rPr>
          <w:sz w:val="24"/>
          <w:szCs w:val="24"/>
        </w:rPr>
        <w:t>Όταν το κράτος δεν παρέχει τη</w:t>
      </w:r>
      <w:r w:rsidR="00A46C6B">
        <w:rPr>
          <w:sz w:val="24"/>
          <w:szCs w:val="24"/>
        </w:rPr>
        <w:t xml:space="preserve"> δέουσα διαδικασία του νόμου για την προστασία των δικαιωμάτων που φαίνεται να παραβιάζονται από το κράτος. Όταν, δηλαδή, δεν υπάρχουν ένδικα βοηθήματα – μέσα για την προστασία των δικαιωμάτων.</w:t>
      </w:r>
    </w:p>
    <w:p w:rsidR="00CD1AEB" w:rsidRDefault="00A46C6B" w:rsidP="00597305">
      <w:pPr>
        <w:pStyle w:val="ListParagraph"/>
        <w:numPr>
          <w:ilvl w:val="0"/>
          <w:numId w:val="7"/>
        </w:numPr>
        <w:spacing w:after="0" w:line="240" w:lineRule="auto"/>
        <w:ind w:left="851" w:firstLine="0"/>
        <w:contextualSpacing w:val="0"/>
        <w:jc w:val="both"/>
        <w:rPr>
          <w:sz w:val="24"/>
          <w:szCs w:val="24"/>
        </w:rPr>
      </w:pPr>
      <w:r>
        <w:rPr>
          <w:sz w:val="24"/>
          <w:szCs w:val="24"/>
        </w:rPr>
        <w:t>Όταν υπήρξε αδικαιολόγητη καθυστέρηση στην έκδοση οριστικής απόφασης.</w:t>
      </w:r>
    </w:p>
    <w:p w:rsidR="00CB7A22" w:rsidRDefault="00CB7A22" w:rsidP="00597305">
      <w:pPr>
        <w:pStyle w:val="ListParagraph"/>
        <w:spacing w:after="0" w:line="240" w:lineRule="auto"/>
        <w:ind w:left="567"/>
        <w:contextualSpacing w:val="0"/>
        <w:jc w:val="both"/>
        <w:rPr>
          <w:sz w:val="24"/>
          <w:szCs w:val="24"/>
        </w:rPr>
      </w:pPr>
    </w:p>
    <w:p w:rsidR="00A46C6B" w:rsidRDefault="00A46C6B" w:rsidP="00597305">
      <w:pPr>
        <w:pStyle w:val="ListParagraph"/>
        <w:numPr>
          <w:ilvl w:val="0"/>
          <w:numId w:val="12"/>
        </w:numPr>
        <w:spacing w:after="0" w:line="240" w:lineRule="auto"/>
        <w:ind w:left="567" w:firstLine="0"/>
        <w:contextualSpacing w:val="0"/>
        <w:jc w:val="both"/>
        <w:rPr>
          <w:sz w:val="24"/>
          <w:szCs w:val="24"/>
        </w:rPr>
      </w:pPr>
      <w:r>
        <w:rPr>
          <w:sz w:val="24"/>
          <w:szCs w:val="24"/>
        </w:rPr>
        <w:t>Π</w:t>
      </w:r>
      <w:r w:rsidRPr="0018575B">
        <w:rPr>
          <w:sz w:val="24"/>
          <w:szCs w:val="24"/>
        </w:rPr>
        <w:t xml:space="preserve">ρέπει η καταγγελία να υποβληθεί εντός 6 μηνών από την ημερομηνία που κοινοποιήθηκε στον διάδικο η </w:t>
      </w:r>
      <w:r w:rsidR="005A644F">
        <w:rPr>
          <w:sz w:val="24"/>
          <w:szCs w:val="24"/>
        </w:rPr>
        <w:t xml:space="preserve">τελική </w:t>
      </w:r>
      <w:r w:rsidRPr="0018575B">
        <w:rPr>
          <w:sz w:val="24"/>
          <w:szCs w:val="24"/>
        </w:rPr>
        <w:t>κρίση του εγχώριου δικαστηρίου</w:t>
      </w:r>
      <w:r>
        <w:rPr>
          <w:sz w:val="24"/>
          <w:szCs w:val="24"/>
        </w:rPr>
        <w:t>.</w:t>
      </w:r>
    </w:p>
    <w:p w:rsidR="00CB7A22" w:rsidRPr="00A46C6B" w:rsidRDefault="00CB7A22" w:rsidP="00597305">
      <w:pPr>
        <w:pStyle w:val="ListParagraph"/>
        <w:spacing w:after="0" w:line="240" w:lineRule="auto"/>
        <w:ind w:left="567"/>
        <w:contextualSpacing w:val="0"/>
        <w:jc w:val="both"/>
        <w:rPr>
          <w:sz w:val="24"/>
          <w:szCs w:val="24"/>
        </w:rPr>
      </w:pPr>
    </w:p>
    <w:p w:rsidR="00784D34" w:rsidRDefault="00A46C6B" w:rsidP="00597305">
      <w:pPr>
        <w:pStyle w:val="ListParagraph"/>
        <w:numPr>
          <w:ilvl w:val="0"/>
          <w:numId w:val="13"/>
        </w:numPr>
        <w:spacing w:after="0" w:line="240" w:lineRule="auto"/>
        <w:ind w:left="567" w:firstLine="0"/>
        <w:contextualSpacing w:val="0"/>
        <w:jc w:val="both"/>
        <w:rPr>
          <w:sz w:val="24"/>
          <w:szCs w:val="24"/>
        </w:rPr>
      </w:pPr>
      <w:r>
        <w:rPr>
          <w:sz w:val="24"/>
          <w:szCs w:val="24"/>
        </w:rPr>
        <w:t xml:space="preserve">Δεν πρέπει το θέμα της αναφοράς να εκκρεμεί </w:t>
      </w:r>
      <w:r w:rsidR="00826E91">
        <w:rPr>
          <w:sz w:val="24"/>
          <w:szCs w:val="24"/>
        </w:rPr>
        <w:t xml:space="preserve">παράλληλα </w:t>
      </w:r>
      <w:r>
        <w:rPr>
          <w:sz w:val="24"/>
          <w:szCs w:val="24"/>
        </w:rPr>
        <w:t>σε άλλη διεθνή διαδικασία.</w:t>
      </w:r>
    </w:p>
    <w:p w:rsidR="00CB7A22" w:rsidRPr="00A46C6B" w:rsidRDefault="00CB7A22" w:rsidP="00597305">
      <w:pPr>
        <w:pStyle w:val="ListParagraph"/>
        <w:spacing w:after="0" w:line="240" w:lineRule="auto"/>
        <w:ind w:left="567"/>
        <w:contextualSpacing w:val="0"/>
        <w:jc w:val="both"/>
        <w:rPr>
          <w:sz w:val="24"/>
          <w:szCs w:val="24"/>
        </w:rPr>
      </w:pPr>
    </w:p>
    <w:p w:rsidR="007C04FD" w:rsidRDefault="0018575B" w:rsidP="00597305">
      <w:pPr>
        <w:pStyle w:val="ListParagraph"/>
        <w:numPr>
          <w:ilvl w:val="0"/>
          <w:numId w:val="14"/>
        </w:numPr>
        <w:spacing w:after="0" w:line="240" w:lineRule="auto"/>
        <w:ind w:left="567" w:firstLine="0"/>
        <w:contextualSpacing w:val="0"/>
        <w:jc w:val="both"/>
        <w:rPr>
          <w:sz w:val="24"/>
          <w:szCs w:val="24"/>
        </w:rPr>
      </w:pPr>
      <w:r w:rsidRPr="00784D34">
        <w:rPr>
          <w:sz w:val="24"/>
          <w:szCs w:val="24"/>
        </w:rPr>
        <w:t xml:space="preserve">Η νομική εκπροσώπηση δεν είναι απαραίτητη για την πρόσβαση στο </w:t>
      </w:r>
      <w:r w:rsidR="00F1349D">
        <w:rPr>
          <w:sz w:val="24"/>
          <w:szCs w:val="24"/>
        </w:rPr>
        <w:t>Δ</w:t>
      </w:r>
      <w:r w:rsidRPr="00784D34">
        <w:rPr>
          <w:sz w:val="24"/>
          <w:szCs w:val="24"/>
        </w:rPr>
        <w:t xml:space="preserve">ιαμερικανικό δικαστήριο. Ο αιτών μπορεί να υποβάλλει καταγγελία μόνος του χωρίς επαγγελματική βοήθεια. </w:t>
      </w:r>
    </w:p>
    <w:p w:rsidR="00DF2434" w:rsidRPr="007C04FD" w:rsidRDefault="007C04FD" w:rsidP="00463803">
      <w:pPr>
        <w:spacing w:after="0" w:line="240" w:lineRule="auto"/>
        <w:rPr>
          <w:sz w:val="24"/>
          <w:szCs w:val="24"/>
        </w:rPr>
      </w:pPr>
      <w:r>
        <w:rPr>
          <w:sz w:val="24"/>
          <w:szCs w:val="24"/>
        </w:rPr>
        <w:br w:type="page"/>
      </w:r>
    </w:p>
    <w:p w:rsidR="007C04FD" w:rsidRPr="00597305" w:rsidRDefault="00543A6C" w:rsidP="00597305">
      <w:pPr>
        <w:pStyle w:val="Heading2"/>
        <w:numPr>
          <w:ilvl w:val="0"/>
          <w:numId w:val="42"/>
        </w:numPr>
        <w:spacing w:before="0" w:line="240" w:lineRule="auto"/>
        <w:ind w:left="0" w:firstLine="0"/>
        <w:rPr>
          <w:b/>
          <w:color w:val="auto"/>
          <w:sz w:val="24"/>
        </w:rPr>
      </w:pPr>
      <w:bookmarkStart w:id="40" w:name="_Toc419545181"/>
      <w:r w:rsidRPr="00597305">
        <w:rPr>
          <w:b/>
          <w:color w:val="auto"/>
          <w:sz w:val="24"/>
        </w:rPr>
        <w:lastRenderedPageBreak/>
        <w:t>African Court on Human and People‘s Rights (Αφρικανικό Δικαστήριο για τα Δικαιώματα Ανθρώπων και Λαών):</w:t>
      </w:r>
      <w:bookmarkEnd w:id="40"/>
    </w:p>
    <w:p w:rsidR="00CB7A22" w:rsidRPr="00CB7A22" w:rsidRDefault="00CB7A22" w:rsidP="00CB7A22">
      <w:pPr>
        <w:spacing w:after="0" w:line="240" w:lineRule="auto"/>
      </w:pPr>
    </w:p>
    <w:p w:rsidR="002A6AEA" w:rsidRDefault="001F6954" w:rsidP="00CB7A22">
      <w:pPr>
        <w:spacing w:after="0" w:line="240" w:lineRule="auto"/>
        <w:jc w:val="both"/>
        <w:rPr>
          <w:sz w:val="24"/>
          <w:szCs w:val="24"/>
        </w:rPr>
      </w:pPr>
      <w:r>
        <w:rPr>
          <w:sz w:val="24"/>
          <w:szCs w:val="24"/>
        </w:rPr>
        <w:t>Το π</w:t>
      </w:r>
      <w:r w:rsidR="00F5511F" w:rsidRPr="00CA70D8">
        <w:rPr>
          <w:sz w:val="24"/>
          <w:szCs w:val="24"/>
        </w:rPr>
        <w:t>ρωτόκολλο για την ίδρυση Αφρικανικού δικαστηρίου εγκρίθηκε τον Ιούνιο 1998 στην Μπουρκίνα Φάσο και τέθηκε σε ισχύ τον Ιανουάριο του 2004</w:t>
      </w:r>
      <w:r>
        <w:rPr>
          <w:sz w:val="24"/>
          <w:szCs w:val="24"/>
        </w:rPr>
        <w:t>.</w:t>
      </w:r>
      <w:r>
        <w:rPr>
          <w:b/>
          <w:sz w:val="24"/>
          <w:szCs w:val="24"/>
        </w:rPr>
        <w:t xml:space="preserve"> </w:t>
      </w:r>
      <w:r w:rsidR="00F5511F" w:rsidRPr="00CA70D8">
        <w:rPr>
          <w:sz w:val="24"/>
          <w:szCs w:val="24"/>
        </w:rPr>
        <w:t xml:space="preserve">Έδρα </w:t>
      </w:r>
      <w:r>
        <w:rPr>
          <w:sz w:val="24"/>
          <w:szCs w:val="24"/>
        </w:rPr>
        <w:t xml:space="preserve">του δικαστηρίου είναι η </w:t>
      </w:r>
      <w:r w:rsidR="00F5511F" w:rsidRPr="00CA70D8">
        <w:rPr>
          <w:sz w:val="24"/>
          <w:szCs w:val="24"/>
        </w:rPr>
        <w:t xml:space="preserve">Αρούσα της Ηνωμένης </w:t>
      </w:r>
      <w:r w:rsidR="005D3938">
        <w:rPr>
          <w:sz w:val="24"/>
          <w:szCs w:val="24"/>
        </w:rPr>
        <w:t xml:space="preserve">Δημοκρατίας </w:t>
      </w:r>
      <w:r w:rsidR="00F5511F" w:rsidRPr="00CA70D8">
        <w:rPr>
          <w:sz w:val="24"/>
          <w:szCs w:val="24"/>
        </w:rPr>
        <w:t>Τανζανίας</w:t>
      </w:r>
      <w:r>
        <w:rPr>
          <w:sz w:val="24"/>
          <w:szCs w:val="24"/>
        </w:rPr>
        <w:t xml:space="preserve">. Ωστόσο, πρόκειται για μια </w:t>
      </w:r>
      <w:r w:rsidR="00F5511F" w:rsidRPr="00CA70D8">
        <w:rPr>
          <w:sz w:val="24"/>
          <w:szCs w:val="24"/>
        </w:rPr>
        <w:t xml:space="preserve">προσωρινή έδρα γιατί </w:t>
      </w:r>
      <w:r w:rsidR="005D3938">
        <w:rPr>
          <w:sz w:val="24"/>
          <w:szCs w:val="24"/>
        </w:rPr>
        <w:t xml:space="preserve">το δικαστήριο </w:t>
      </w:r>
      <w:r w:rsidR="00F5511F" w:rsidRPr="00CA70D8">
        <w:rPr>
          <w:sz w:val="24"/>
          <w:szCs w:val="24"/>
        </w:rPr>
        <w:t>δεν έχει ακόμα μόνιμη δομή</w:t>
      </w:r>
      <w:r w:rsidR="005D3938">
        <w:rPr>
          <w:sz w:val="24"/>
          <w:szCs w:val="24"/>
        </w:rPr>
        <w:t>. Αρμοδιότητα του δικαστηρίου είναι η εφαρμογή και η ερμηνεία του Αφρικανικού Χάρτη για τα Δικαιώματα Ανθρώπων και Λαών</w:t>
      </w:r>
      <w:r w:rsidR="004A5CE2" w:rsidRPr="004A5CE2">
        <w:rPr>
          <w:sz w:val="24"/>
          <w:szCs w:val="24"/>
          <w:vertAlign w:val="superscript"/>
        </w:rPr>
        <w:t>9</w:t>
      </w:r>
      <w:r w:rsidR="0004526D">
        <w:rPr>
          <w:sz w:val="24"/>
          <w:szCs w:val="24"/>
        </w:rPr>
        <w:t>.</w:t>
      </w:r>
      <w:r w:rsidR="005D3938">
        <w:rPr>
          <w:sz w:val="24"/>
          <w:szCs w:val="24"/>
        </w:rPr>
        <w:t xml:space="preserve"> </w:t>
      </w:r>
      <w:r w:rsidR="00AC5EE7">
        <w:rPr>
          <w:sz w:val="24"/>
          <w:szCs w:val="24"/>
        </w:rPr>
        <w:t>Μέχρι στιγμής μ</w:t>
      </w:r>
      <w:r w:rsidR="008F248C" w:rsidRPr="00CA70D8">
        <w:rPr>
          <w:sz w:val="24"/>
          <w:szCs w:val="24"/>
        </w:rPr>
        <w:t xml:space="preserve">όνο </w:t>
      </w:r>
      <w:r w:rsidR="00301C6E" w:rsidRPr="00CA70D8">
        <w:rPr>
          <w:sz w:val="24"/>
          <w:szCs w:val="24"/>
        </w:rPr>
        <w:t>27  κράτη έχου</w:t>
      </w:r>
      <w:r w:rsidR="00AC5EE7">
        <w:rPr>
          <w:sz w:val="24"/>
          <w:szCs w:val="24"/>
        </w:rPr>
        <w:t>ν επικυρώσει το πρωτόκολλο.</w:t>
      </w:r>
      <w:r w:rsidR="004808D4">
        <w:rPr>
          <w:sz w:val="24"/>
          <w:szCs w:val="24"/>
        </w:rPr>
        <w:t xml:space="preserve"> </w:t>
      </w:r>
      <w:r w:rsidR="00AC5EE7">
        <w:rPr>
          <w:sz w:val="24"/>
          <w:szCs w:val="24"/>
        </w:rPr>
        <w:t xml:space="preserve">Το δικαστήριο συγκροτείται από </w:t>
      </w:r>
      <w:r w:rsidR="002A6AEA" w:rsidRPr="00CA70D8">
        <w:rPr>
          <w:sz w:val="24"/>
          <w:szCs w:val="24"/>
        </w:rPr>
        <w:t xml:space="preserve">11 δικαστές, οι οποίοι είναι υπήκοοι των κρατών μελών της Αφρικανικής Ένωσης </w:t>
      </w:r>
      <w:r w:rsidR="00AC5EE7">
        <w:rPr>
          <w:sz w:val="24"/>
          <w:szCs w:val="24"/>
        </w:rPr>
        <w:t>και έ</w:t>
      </w:r>
      <w:r w:rsidR="00FE2C19">
        <w:rPr>
          <w:sz w:val="24"/>
          <w:szCs w:val="24"/>
        </w:rPr>
        <w:t>χουν θητεία 4 ή 6 χρόνων με δυνα</w:t>
      </w:r>
      <w:r w:rsidR="00AC5EE7">
        <w:rPr>
          <w:sz w:val="24"/>
          <w:szCs w:val="24"/>
        </w:rPr>
        <w:t xml:space="preserve">τότητα επανεκλογής μια μόνο φορά. </w:t>
      </w:r>
      <w:r w:rsidR="00FE2C19">
        <w:rPr>
          <w:sz w:val="24"/>
          <w:szCs w:val="24"/>
        </w:rPr>
        <w:t>Για την αποτελεσματικότερη προστασία των ανθρ</w:t>
      </w:r>
      <w:r w:rsidR="00F45184">
        <w:rPr>
          <w:sz w:val="24"/>
          <w:szCs w:val="24"/>
        </w:rPr>
        <w:t xml:space="preserve">ωπίνων δικαιωμάτων </w:t>
      </w:r>
      <w:r w:rsidR="00FE2C19">
        <w:rPr>
          <w:sz w:val="24"/>
          <w:szCs w:val="24"/>
        </w:rPr>
        <w:t>στην Αφρική</w:t>
      </w:r>
      <w:r w:rsidR="00F45184">
        <w:rPr>
          <w:sz w:val="24"/>
          <w:szCs w:val="24"/>
        </w:rPr>
        <w:t xml:space="preserve">, </w:t>
      </w:r>
      <w:r w:rsidR="00FE2C19">
        <w:rPr>
          <w:sz w:val="24"/>
          <w:szCs w:val="24"/>
        </w:rPr>
        <w:t xml:space="preserve">το δικαστήριο </w:t>
      </w:r>
      <w:r w:rsidR="00F45184">
        <w:rPr>
          <w:sz w:val="24"/>
          <w:szCs w:val="24"/>
        </w:rPr>
        <w:t>συνεργάζεται με εθνικές και υποπεριφερειακές δικαστικές αρχές.</w:t>
      </w:r>
      <w:r w:rsidR="00C063D3">
        <w:rPr>
          <w:b/>
          <w:sz w:val="24"/>
          <w:szCs w:val="24"/>
        </w:rPr>
        <w:t xml:space="preserve"> </w:t>
      </w:r>
      <w:r w:rsidR="002A6AEA" w:rsidRPr="00CA70D8">
        <w:rPr>
          <w:sz w:val="24"/>
          <w:szCs w:val="24"/>
        </w:rPr>
        <w:t>Το Αφρικανικό δικαστήριο έχει 2 λειτουργίες</w:t>
      </w:r>
      <w:r w:rsidR="00C063D3">
        <w:rPr>
          <w:sz w:val="24"/>
          <w:szCs w:val="24"/>
        </w:rPr>
        <w:t xml:space="preserve"> αφενός μια γνωμοδοτική</w:t>
      </w:r>
      <w:r w:rsidR="006666EE">
        <w:rPr>
          <w:sz w:val="24"/>
          <w:szCs w:val="24"/>
        </w:rPr>
        <w:t xml:space="preserve"> </w:t>
      </w:r>
      <w:r w:rsidR="002A6AEA" w:rsidRPr="00C063D3">
        <w:rPr>
          <w:sz w:val="24"/>
          <w:szCs w:val="24"/>
        </w:rPr>
        <w:t>επί νομικού θέματος που αφορά τον Χάρτη υπό την προϋπόθεση ότι η γνωμοδότηση δεν αφορά θέμα που εξετάζεται από την επιτροπή</w:t>
      </w:r>
      <w:r w:rsidR="006666EE">
        <w:rPr>
          <w:b/>
          <w:sz w:val="24"/>
          <w:szCs w:val="24"/>
        </w:rPr>
        <w:t xml:space="preserve"> </w:t>
      </w:r>
      <w:r w:rsidR="006666EE">
        <w:rPr>
          <w:sz w:val="24"/>
          <w:szCs w:val="24"/>
        </w:rPr>
        <w:t>και αφετέρου μια δικαιοδοτική.</w:t>
      </w:r>
      <w:r w:rsidR="008A062D">
        <w:rPr>
          <w:sz w:val="24"/>
          <w:szCs w:val="24"/>
        </w:rPr>
        <w:t xml:space="preserve"> Και σε αυτήν την π</w:t>
      </w:r>
      <w:r w:rsidR="0006540F">
        <w:rPr>
          <w:sz w:val="24"/>
          <w:szCs w:val="24"/>
        </w:rPr>
        <w:t>ερίπτωση, όπως και στο Διαμερικα</w:t>
      </w:r>
      <w:r w:rsidR="008A062D">
        <w:rPr>
          <w:sz w:val="24"/>
          <w:szCs w:val="24"/>
        </w:rPr>
        <w:t>νικ</w:t>
      </w:r>
      <w:r w:rsidR="0006540F">
        <w:rPr>
          <w:sz w:val="24"/>
          <w:szCs w:val="24"/>
        </w:rPr>
        <w:t>ό</w:t>
      </w:r>
      <w:r w:rsidR="008A062D">
        <w:rPr>
          <w:sz w:val="24"/>
          <w:szCs w:val="24"/>
        </w:rPr>
        <w:t xml:space="preserve"> δικαστήρι</w:t>
      </w:r>
      <w:r w:rsidR="00300824">
        <w:rPr>
          <w:sz w:val="24"/>
          <w:szCs w:val="24"/>
        </w:rPr>
        <w:t>ο,</w:t>
      </w:r>
      <w:r w:rsidR="002E04E1">
        <w:rPr>
          <w:sz w:val="24"/>
          <w:szCs w:val="24"/>
        </w:rPr>
        <w:t xml:space="preserve"> αυτό που θα εξεταστεί αφορά τη</w:t>
      </w:r>
      <w:r w:rsidR="008A062D">
        <w:rPr>
          <w:sz w:val="24"/>
          <w:szCs w:val="24"/>
        </w:rPr>
        <w:t xml:space="preserve"> δικαιοδοτική λειτουργία του Α</w:t>
      </w:r>
      <w:r w:rsidR="00300824">
        <w:rPr>
          <w:sz w:val="24"/>
          <w:szCs w:val="24"/>
        </w:rPr>
        <w:t>φρικανικού δικαστηρίου και όχι τη</w:t>
      </w:r>
      <w:r w:rsidR="008A062D">
        <w:rPr>
          <w:sz w:val="24"/>
          <w:szCs w:val="24"/>
        </w:rPr>
        <w:t xml:space="preserve"> γνωμοδοτική. Ακολούθως παρατίθενται οι π</w:t>
      </w:r>
      <w:r w:rsidR="002A6AEA">
        <w:rPr>
          <w:sz w:val="24"/>
          <w:szCs w:val="24"/>
        </w:rPr>
        <w:t>ροϋποθέσεις</w:t>
      </w:r>
      <w:r w:rsidR="008A062D">
        <w:rPr>
          <w:sz w:val="24"/>
          <w:szCs w:val="24"/>
        </w:rPr>
        <w:t xml:space="preserve"> πρόσβασης σε αυτό</w:t>
      </w:r>
      <w:r w:rsidR="002A6AEA">
        <w:rPr>
          <w:sz w:val="24"/>
          <w:szCs w:val="24"/>
        </w:rPr>
        <w:t>:</w:t>
      </w:r>
    </w:p>
    <w:p w:rsidR="00CB7A22" w:rsidRPr="008A062D" w:rsidRDefault="00CB7A22" w:rsidP="00CB7A22">
      <w:pPr>
        <w:spacing w:after="0" w:line="240" w:lineRule="auto"/>
        <w:jc w:val="both"/>
        <w:rPr>
          <w:b/>
          <w:sz w:val="24"/>
          <w:szCs w:val="24"/>
        </w:rPr>
      </w:pPr>
    </w:p>
    <w:p w:rsidR="001A7D94" w:rsidRDefault="002A6AEA" w:rsidP="00597305">
      <w:pPr>
        <w:pStyle w:val="ListParagraph"/>
        <w:numPr>
          <w:ilvl w:val="0"/>
          <w:numId w:val="5"/>
        </w:numPr>
        <w:spacing w:after="0" w:line="240" w:lineRule="auto"/>
        <w:ind w:left="567" w:firstLine="0"/>
        <w:contextualSpacing w:val="0"/>
        <w:jc w:val="both"/>
        <w:rPr>
          <w:sz w:val="24"/>
          <w:szCs w:val="24"/>
        </w:rPr>
      </w:pPr>
      <w:r>
        <w:rPr>
          <w:sz w:val="24"/>
          <w:szCs w:val="24"/>
        </w:rPr>
        <w:t>Το δικαστήριο λαμβάνει καταγγελίες ή αιτήσεις που υποβάλλονται απ</w:t>
      </w:r>
      <w:r w:rsidR="006B0F34">
        <w:rPr>
          <w:sz w:val="24"/>
          <w:szCs w:val="24"/>
        </w:rPr>
        <w:t>ό την Αφρικανική επιτροπή</w:t>
      </w:r>
      <w:r w:rsidR="008A062D" w:rsidRPr="008A062D">
        <w:rPr>
          <w:sz w:val="24"/>
          <w:szCs w:val="24"/>
          <w:vertAlign w:val="superscript"/>
        </w:rPr>
        <w:t>10</w:t>
      </w:r>
      <w:r w:rsidR="006B0F34">
        <w:rPr>
          <w:sz w:val="24"/>
          <w:szCs w:val="24"/>
        </w:rPr>
        <w:t>, τα</w:t>
      </w:r>
      <w:r>
        <w:rPr>
          <w:sz w:val="24"/>
          <w:szCs w:val="24"/>
        </w:rPr>
        <w:t xml:space="preserve"> συμβαλλόμενα κράτη </w:t>
      </w:r>
      <w:r w:rsidR="006B0F34">
        <w:rPr>
          <w:sz w:val="24"/>
          <w:szCs w:val="24"/>
        </w:rPr>
        <w:t>και Αφρικανικούς διακυβερνητικούς οργανισμούς</w:t>
      </w:r>
      <w:r w:rsidR="00BF5803">
        <w:rPr>
          <w:sz w:val="24"/>
          <w:szCs w:val="24"/>
        </w:rPr>
        <w:t>.</w:t>
      </w:r>
      <w:r w:rsidR="00D44508">
        <w:rPr>
          <w:sz w:val="24"/>
          <w:szCs w:val="24"/>
        </w:rPr>
        <w:t xml:space="preserve"> </w:t>
      </w:r>
      <w:r w:rsidR="006B0F34" w:rsidRPr="006B0F34">
        <w:rPr>
          <w:sz w:val="24"/>
          <w:szCs w:val="24"/>
        </w:rPr>
        <w:t>Αντίθετα, μη κυβερνητικές οργανώσεις και ιδιώτες</w:t>
      </w:r>
      <w:r w:rsidR="002E04E1">
        <w:rPr>
          <w:sz w:val="24"/>
          <w:szCs w:val="24"/>
        </w:rPr>
        <w:t xml:space="preserve"> </w:t>
      </w:r>
      <w:r w:rsidR="006B0F34" w:rsidRPr="006B0F34">
        <w:rPr>
          <w:sz w:val="24"/>
          <w:szCs w:val="24"/>
        </w:rPr>
        <w:t>(α</w:t>
      </w:r>
      <w:r w:rsidR="0077771D">
        <w:rPr>
          <w:sz w:val="24"/>
          <w:szCs w:val="24"/>
        </w:rPr>
        <w:t>τομικά) μπορούν να κινούνται απ</w:t>
      </w:r>
      <w:r w:rsidR="006B0F34" w:rsidRPr="006B0F34">
        <w:rPr>
          <w:sz w:val="24"/>
          <w:szCs w:val="24"/>
        </w:rPr>
        <w:t xml:space="preserve">ευθείας ενώπιον του δικαστηρίου εάν το συμβαλλόμενο κράτος </w:t>
      </w:r>
      <w:r w:rsidR="006B0F34">
        <w:rPr>
          <w:sz w:val="24"/>
          <w:szCs w:val="24"/>
        </w:rPr>
        <w:t xml:space="preserve">από το οποίο προέρχονται έχει προβεί σε δηλώσεις που επιτρέπουν την άμεση πρόσβαση στο δικαστήριο. </w:t>
      </w:r>
      <w:r w:rsidR="00756A90">
        <w:rPr>
          <w:sz w:val="24"/>
          <w:szCs w:val="24"/>
        </w:rPr>
        <w:t>Αν το κράτος δεν έχει προβεί σε τέτοια δήλωση ο ιδιώτης ή η μη κυβερνητική οργάνωση π</w:t>
      </w:r>
      <w:r w:rsidR="0077771D">
        <w:rPr>
          <w:sz w:val="24"/>
          <w:szCs w:val="24"/>
        </w:rPr>
        <w:t>ρέπει πρώτα στείλει</w:t>
      </w:r>
      <w:r w:rsidR="00756A90">
        <w:rPr>
          <w:sz w:val="24"/>
          <w:szCs w:val="24"/>
        </w:rPr>
        <w:t xml:space="preserve"> την καταγγελία στην Αφρικανική επιτροπή. </w:t>
      </w:r>
      <w:r w:rsidR="001A7D94">
        <w:rPr>
          <w:sz w:val="24"/>
          <w:szCs w:val="24"/>
        </w:rPr>
        <w:t>Η</w:t>
      </w:r>
      <w:r w:rsidR="002E04E1">
        <w:rPr>
          <w:sz w:val="24"/>
          <w:szCs w:val="24"/>
        </w:rPr>
        <w:t xml:space="preserve"> Αφρικανική ε</w:t>
      </w:r>
      <w:r w:rsidR="001A7D94">
        <w:rPr>
          <w:sz w:val="24"/>
          <w:szCs w:val="24"/>
        </w:rPr>
        <w:t>πιτροπή λαμβάνει τις κα</w:t>
      </w:r>
      <w:r w:rsidR="0032638F">
        <w:rPr>
          <w:sz w:val="24"/>
          <w:szCs w:val="24"/>
        </w:rPr>
        <w:t>τα</w:t>
      </w:r>
      <w:r w:rsidR="001A7D94">
        <w:rPr>
          <w:sz w:val="24"/>
          <w:szCs w:val="24"/>
        </w:rPr>
        <w:t>γγελίες ιδιωτών και οργανώσεων, σχετικά με τις παραβιάσεις ανθρωπίνων δικαιωμάτων, εξετάζει τις αναφορές καθώς και αν πληρούνται οι προϋποθέσεις παραδεκτού.</w:t>
      </w:r>
    </w:p>
    <w:p w:rsidR="00CB7A22" w:rsidRDefault="00CB7A22" w:rsidP="00597305">
      <w:pPr>
        <w:pStyle w:val="ListParagraph"/>
        <w:spacing w:after="0" w:line="240" w:lineRule="auto"/>
        <w:ind w:left="567"/>
        <w:contextualSpacing w:val="0"/>
        <w:jc w:val="both"/>
        <w:rPr>
          <w:sz w:val="24"/>
          <w:szCs w:val="24"/>
        </w:rPr>
      </w:pPr>
    </w:p>
    <w:p w:rsidR="001A7D94" w:rsidRDefault="006D1555" w:rsidP="00597305">
      <w:pPr>
        <w:pStyle w:val="ListParagraph"/>
        <w:numPr>
          <w:ilvl w:val="0"/>
          <w:numId w:val="5"/>
        </w:numPr>
        <w:spacing w:after="0" w:line="240" w:lineRule="auto"/>
        <w:ind w:left="567" w:firstLine="0"/>
        <w:contextualSpacing w:val="0"/>
        <w:jc w:val="both"/>
        <w:rPr>
          <w:sz w:val="24"/>
          <w:szCs w:val="24"/>
        </w:rPr>
      </w:pPr>
      <w:r w:rsidRPr="001A7D94">
        <w:rPr>
          <w:sz w:val="24"/>
          <w:szCs w:val="24"/>
        </w:rPr>
        <w:t>Πρέπει να έχει κυρωθεί ο Αφρικανικός Χάρτης από τα ενδιαφερόμενα κράτη για να επιλυφθεί το δικαστήριο μιας υπόθεσης.</w:t>
      </w:r>
      <w:r w:rsidR="008A062D" w:rsidRPr="001A7D94">
        <w:rPr>
          <w:sz w:val="24"/>
          <w:szCs w:val="24"/>
        </w:rPr>
        <w:t xml:space="preserve"> Δεν δύναται το δικαστήριο να επιλυφθεί μιας υπόθεσης κατά κράτους που δεν έχει κυρώσει την σύμβαση</w:t>
      </w:r>
      <w:r w:rsidR="00CB7A22">
        <w:rPr>
          <w:sz w:val="24"/>
          <w:szCs w:val="24"/>
        </w:rPr>
        <w:t xml:space="preserve"> καθώς και κατά ιδιώτη.</w:t>
      </w:r>
      <w:r w:rsidR="00583DE3" w:rsidRPr="00583DE3">
        <w:rPr>
          <w:sz w:val="24"/>
          <w:szCs w:val="24"/>
        </w:rPr>
        <w:t xml:space="preserve"> Όπως και στην περίπτωση του Ευρωπαϊκού δικαστηρίου και του Διαμερικανικού δικαστηρίου προσφυγή που θα στρέφτεαι κατά κράτους που δεν έχει κυρώσει την σύμβαση ή κατά ιδιώτη θα απορριφθεί από την Αφρικανική επιτροπή ή το Αφρικανικό δικαστήριο (στην περίπτωση που το συμβαλλόμενο κράτος έχει επιτρέψει την άμεση πρόσβαση στο δικαστήριο) ως απαράδεκτη.</w:t>
      </w:r>
    </w:p>
    <w:p w:rsidR="001A7D94" w:rsidRDefault="008A062D" w:rsidP="00463803">
      <w:pPr>
        <w:pStyle w:val="ListParagraph"/>
        <w:pBdr>
          <w:top w:val="single" w:sz="4" w:space="1" w:color="auto"/>
        </w:pBdr>
        <w:spacing w:after="0" w:line="240" w:lineRule="auto"/>
        <w:ind w:left="0"/>
        <w:contextualSpacing w:val="0"/>
        <w:jc w:val="both"/>
        <w:rPr>
          <w:sz w:val="20"/>
          <w:szCs w:val="20"/>
        </w:rPr>
      </w:pPr>
      <w:r w:rsidRPr="001A7D94">
        <w:rPr>
          <w:sz w:val="20"/>
          <w:szCs w:val="20"/>
          <w:vertAlign w:val="superscript"/>
        </w:rPr>
        <w:t xml:space="preserve">9 </w:t>
      </w:r>
      <w:r w:rsidR="001A7D94">
        <w:rPr>
          <w:sz w:val="20"/>
          <w:szCs w:val="20"/>
        </w:rPr>
        <w:t>Λ</w:t>
      </w:r>
      <w:r w:rsidR="002E04E1">
        <w:rPr>
          <w:sz w:val="20"/>
          <w:szCs w:val="20"/>
        </w:rPr>
        <w:t>αών: Δ</w:t>
      </w:r>
      <w:r w:rsidR="004A5CE2" w:rsidRPr="001A7D94">
        <w:rPr>
          <w:sz w:val="20"/>
          <w:szCs w:val="20"/>
        </w:rPr>
        <w:t>εν υπάρχει στην ΕΣΔΑ και την Διαμερικανικ</w:t>
      </w:r>
      <w:r w:rsidR="002E04E1">
        <w:rPr>
          <w:sz w:val="20"/>
          <w:szCs w:val="20"/>
        </w:rPr>
        <w:t>ή</w:t>
      </w:r>
      <w:r w:rsidR="004A5CE2" w:rsidRPr="001A7D94">
        <w:rPr>
          <w:sz w:val="20"/>
          <w:szCs w:val="20"/>
        </w:rPr>
        <w:t xml:space="preserve"> σύμβαση και αυτό γιατί συνδέεται με </w:t>
      </w:r>
      <w:r w:rsidR="007A453C">
        <w:rPr>
          <w:sz w:val="20"/>
          <w:szCs w:val="20"/>
        </w:rPr>
        <w:t xml:space="preserve">συλλογικά </w:t>
      </w:r>
      <w:r w:rsidR="004A5CE2" w:rsidRPr="001A7D94">
        <w:rPr>
          <w:sz w:val="20"/>
          <w:szCs w:val="20"/>
        </w:rPr>
        <w:t xml:space="preserve">δικαιώματα όπως </w:t>
      </w:r>
      <w:r w:rsidR="007A453C">
        <w:rPr>
          <w:sz w:val="20"/>
          <w:szCs w:val="20"/>
        </w:rPr>
        <w:t xml:space="preserve">η </w:t>
      </w:r>
      <w:r w:rsidR="004A5CE2" w:rsidRPr="001A7D94">
        <w:rPr>
          <w:sz w:val="20"/>
          <w:szCs w:val="20"/>
        </w:rPr>
        <w:t xml:space="preserve">ισότητα των λαών, η μη κυριαρχία ενός λαού από έναν άλλον και με το δικαίωμα ενός λαού να διαθέτει τον φυσικό του πλούτο προς το συμφέρον του </w:t>
      </w:r>
      <w:r w:rsidR="00835771" w:rsidRPr="00835771">
        <w:rPr>
          <w:sz w:val="20"/>
          <w:szCs w:val="20"/>
        </w:rPr>
        <w:t>(</w:t>
      </w:r>
      <w:r w:rsidR="004A5CE2" w:rsidRPr="001A7D94">
        <w:rPr>
          <w:sz w:val="20"/>
          <w:szCs w:val="20"/>
        </w:rPr>
        <w:t>άρθρα 20 – 21</w:t>
      </w:r>
      <w:r w:rsidR="00835771" w:rsidRPr="00835771">
        <w:rPr>
          <w:sz w:val="20"/>
          <w:szCs w:val="20"/>
        </w:rPr>
        <w:t>)</w:t>
      </w:r>
      <w:r w:rsidR="004A5CE2" w:rsidRPr="001A7D94">
        <w:rPr>
          <w:sz w:val="20"/>
          <w:szCs w:val="20"/>
        </w:rPr>
        <w:t xml:space="preserve">  που επίσης δεν υπάρχουν στις ά</w:t>
      </w:r>
      <w:r w:rsidRPr="001A7D94">
        <w:rPr>
          <w:sz w:val="20"/>
          <w:szCs w:val="20"/>
        </w:rPr>
        <w:t>λλες 2 συμβάσεις.</w:t>
      </w:r>
    </w:p>
    <w:p w:rsidR="00CB7A22" w:rsidRPr="00583DE3" w:rsidRDefault="001A7D94" w:rsidP="00583DE3">
      <w:pPr>
        <w:pStyle w:val="ListParagraph"/>
        <w:spacing w:after="0" w:line="240" w:lineRule="auto"/>
        <w:ind w:left="0"/>
        <w:contextualSpacing w:val="0"/>
        <w:jc w:val="both"/>
        <w:rPr>
          <w:sz w:val="20"/>
          <w:szCs w:val="20"/>
          <w:lang w:val="en-US"/>
        </w:rPr>
      </w:pPr>
      <w:r w:rsidRPr="001A7D94">
        <w:rPr>
          <w:sz w:val="20"/>
          <w:szCs w:val="20"/>
          <w:vertAlign w:val="superscript"/>
        </w:rPr>
        <w:t>10</w:t>
      </w:r>
      <w:r w:rsidR="008A062D" w:rsidRPr="001A7D94">
        <w:rPr>
          <w:sz w:val="20"/>
          <w:szCs w:val="20"/>
          <w:vertAlign w:val="superscript"/>
        </w:rPr>
        <w:t xml:space="preserve"> </w:t>
      </w:r>
      <w:r w:rsidR="008A062D" w:rsidRPr="001A7D94">
        <w:rPr>
          <w:sz w:val="20"/>
          <w:szCs w:val="20"/>
        </w:rPr>
        <w:t>Η Αφρικανική Επιτροπή είναι ένα οι</w:t>
      </w:r>
      <w:r w:rsidR="002E04E1">
        <w:rPr>
          <w:sz w:val="20"/>
          <w:szCs w:val="20"/>
        </w:rPr>
        <w:t>ω</w:t>
      </w:r>
      <w:r w:rsidR="008A062D" w:rsidRPr="001A7D94">
        <w:rPr>
          <w:sz w:val="20"/>
          <w:szCs w:val="20"/>
        </w:rPr>
        <w:t>νεί δικαστικό όργανο που δύναται να κάνει μόνο συστάσεις, ενώ το Αφρικανικό δικαστήριο καθιστά δεσμευτικές τις αποφάσεις του.</w:t>
      </w:r>
    </w:p>
    <w:p w:rsidR="006D1555" w:rsidRDefault="006D1555" w:rsidP="00597305">
      <w:pPr>
        <w:pStyle w:val="ListParagraph"/>
        <w:numPr>
          <w:ilvl w:val="0"/>
          <w:numId w:val="5"/>
        </w:numPr>
        <w:spacing w:after="0" w:line="240" w:lineRule="auto"/>
        <w:ind w:left="567" w:firstLine="0"/>
        <w:contextualSpacing w:val="0"/>
        <w:jc w:val="both"/>
        <w:rPr>
          <w:sz w:val="24"/>
          <w:szCs w:val="24"/>
        </w:rPr>
      </w:pPr>
      <w:r>
        <w:rPr>
          <w:sz w:val="24"/>
          <w:szCs w:val="24"/>
        </w:rPr>
        <w:lastRenderedPageBreak/>
        <w:t>Η ατομική προσφυγή δεν επιτρέπ</w:t>
      </w:r>
      <w:r w:rsidR="004808D4">
        <w:rPr>
          <w:sz w:val="24"/>
          <w:szCs w:val="24"/>
        </w:rPr>
        <w:t>εται να είναι ανώνυμη. Αποκαλύπτεται η ταυτότητα του</w:t>
      </w:r>
      <w:r>
        <w:rPr>
          <w:sz w:val="24"/>
          <w:szCs w:val="24"/>
        </w:rPr>
        <w:t xml:space="preserve"> αιτούντος </w:t>
      </w:r>
      <w:r w:rsidR="00792346">
        <w:rPr>
          <w:sz w:val="24"/>
          <w:szCs w:val="24"/>
        </w:rPr>
        <w:t xml:space="preserve">ακόμα </w:t>
      </w:r>
      <w:r>
        <w:rPr>
          <w:sz w:val="24"/>
          <w:szCs w:val="24"/>
        </w:rPr>
        <w:t xml:space="preserve">και όταν αυτός </w:t>
      </w:r>
      <w:r w:rsidR="005A2E17">
        <w:rPr>
          <w:sz w:val="24"/>
          <w:szCs w:val="24"/>
        </w:rPr>
        <w:t>είχε</w:t>
      </w:r>
      <w:r w:rsidR="002231CC">
        <w:rPr>
          <w:sz w:val="24"/>
          <w:szCs w:val="24"/>
        </w:rPr>
        <w:t xml:space="preserve"> </w:t>
      </w:r>
      <w:r>
        <w:rPr>
          <w:sz w:val="24"/>
          <w:szCs w:val="24"/>
        </w:rPr>
        <w:t>ζ</w:t>
      </w:r>
      <w:r w:rsidR="002231CC">
        <w:rPr>
          <w:sz w:val="24"/>
          <w:szCs w:val="24"/>
        </w:rPr>
        <w:t>η</w:t>
      </w:r>
      <w:r>
        <w:rPr>
          <w:sz w:val="24"/>
          <w:szCs w:val="24"/>
        </w:rPr>
        <w:t>τ</w:t>
      </w:r>
      <w:r w:rsidR="002231CC">
        <w:rPr>
          <w:sz w:val="24"/>
          <w:szCs w:val="24"/>
        </w:rPr>
        <w:t>ή</w:t>
      </w:r>
      <w:r>
        <w:rPr>
          <w:sz w:val="24"/>
          <w:szCs w:val="24"/>
        </w:rPr>
        <w:t>σε</w:t>
      </w:r>
      <w:r w:rsidR="002231CC">
        <w:rPr>
          <w:sz w:val="24"/>
          <w:szCs w:val="24"/>
        </w:rPr>
        <w:t>ι</w:t>
      </w:r>
      <w:r>
        <w:rPr>
          <w:sz w:val="24"/>
          <w:szCs w:val="24"/>
        </w:rPr>
        <w:t xml:space="preserve"> ανωνυμία.</w:t>
      </w:r>
    </w:p>
    <w:p w:rsidR="00CB7A22" w:rsidRDefault="00CB7A22" w:rsidP="00597305">
      <w:pPr>
        <w:pStyle w:val="ListParagraph"/>
        <w:spacing w:after="0" w:line="240" w:lineRule="auto"/>
        <w:ind w:left="567"/>
        <w:contextualSpacing w:val="0"/>
        <w:jc w:val="both"/>
        <w:rPr>
          <w:sz w:val="24"/>
          <w:szCs w:val="24"/>
        </w:rPr>
      </w:pPr>
    </w:p>
    <w:p w:rsidR="00794A6B" w:rsidRDefault="00792346" w:rsidP="00597305">
      <w:pPr>
        <w:pStyle w:val="ListParagraph"/>
        <w:numPr>
          <w:ilvl w:val="0"/>
          <w:numId w:val="5"/>
        </w:numPr>
        <w:spacing w:after="0" w:line="240" w:lineRule="auto"/>
        <w:ind w:left="567" w:firstLine="0"/>
        <w:contextualSpacing w:val="0"/>
        <w:jc w:val="both"/>
        <w:rPr>
          <w:sz w:val="24"/>
          <w:szCs w:val="24"/>
        </w:rPr>
      </w:pPr>
      <w:r>
        <w:rPr>
          <w:sz w:val="24"/>
          <w:szCs w:val="24"/>
        </w:rPr>
        <w:t>Περαιτέρω απαιτείται τα εσωτερικά ένδικα μέσα να έχουν εξαντληθεί</w:t>
      </w:r>
      <w:r w:rsidR="00794A6B">
        <w:rPr>
          <w:sz w:val="24"/>
          <w:szCs w:val="24"/>
        </w:rPr>
        <w:t>. Εξαίρεση:</w:t>
      </w:r>
    </w:p>
    <w:p w:rsidR="00CB7A22" w:rsidRDefault="00CB7A22" w:rsidP="00597305">
      <w:pPr>
        <w:pStyle w:val="ListParagraph"/>
        <w:spacing w:after="0" w:line="240" w:lineRule="auto"/>
        <w:ind w:left="567"/>
        <w:contextualSpacing w:val="0"/>
        <w:jc w:val="both"/>
        <w:rPr>
          <w:sz w:val="24"/>
          <w:szCs w:val="24"/>
        </w:rPr>
      </w:pPr>
    </w:p>
    <w:p w:rsidR="00794A6B" w:rsidRPr="0056220E" w:rsidRDefault="00794A6B" w:rsidP="00597305">
      <w:pPr>
        <w:pStyle w:val="ListParagraph"/>
        <w:numPr>
          <w:ilvl w:val="0"/>
          <w:numId w:val="8"/>
        </w:numPr>
        <w:spacing w:after="0" w:line="240" w:lineRule="auto"/>
        <w:ind w:left="851" w:firstLine="0"/>
        <w:contextualSpacing w:val="0"/>
        <w:jc w:val="both"/>
        <w:rPr>
          <w:sz w:val="24"/>
          <w:szCs w:val="24"/>
        </w:rPr>
      </w:pPr>
      <w:r w:rsidRPr="0056220E">
        <w:rPr>
          <w:sz w:val="24"/>
          <w:szCs w:val="24"/>
        </w:rPr>
        <w:t xml:space="preserve">Αν δεν υπάρχουν τα εσωτερικά ένδικα μέσα </w:t>
      </w:r>
    </w:p>
    <w:p w:rsidR="00794A6B" w:rsidRDefault="00794A6B" w:rsidP="00597305">
      <w:pPr>
        <w:pStyle w:val="ListParagraph"/>
        <w:numPr>
          <w:ilvl w:val="0"/>
          <w:numId w:val="8"/>
        </w:numPr>
        <w:spacing w:after="0" w:line="240" w:lineRule="auto"/>
        <w:ind w:left="851" w:firstLine="0"/>
        <w:contextualSpacing w:val="0"/>
        <w:jc w:val="both"/>
        <w:rPr>
          <w:sz w:val="24"/>
          <w:szCs w:val="24"/>
        </w:rPr>
      </w:pPr>
      <w:r w:rsidRPr="0056220E">
        <w:rPr>
          <w:sz w:val="24"/>
          <w:szCs w:val="24"/>
        </w:rPr>
        <w:t xml:space="preserve">Όταν υπήρξε αδικαιολόγητη καθυστέρηση </w:t>
      </w:r>
      <w:r w:rsidR="00BE3FAC" w:rsidRPr="0056220E">
        <w:rPr>
          <w:sz w:val="24"/>
          <w:szCs w:val="24"/>
        </w:rPr>
        <w:t>στην έκδοση</w:t>
      </w:r>
      <w:r w:rsidRPr="0056220E">
        <w:rPr>
          <w:sz w:val="24"/>
          <w:szCs w:val="24"/>
        </w:rPr>
        <w:t xml:space="preserve"> οριστικής </w:t>
      </w:r>
      <w:r w:rsidR="00597305" w:rsidRPr="00597305">
        <w:rPr>
          <w:sz w:val="24"/>
          <w:szCs w:val="24"/>
        </w:rPr>
        <w:t xml:space="preserve"> </w:t>
      </w:r>
      <w:r w:rsidRPr="0056220E">
        <w:rPr>
          <w:sz w:val="24"/>
          <w:szCs w:val="24"/>
        </w:rPr>
        <w:t>απόφασης.</w:t>
      </w:r>
    </w:p>
    <w:p w:rsidR="00CB7A22" w:rsidRPr="0056220E" w:rsidRDefault="00CB7A22" w:rsidP="00597305">
      <w:pPr>
        <w:pStyle w:val="ListParagraph"/>
        <w:spacing w:after="0" w:line="240" w:lineRule="auto"/>
        <w:ind w:left="567"/>
        <w:contextualSpacing w:val="0"/>
        <w:jc w:val="both"/>
        <w:rPr>
          <w:sz w:val="24"/>
          <w:szCs w:val="24"/>
        </w:rPr>
      </w:pPr>
    </w:p>
    <w:p w:rsidR="00794A6B" w:rsidRDefault="00393D27" w:rsidP="00597305">
      <w:pPr>
        <w:pStyle w:val="ListParagraph"/>
        <w:numPr>
          <w:ilvl w:val="0"/>
          <w:numId w:val="5"/>
        </w:numPr>
        <w:spacing w:after="0" w:line="240" w:lineRule="auto"/>
        <w:ind w:left="567" w:firstLine="0"/>
        <w:contextualSpacing w:val="0"/>
        <w:jc w:val="both"/>
        <w:rPr>
          <w:sz w:val="24"/>
          <w:szCs w:val="24"/>
        </w:rPr>
      </w:pPr>
      <w:r>
        <w:rPr>
          <w:sz w:val="24"/>
          <w:szCs w:val="24"/>
        </w:rPr>
        <w:t xml:space="preserve">Η </w:t>
      </w:r>
      <w:r w:rsidR="002E4866">
        <w:rPr>
          <w:sz w:val="24"/>
          <w:szCs w:val="24"/>
        </w:rPr>
        <w:t>αίτηση πρέπει να υποβληθεί</w:t>
      </w:r>
      <w:r w:rsidR="00794A6B">
        <w:rPr>
          <w:sz w:val="24"/>
          <w:szCs w:val="24"/>
        </w:rPr>
        <w:t xml:space="preserve"> μέσα σε εύλογο χρονικό διάστημα </w:t>
      </w:r>
      <w:r w:rsidR="00FB4496">
        <w:rPr>
          <w:sz w:val="24"/>
          <w:szCs w:val="24"/>
        </w:rPr>
        <w:t>από την ημερομηνία που τα το</w:t>
      </w:r>
      <w:r w:rsidR="00D816AE">
        <w:rPr>
          <w:sz w:val="24"/>
          <w:szCs w:val="24"/>
        </w:rPr>
        <w:t>πικά ένδικα μέσα εξαντλήθηκαν. Ωστόσο, η</w:t>
      </w:r>
      <w:r w:rsidR="00FB4496">
        <w:rPr>
          <w:sz w:val="24"/>
          <w:szCs w:val="24"/>
        </w:rPr>
        <w:t xml:space="preserve"> Αφρικανική σύμβαση </w:t>
      </w:r>
      <w:r w:rsidR="00D816AE">
        <w:rPr>
          <w:sz w:val="24"/>
          <w:szCs w:val="24"/>
        </w:rPr>
        <w:t>δεν αναφέρει 6 μήνες όπως η Ευρωπαϊκή Σύμβαση</w:t>
      </w:r>
      <w:r w:rsidR="00FB4496">
        <w:rPr>
          <w:sz w:val="24"/>
          <w:szCs w:val="24"/>
        </w:rPr>
        <w:t xml:space="preserve"> ή η </w:t>
      </w:r>
      <w:r w:rsidR="00F75176">
        <w:rPr>
          <w:sz w:val="24"/>
          <w:szCs w:val="24"/>
        </w:rPr>
        <w:t>Διαμερικανική Σ</w:t>
      </w:r>
      <w:r w:rsidR="00D816AE">
        <w:rPr>
          <w:sz w:val="24"/>
          <w:szCs w:val="24"/>
        </w:rPr>
        <w:t xml:space="preserve">ύμβαση αλλά </w:t>
      </w:r>
      <w:r w:rsidR="002A527B">
        <w:rPr>
          <w:sz w:val="24"/>
          <w:szCs w:val="24"/>
        </w:rPr>
        <w:t>«</w:t>
      </w:r>
      <w:r w:rsidR="00D816AE">
        <w:rPr>
          <w:sz w:val="24"/>
          <w:szCs w:val="24"/>
        </w:rPr>
        <w:t>εύλογο χρονικό διάστημα</w:t>
      </w:r>
      <w:r w:rsidR="002A527B">
        <w:rPr>
          <w:sz w:val="24"/>
          <w:szCs w:val="24"/>
        </w:rPr>
        <w:t>»</w:t>
      </w:r>
      <w:r w:rsidR="00D816AE">
        <w:rPr>
          <w:sz w:val="24"/>
          <w:szCs w:val="24"/>
        </w:rPr>
        <w:t>.</w:t>
      </w:r>
    </w:p>
    <w:p w:rsidR="00CB7A22" w:rsidRDefault="00CB7A22" w:rsidP="00597305">
      <w:pPr>
        <w:pStyle w:val="ListParagraph"/>
        <w:spacing w:after="0" w:line="240" w:lineRule="auto"/>
        <w:ind w:left="567"/>
        <w:contextualSpacing w:val="0"/>
        <w:jc w:val="both"/>
        <w:rPr>
          <w:sz w:val="24"/>
          <w:szCs w:val="24"/>
        </w:rPr>
      </w:pPr>
    </w:p>
    <w:p w:rsidR="00FB4496" w:rsidRDefault="00C26798" w:rsidP="00597305">
      <w:pPr>
        <w:pStyle w:val="ListParagraph"/>
        <w:numPr>
          <w:ilvl w:val="0"/>
          <w:numId w:val="5"/>
        </w:numPr>
        <w:spacing w:after="0" w:line="240" w:lineRule="auto"/>
        <w:ind w:left="567" w:firstLine="0"/>
        <w:contextualSpacing w:val="0"/>
        <w:jc w:val="both"/>
        <w:rPr>
          <w:sz w:val="24"/>
          <w:szCs w:val="24"/>
        </w:rPr>
      </w:pPr>
      <w:r>
        <w:rPr>
          <w:sz w:val="24"/>
          <w:szCs w:val="24"/>
        </w:rPr>
        <w:t>Η αίτηση απαιτείται</w:t>
      </w:r>
      <w:r w:rsidR="00FB4496">
        <w:rPr>
          <w:sz w:val="24"/>
          <w:szCs w:val="24"/>
        </w:rPr>
        <w:t xml:space="preserve"> να </w:t>
      </w:r>
      <w:r w:rsidR="00F23CE8">
        <w:rPr>
          <w:sz w:val="24"/>
          <w:szCs w:val="24"/>
        </w:rPr>
        <w:t>μη</w:t>
      </w:r>
      <w:r>
        <w:rPr>
          <w:sz w:val="24"/>
          <w:szCs w:val="24"/>
        </w:rPr>
        <w:t xml:space="preserve"> </w:t>
      </w:r>
      <w:r w:rsidR="00FB4496">
        <w:rPr>
          <w:sz w:val="24"/>
          <w:szCs w:val="24"/>
        </w:rPr>
        <w:t>βασίζεται αποκλειστικά σε ειδήσεις που διαδίδονται μ</w:t>
      </w:r>
      <w:r>
        <w:rPr>
          <w:sz w:val="24"/>
          <w:szCs w:val="24"/>
        </w:rPr>
        <w:t>έσω των μαζικής ενημέρωσης.</w:t>
      </w:r>
    </w:p>
    <w:p w:rsidR="00CB7A22" w:rsidRDefault="00CB7A22" w:rsidP="00597305">
      <w:pPr>
        <w:pStyle w:val="ListParagraph"/>
        <w:spacing w:after="0" w:line="240" w:lineRule="auto"/>
        <w:ind w:left="567"/>
        <w:contextualSpacing w:val="0"/>
        <w:jc w:val="both"/>
        <w:rPr>
          <w:sz w:val="24"/>
          <w:szCs w:val="24"/>
        </w:rPr>
      </w:pPr>
    </w:p>
    <w:p w:rsidR="00FB4496" w:rsidRDefault="005417EB" w:rsidP="00597305">
      <w:pPr>
        <w:pStyle w:val="ListParagraph"/>
        <w:numPr>
          <w:ilvl w:val="0"/>
          <w:numId w:val="5"/>
        </w:numPr>
        <w:spacing w:after="0" w:line="240" w:lineRule="auto"/>
        <w:ind w:left="567" w:firstLine="0"/>
        <w:contextualSpacing w:val="0"/>
        <w:jc w:val="both"/>
        <w:rPr>
          <w:sz w:val="24"/>
          <w:szCs w:val="24"/>
        </w:rPr>
      </w:pPr>
      <w:r>
        <w:rPr>
          <w:sz w:val="24"/>
          <w:szCs w:val="24"/>
        </w:rPr>
        <w:t>Τέλος, τ</w:t>
      </w:r>
      <w:r w:rsidR="00FB4496">
        <w:rPr>
          <w:sz w:val="24"/>
          <w:szCs w:val="24"/>
        </w:rPr>
        <w:t>ο στυλ γραφής της αί</w:t>
      </w:r>
      <w:r w:rsidR="00C26798">
        <w:rPr>
          <w:sz w:val="24"/>
          <w:szCs w:val="24"/>
        </w:rPr>
        <w:t>τησης που χρησιμοποιείται δεν επιτρέπεται να</w:t>
      </w:r>
      <w:r w:rsidR="00FB4496">
        <w:rPr>
          <w:sz w:val="24"/>
          <w:szCs w:val="24"/>
        </w:rPr>
        <w:t xml:space="preserve"> είναι </w:t>
      </w:r>
      <w:r w:rsidR="00DF2434">
        <w:rPr>
          <w:sz w:val="24"/>
          <w:szCs w:val="24"/>
        </w:rPr>
        <w:t xml:space="preserve">σε δυσφημιστική και </w:t>
      </w:r>
      <w:r w:rsidR="00C26798">
        <w:rPr>
          <w:sz w:val="24"/>
          <w:szCs w:val="24"/>
        </w:rPr>
        <w:t xml:space="preserve">υβριστική γλώσσα. </w:t>
      </w:r>
      <w:r w:rsidR="008E6263">
        <w:rPr>
          <w:sz w:val="24"/>
          <w:szCs w:val="24"/>
        </w:rPr>
        <w:t xml:space="preserve">Οι </w:t>
      </w:r>
      <w:r w:rsidR="009F22C0">
        <w:rPr>
          <w:sz w:val="24"/>
          <w:szCs w:val="24"/>
        </w:rPr>
        <w:t>δύο</w:t>
      </w:r>
      <w:r w:rsidR="00883017">
        <w:rPr>
          <w:sz w:val="24"/>
          <w:szCs w:val="24"/>
        </w:rPr>
        <w:t xml:space="preserve"> τελευταίες προϋποθέσεις </w:t>
      </w:r>
      <w:r w:rsidR="00502E9C">
        <w:rPr>
          <w:sz w:val="24"/>
          <w:szCs w:val="24"/>
        </w:rPr>
        <w:t xml:space="preserve">παραδεκτού </w:t>
      </w:r>
      <w:r w:rsidR="00883017">
        <w:rPr>
          <w:sz w:val="24"/>
          <w:szCs w:val="24"/>
        </w:rPr>
        <w:t>δεν υπάρχουν ούτε στο Ευρωπαϊκο ούτε στο Διαμερικανικό δικαστήριο.</w:t>
      </w:r>
    </w:p>
    <w:p w:rsidR="003864A2" w:rsidRDefault="003864A2" w:rsidP="00463803">
      <w:pPr>
        <w:spacing w:after="0" w:line="240" w:lineRule="auto"/>
        <w:rPr>
          <w:sz w:val="24"/>
          <w:szCs w:val="24"/>
        </w:rPr>
      </w:pPr>
      <w:r>
        <w:rPr>
          <w:sz w:val="24"/>
          <w:szCs w:val="24"/>
        </w:rPr>
        <w:br w:type="page"/>
      </w:r>
    </w:p>
    <w:p w:rsidR="00742182" w:rsidRPr="00CB7A22" w:rsidRDefault="00543A6C" w:rsidP="00597305">
      <w:pPr>
        <w:pStyle w:val="Heading2"/>
        <w:numPr>
          <w:ilvl w:val="0"/>
          <w:numId w:val="42"/>
        </w:numPr>
        <w:spacing w:before="0" w:line="240" w:lineRule="auto"/>
        <w:ind w:left="0" w:firstLine="0"/>
        <w:rPr>
          <w:b/>
          <w:color w:val="auto"/>
          <w:sz w:val="24"/>
        </w:rPr>
      </w:pPr>
      <w:bookmarkStart w:id="41" w:name="_Toc419545182"/>
      <w:r w:rsidRPr="00CB7A22">
        <w:rPr>
          <w:b/>
          <w:color w:val="auto"/>
          <w:sz w:val="24"/>
        </w:rPr>
        <w:lastRenderedPageBreak/>
        <w:t>Southeast Asian Court οf Human Rights (Δικαστήριο Νοτιοανατολικής Ασίας Ανθρωπίνων Δικαιωμάτων):</w:t>
      </w:r>
      <w:bookmarkEnd w:id="41"/>
    </w:p>
    <w:p w:rsidR="00CB7A22" w:rsidRPr="00CB7A22" w:rsidRDefault="00CB7A22" w:rsidP="00CB7A22">
      <w:pPr>
        <w:spacing w:after="0" w:line="240" w:lineRule="auto"/>
      </w:pPr>
    </w:p>
    <w:p w:rsidR="00CB7A22" w:rsidRDefault="00CE59D1" w:rsidP="00463803">
      <w:pPr>
        <w:spacing w:after="0" w:line="240" w:lineRule="auto"/>
        <w:jc w:val="both"/>
        <w:rPr>
          <w:sz w:val="24"/>
          <w:szCs w:val="24"/>
        </w:rPr>
      </w:pPr>
      <w:r>
        <w:rPr>
          <w:sz w:val="24"/>
          <w:szCs w:val="24"/>
        </w:rPr>
        <w:t>Δ</w:t>
      </w:r>
      <w:r w:rsidR="00F04068" w:rsidRPr="00F04068">
        <w:rPr>
          <w:sz w:val="24"/>
          <w:szCs w:val="24"/>
        </w:rPr>
        <w:t>ικαστήριο Νοτιοανατολικής</w:t>
      </w:r>
      <w:r w:rsidR="00F04068">
        <w:rPr>
          <w:sz w:val="24"/>
          <w:szCs w:val="24"/>
        </w:rPr>
        <w:t xml:space="preserve"> Ασίας Ανθρωπίνων Δικαιωμάτων δεν υπάρχει.</w:t>
      </w:r>
      <w:r w:rsidR="00F04068" w:rsidRPr="00F04068">
        <w:rPr>
          <w:sz w:val="24"/>
          <w:szCs w:val="24"/>
        </w:rPr>
        <w:t xml:space="preserve"> </w:t>
      </w:r>
      <w:r w:rsidR="0080522F">
        <w:rPr>
          <w:sz w:val="24"/>
          <w:szCs w:val="24"/>
        </w:rPr>
        <w:t>Βρίσκονται</w:t>
      </w:r>
      <w:r w:rsidR="00F04068">
        <w:rPr>
          <w:sz w:val="24"/>
          <w:szCs w:val="24"/>
        </w:rPr>
        <w:t xml:space="preserve">, ωστόσο, </w:t>
      </w:r>
      <w:r w:rsidR="0080522F">
        <w:rPr>
          <w:sz w:val="24"/>
          <w:szCs w:val="24"/>
        </w:rPr>
        <w:t>σε εξέλιξη δι</w:t>
      </w:r>
      <w:r w:rsidR="007478AA">
        <w:rPr>
          <w:sz w:val="24"/>
          <w:szCs w:val="24"/>
        </w:rPr>
        <w:t>α</w:t>
      </w:r>
      <w:r w:rsidR="0080522F">
        <w:rPr>
          <w:sz w:val="24"/>
          <w:szCs w:val="24"/>
        </w:rPr>
        <w:t xml:space="preserve">πραγματεύσεις </w:t>
      </w:r>
      <w:r w:rsidR="00F04068">
        <w:rPr>
          <w:sz w:val="24"/>
          <w:szCs w:val="24"/>
        </w:rPr>
        <w:t>για τη δημιουργία του</w:t>
      </w:r>
      <w:r w:rsidR="00340610">
        <w:rPr>
          <w:sz w:val="24"/>
          <w:szCs w:val="24"/>
        </w:rPr>
        <w:t xml:space="preserve"> και αυτό ακριβώς είναι το αντικείμενο εξέτασης του συγκεκριμένου κεφαλαίου</w:t>
      </w:r>
      <w:r w:rsidR="00F04068">
        <w:rPr>
          <w:sz w:val="24"/>
          <w:szCs w:val="24"/>
        </w:rPr>
        <w:t>.</w:t>
      </w:r>
      <w:r w:rsidR="00340610">
        <w:rPr>
          <w:b/>
          <w:sz w:val="24"/>
          <w:szCs w:val="24"/>
        </w:rPr>
        <w:t xml:space="preserve"> </w:t>
      </w:r>
      <w:r w:rsidR="00966C22">
        <w:rPr>
          <w:sz w:val="24"/>
          <w:szCs w:val="24"/>
        </w:rPr>
        <w:t>Η δημιουργία Ασιατικού Δικαστηρίου Α</w:t>
      </w:r>
      <w:r w:rsidR="009E3E72">
        <w:rPr>
          <w:sz w:val="24"/>
          <w:szCs w:val="24"/>
        </w:rPr>
        <w:t>νθρωπίνων Δικαιωμάτων στην Νότια</w:t>
      </w:r>
      <w:r w:rsidR="00966C22">
        <w:rPr>
          <w:sz w:val="24"/>
          <w:szCs w:val="24"/>
        </w:rPr>
        <w:t xml:space="preserve"> Ανατολή. </w:t>
      </w:r>
      <w:r w:rsidR="00C87EB0">
        <w:rPr>
          <w:sz w:val="24"/>
          <w:szCs w:val="24"/>
        </w:rPr>
        <w:t>Την δεδομένη χρονική στιγμή, υ</w:t>
      </w:r>
      <w:r w:rsidR="00C479DC" w:rsidRPr="00F04068">
        <w:rPr>
          <w:sz w:val="24"/>
          <w:szCs w:val="24"/>
        </w:rPr>
        <w:t xml:space="preserve">πάρχει η </w:t>
      </w:r>
      <w:r w:rsidR="00C87EB0">
        <w:rPr>
          <w:sz w:val="24"/>
          <w:szCs w:val="24"/>
          <w:lang w:val="en-US"/>
        </w:rPr>
        <w:t>Asian</w:t>
      </w:r>
      <w:r w:rsidR="00C479DC" w:rsidRPr="00C87EB0">
        <w:rPr>
          <w:sz w:val="24"/>
          <w:szCs w:val="24"/>
        </w:rPr>
        <w:t xml:space="preserve"> </w:t>
      </w:r>
      <w:r w:rsidR="00C87EB0">
        <w:rPr>
          <w:sz w:val="24"/>
          <w:szCs w:val="24"/>
          <w:lang w:val="en-US"/>
        </w:rPr>
        <w:t>Intergovernmental</w:t>
      </w:r>
      <w:r w:rsidR="00C479DC" w:rsidRPr="00C87EB0">
        <w:rPr>
          <w:sz w:val="24"/>
          <w:szCs w:val="24"/>
        </w:rPr>
        <w:t xml:space="preserve"> </w:t>
      </w:r>
      <w:r w:rsidR="00C87EB0">
        <w:rPr>
          <w:sz w:val="24"/>
          <w:szCs w:val="24"/>
          <w:lang w:val="en-US"/>
        </w:rPr>
        <w:t>Commission</w:t>
      </w:r>
      <w:r w:rsidR="00C479DC" w:rsidRPr="00C87EB0">
        <w:rPr>
          <w:sz w:val="24"/>
          <w:szCs w:val="24"/>
        </w:rPr>
        <w:t xml:space="preserve"> </w:t>
      </w:r>
      <w:r w:rsidR="00C87EB0">
        <w:rPr>
          <w:sz w:val="24"/>
          <w:szCs w:val="24"/>
          <w:lang w:val="en-US"/>
        </w:rPr>
        <w:t>On</w:t>
      </w:r>
      <w:r w:rsidR="00C479DC" w:rsidRPr="00C87EB0">
        <w:rPr>
          <w:sz w:val="24"/>
          <w:szCs w:val="24"/>
        </w:rPr>
        <w:t xml:space="preserve"> </w:t>
      </w:r>
      <w:r w:rsidR="00C87EB0">
        <w:rPr>
          <w:sz w:val="24"/>
          <w:szCs w:val="24"/>
          <w:lang w:val="en-US"/>
        </w:rPr>
        <w:t>Human</w:t>
      </w:r>
      <w:r w:rsidR="00C479DC" w:rsidRPr="00C87EB0">
        <w:rPr>
          <w:sz w:val="24"/>
          <w:szCs w:val="24"/>
        </w:rPr>
        <w:t xml:space="preserve"> </w:t>
      </w:r>
      <w:r w:rsidR="00C479DC" w:rsidRPr="00C87EB0">
        <w:rPr>
          <w:sz w:val="24"/>
          <w:szCs w:val="24"/>
          <w:lang w:val="en-US"/>
        </w:rPr>
        <w:t>R</w:t>
      </w:r>
      <w:r w:rsidR="00C87EB0">
        <w:rPr>
          <w:sz w:val="24"/>
          <w:szCs w:val="24"/>
          <w:lang w:val="en-US"/>
        </w:rPr>
        <w:t>ights</w:t>
      </w:r>
      <w:r w:rsidR="00C479DC" w:rsidRPr="00F04068">
        <w:rPr>
          <w:b/>
          <w:sz w:val="24"/>
          <w:szCs w:val="24"/>
        </w:rPr>
        <w:t xml:space="preserve"> </w:t>
      </w:r>
      <w:r w:rsidR="00C479DC" w:rsidRPr="00F04068">
        <w:rPr>
          <w:sz w:val="24"/>
          <w:szCs w:val="24"/>
        </w:rPr>
        <w:t>(</w:t>
      </w:r>
      <w:r w:rsidR="00627F5D">
        <w:rPr>
          <w:sz w:val="24"/>
          <w:szCs w:val="24"/>
        </w:rPr>
        <w:t>Ασιατική Διακυβερνητική Επιτροπή Ανθρωπίνων Δικαιωμάτων</w:t>
      </w:r>
      <w:r w:rsidR="00C479DC" w:rsidRPr="00F04068">
        <w:rPr>
          <w:sz w:val="24"/>
          <w:szCs w:val="24"/>
        </w:rPr>
        <w:t>), η οποία είναι ένας μηχανισμός  μη νομικά δεσμευτικός</w:t>
      </w:r>
      <w:r w:rsidR="00DE0E66">
        <w:rPr>
          <w:sz w:val="24"/>
          <w:szCs w:val="24"/>
        </w:rPr>
        <w:t>.</w:t>
      </w:r>
      <w:r w:rsidR="00247F70" w:rsidRPr="00F04068">
        <w:rPr>
          <w:sz w:val="24"/>
          <w:szCs w:val="24"/>
        </w:rPr>
        <w:t xml:space="preserve"> </w:t>
      </w:r>
      <w:r w:rsidR="00457EA2">
        <w:rPr>
          <w:sz w:val="24"/>
          <w:szCs w:val="24"/>
        </w:rPr>
        <w:t>Είναι περισσότερο συμβουλευτικός ο ρόλος της</w:t>
      </w:r>
      <w:r w:rsidR="00DE0E66">
        <w:rPr>
          <w:sz w:val="24"/>
          <w:szCs w:val="24"/>
        </w:rPr>
        <w:t>, παρά σχέδια συγκεκριμένων μέτρων που πρέπει να ληφθούν για την προστασία των ανθρωπίνων δικαιωμάτων</w:t>
      </w:r>
      <w:r w:rsidR="00247F70" w:rsidRPr="00F04068">
        <w:rPr>
          <w:sz w:val="24"/>
          <w:szCs w:val="24"/>
        </w:rPr>
        <w:t xml:space="preserve">. </w:t>
      </w:r>
      <w:r w:rsidR="00457EA2">
        <w:rPr>
          <w:sz w:val="24"/>
          <w:szCs w:val="24"/>
        </w:rPr>
        <w:t>Το πρόβλημα είναι ότι οι συμβουλευτικές γνώμες</w:t>
      </w:r>
      <w:r w:rsidR="00247F70" w:rsidRPr="00F04068">
        <w:rPr>
          <w:sz w:val="24"/>
          <w:szCs w:val="24"/>
        </w:rPr>
        <w:t xml:space="preserve">  δε δημιουργούν νομικές</w:t>
      </w:r>
      <w:r w:rsidR="00C3095A">
        <w:rPr>
          <w:sz w:val="24"/>
          <w:szCs w:val="24"/>
        </w:rPr>
        <w:t xml:space="preserve"> υποχρεώσ</w:t>
      </w:r>
      <w:r w:rsidR="00726BA9">
        <w:rPr>
          <w:sz w:val="24"/>
          <w:szCs w:val="24"/>
        </w:rPr>
        <w:t>εις για τα κράτη μέλη. Γ</w:t>
      </w:r>
      <w:r w:rsidR="00182CEF">
        <w:rPr>
          <w:sz w:val="24"/>
          <w:szCs w:val="24"/>
        </w:rPr>
        <w:t>ι</w:t>
      </w:r>
      <w:r w:rsidR="00E06085" w:rsidRPr="00E06085">
        <w:rPr>
          <w:sz w:val="24"/>
          <w:szCs w:val="24"/>
        </w:rPr>
        <w:t>’</w:t>
      </w:r>
      <w:r w:rsidR="00182CEF">
        <w:rPr>
          <w:sz w:val="24"/>
          <w:szCs w:val="24"/>
        </w:rPr>
        <w:t xml:space="preserve"> αυτό και φαίνεται αναγκαία η υπάρξη</w:t>
      </w:r>
      <w:r w:rsidR="00247F70" w:rsidRPr="00F04068">
        <w:rPr>
          <w:sz w:val="24"/>
          <w:szCs w:val="24"/>
        </w:rPr>
        <w:t xml:space="preserve"> μια</w:t>
      </w:r>
      <w:r w:rsidR="00182CEF">
        <w:rPr>
          <w:sz w:val="24"/>
          <w:szCs w:val="24"/>
        </w:rPr>
        <w:t>ς</w:t>
      </w:r>
      <w:r w:rsidR="00247F70" w:rsidRPr="00F04068">
        <w:rPr>
          <w:sz w:val="24"/>
          <w:szCs w:val="24"/>
        </w:rPr>
        <w:t xml:space="preserve"> ιδρυτική</w:t>
      </w:r>
      <w:r w:rsidR="00182CEF">
        <w:rPr>
          <w:sz w:val="24"/>
          <w:szCs w:val="24"/>
        </w:rPr>
        <w:t>ς</w:t>
      </w:r>
      <w:r w:rsidR="00247F70" w:rsidRPr="00F04068">
        <w:rPr>
          <w:sz w:val="24"/>
          <w:szCs w:val="24"/>
        </w:rPr>
        <w:t xml:space="preserve"> συνθήκη</w:t>
      </w:r>
      <w:r w:rsidR="00182CEF">
        <w:rPr>
          <w:sz w:val="24"/>
          <w:szCs w:val="24"/>
        </w:rPr>
        <w:t xml:space="preserve">ς με δεσμευτική ισχύ που </w:t>
      </w:r>
      <w:r w:rsidR="00247F70" w:rsidRPr="00F04068">
        <w:rPr>
          <w:sz w:val="24"/>
          <w:szCs w:val="24"/>
        </w:rPr>
        <w:t>να εκτελείται από όλα τα μέρη.</w:t>
      </w:r>
    </w:p>
    <w:p w:rsidR="00CB7A22" w:rsidRPr="00CB7A22" w:rsidRDefault="00CB7A22" w:rsidP="00463803">
      <w:pPr>
        <w:spacing w:after="0" w:line="240" w:lineRule="auto"/>
        <w:jc w:val="both"/>
        <w:rPr>
          <w:sz w:val="24"/>
          <w:szCs w:val="24"/>
        </w:rPr>
      </w:pPr>
    </w:p>
    <w:p w:rsidR="007F7A4C" w:rsidRDefault="00247F70" w:rsidP="00463803">
      <w:pPr>
        <w:spacing w:after="0" w:line="240" w:lineRule="auto"/>
        <w:jc w:val="both"/>
        <w:rPr>
          <w:sz w:val="24"/>
          <w:szCs w:val="24"/>
        </w:rPr>
      </w:pPr>
      <w:r w:rsidRPr="00F04068">
        <w:rPr>
          <w:sz w:val="24"/>
          <w:szCs w:val="24"/>
        </w:rPr>
        <w:t>Κατά την 13</w:t>
      </w:r>
      <w:r w:rsidRPr="00F04068">
        <w:rPr>
          <w:sz w:val="24"/>
          <w:szCs w:val="24"/>
          <w:vertAlign w:val="superscript"/>
        </w:rPr>
        <w:t>η</w:t>
      </w:r>
      <w:r w:rsidRPr="00F04068">
        <w:rPr>
          <w:sz w:val="24"/>
          <w:szCs w:val="24"/>
        </w:rPr>
        <w:t xml:space="preserve"> σύνοδο κορυφής  της Ασίας τον Νοέμβριο του 2007 στην Σιγκαπούρη</w:t>
      </w:r>
      <w:r w:rsidR="00AD7814">
        <w:rPr>
          <w:sz w:val="24"/>
          <w:szCs w:val="24"/>
        </w:rPr>
        <w:t>,</w:t>
      </w:r>
      <w:r w:rsidRPr="00F04068">
        <w:rPr>
          <w:sz w:val="24"/>
          <w:szCs w:val="24"/>
        </w:rPr>
        <w:t xml:space="preserve"> οι ηγέτες της Ασίας συμφώνησαν να υιοθετήσουν το κα</w:t>
      </w:r>
      <w:r w:rsidR="009F6079">
        <w:rPr>
          <w:sz w:val="24"/>
          <w:szCs w:val="24"/>
        </w:rPr>
        <w:t>τα</w:t>
      </w:r>
      <w:r w:rsidRPr="00F04068">
        <w:rPr>
          <w:sz w:val="24"/>
          <w:szCs w:val="24"/>
        </w:rPr>
        <w:t>στατικό του συν</w:t>
      </w:r>
      <w:r w:rsidR="00AD7814">
        <w:rPr>
          <w:sz w:val="24"/>
          <w:szCs w:val="24"/>
        </w:rPr>
        <w:t xml:space="preserve">εταιρισμού της νοτιοανατολικής </w:t>
      </w:r>
      <w:r w:rsidRPr="00F04068">
        <w:rPr>
          <w:sz w:val="24"/>
          <w:szCs w:val="24"/>
        </w:rPr>
        <w:t>Ασίας</w:t>
      </w:r>
      <w:r w:rsidR="00AD7814">
        <w:rPr>
          <w:sz w:val="24"/>
          <w:szCs w:val="24"/>
        </w:rPr>
        <w:t>,</w:t>
      </w:r>
      <w:r w:rsidRPr="00F04068">
        <w:rPr>
          <w:sz w:val="24"/>
          <w:szCs w:val="24"/>
        </w:rPr>
        <w:t xml:space="preserve"> συμπεριλαμβανομένου ενός άρθρου  που υπαγορεύει την  δημιουργία ενός φορέα στην Ασία για </w:t>
      </w:r>
      <w:r w:rsidR="00D67541" w:rsidRPr="00F04068">
        <w:rPr>
          <w:sz w:val="24"/>
          <w:szCs w:val="24"/>
        </w:rPr>
        <w:t>τα ανθρώπινα δικαιώματα</w:t>
      </w:r>
      <w:r w:rsidR="007D05BB">
        <w:rPr>
          <w:sz w:val="24"/>
          <w:szCs w:val="24"/>
        </w:rPr>
        <w:t xml:space="preserve">. </w:t>
      </w:r>
      <w:r w:rsidR="007F7A4C" w:rsidRPr="00F04068">
        <w:rPr>
          <w:sz w:val="24"/>
          <w:szCs w:val="24"/>
        </w:rPr>
        <w:t xml:space="preserve">Πιο δεκτικές στην προοπτική ενός ισχυρού μηχανισμού για τα ανθρώπινα δικαιώματα </w:t>
      </w:r>
      <w:r w:rsidR="00113073" w:rsidRPr="00F04068">
        <w:rPr>
          <w:sz w:val="24"/>
          <w:szCs w:val="24"/>
        </w:rPr>
        <w:t>είναι οι Φιλιππίνες, η Ινδονησία, η Ταϊλάνδη και η Μαλαισία</w:t>
      </w:r>
      <w:r w:rsidR="003864A2" w:rsidRPr="003864A2">
        <w:rPr>
          <w:sz w:val="24"/>
          <w:szCs w:val="24"/>
          <w:vertAlign w:val="superscript"/>
        </w:rPr>
        <w:t>11</w:t>
      </w:r>
      <w:r w:rsidR="000F7838">
        <w:rPr>
          <w:sz w:val="24"/>
          <w:szCs w:val="24"/>
        </w:rPr>
        <w:t xml:space="preserve">, οι οποίες </w:t>
      </w:r>
      <w:r w:rsidR="004572FB">
        <w:rPr>
          <w:sz w:val="24"/>
          <w:szCs w:val="24"/>
        </w:rPr>
        <w:t>επιχειρούν να επανεξετάσουν τους παραδοσιακούς κανόνες και συζητούν ακόμα</w:t>
      </w:r>
      <w:r w:rsidR="00B27028">
        <w:rPr>
          <w:sz w:val="24"/>
          <w:szCs w:val="24"/>
        </w:rPr>
        <w:t xml:space="preserve"> και για αλλαγές τους</w:t>
      </w:r>
      <w:r w:rsidR="004572FB">
        <w:rPr>
          <w:sz w:val="24"/>
          <w:szCs w:val="24"/>
        </w:rPr>
        <w:t xml:space="preserve">. Χαρακτηριστικό είναι ότι μέλη του κογκρέσου των 4 αυτών χωρών πιέζουν </w:t>
      </w:r>
      <w:r w:rsidR="00671FCD">
        <w:rPr>
          <w:sz w:val="24"/>
          <w:szCs w:val="24"/>
        </w:rPr>
        <w:t xml:space="preserve">για αλλαγές στα ανθρώπινα δικαιώματα. </w:t>
      </w:r>
      <w:r w:rsidR="008C2BBA">
        <w:rPr>
          <w:sz w:val="24"/>
          <w:szCs w:val="24"/>
        </w:rPr>
        <w:t>Αντίθετα, το Βιετνάμ, το Λάος και η Καμπότζη δεν είναι τόσο δεκτικές στην μεταβο</w:t>
      </w:r>
      <w:r w:rsidR="00021A66">
        <w:rPr>
          <w:sz w:val="24"/>
          <w:szCs w:val="24"/>
        </w:rPr>
        <w:t>λ</w:t>
      </w:r>
      <w:r w:rsidR="008C2BBA">
        <w:rPr>
          <w:sz w:val="24"/>
          <w:szCs w:val="24"/>
        </w:rPr>
        <w:t xml:space="preserve">ή των κανόνων αλλά προσπαθούν να διατηρήσουν το </w:t>
      </w:r>
      <w:r w:rsidR="008C2BBA" w:rsidRPr="008C2BBA">
        <w:rPr>
          <w:sz w:val="24"/>
          <w:szCs w:val="24"/>
        </w:rPr>
        <w:t>‘’</w:t>
      </w:r>
      <w:r w:rsidR="008C2BBA">
        <w:rPr>
          <w:sz w:val="24"/>
          <w:szCs w:val="24"/>
          <w:lang w:val="en-US"/>
        </w:rPr>
        <w:t>status</w:t>
      </w:r>
      <w:r w:rsidR="008C2BBA" w:rsidRPr="008C2BBA">
        <w:rPr>
          <w:sz w:val="24"/>
          <w:szCs w:val="24"/>
        </w:rPr>
        <w:t xml:space="preserve"> </w:t>
      </w:r>
      <w:r w:rsidR="008C2BBA">
        <w:rPr>
          <w:sz w:val="24"/>
          <w:szCs w:val="24"/>
          <w:lang w:val="en-US"/>
        </w:rPr>
        <w:t>quo</w:t>
      </w:r>
      <w:r w:rsidR="008C2BBA" w:rsidRPr="008C2BBA">
        <w:rPr>
          <w:sz w:val="24"/>
          <w:szCs w:val="24"/>
        </w:rPr>
        <w:t>’’</w:t>
      </w:r>
      <w:r w:rsidR="003864A2">
        <w:rPr>
          <w:sz w:val="24"/>
          <w:szCs w:val="24"/>
        </w:rPr>
        <w:t xml:space="preserve">. </w:t>
      </w:r>
      <w:r w:rsidR="00FE12B4">
        <w:rPr>
          <w:sz w:val="24"/>
          <w:szCs w:val="24"/>
        </w:rPr>
        <w:t>Αυτοί οι διαφορετικοί πολιτικοί προσανατολισμοί μπορούν να έχουν αρνητικό αντίκτυπο στην προοπτική για την έγκριση της δημιουργίας ενός περιφερειακού οργάνου για τα ανθρώπινα δικαιώματα.</w:t>
      </w:r>
    </w:p>
    <w:p w:rsidR="00CB7A22" w:rsidRPr="00FE12B4" w:rsidRDefault="00CB7A22" w:rsidP="00463803">
      <w:pPr>
        <w:spacing w:after="0" w:line="240" w:lineRule="auto"/>
        <w:jc w:val="both"/>
        <w:rPr>
          <w:sz w:val="24"/>
          <w:szCs w:val="24"/>
        </w:rPr>
      </w:pPr>
    </w:p>
    <w:p w:rsidR="00CB7A22" w:rsidRDefault="00892AFF" w:rsidP="00CB7A22">
      <w:pPr>
        <w:spacing w:after="0" w:line="240" w:lineRule="auto"/>
        <w:jc w:val="both"/>
        <w:rPr>
          <w:sz w:val="24"/>
          <w:szCs w:val="24"/>
        </w:rPr>
      </w:pPr>
      <w:r>
        <w:rPr>
          <w:sz w:val="24"/>
          <w:szCs w:val="24"/>
        </w:rPr>
        <w:t>Ανεξαρτήτως, των διαφορετικών πολιτικών προσανατολισμών που υπάρχουν την δεδομένη χρονική στιγμή</w:t>
      </w:r>
      <w:r w:rsidR="00C55CC8">
        <w:rPr>
          <w:sz w:val="24"/>
          <w:szCs w:val="24"/>
        </w:rPr>
        <w:t>,</w:t>
      </w:r>
      <w:r>
        <w:rPr>
          <w:sz w:val="24"/>
          <w:szCs w:val="24"/>
        </w:rPr>
        <w:t xml:space="preserve"> αυτό που αποτελεί μείζον θέμα είναι πώς θα δημιουργηθεί ένα Ασιατικό Δικαστήριο και κυρίως με ποιά δομή. </w:t>
      </w:r>
      <w:r w:rsidR="00E84D83">
        <w:rPr>
          <w:sz w:val="24"/>
          <w:szCs w:val="24"/>
        </w:rPr>
        <w:t>Προκειμένου, λοιπόν, γ</w:t>
      </w:r>
      <w:r w:rsidR="00BC3921">
        <w:rPr>
          <w:sz w:val="24"/>
          <w:szCs w:val="24"/>
        </w:rPr>
        <w:t>ια την δημιουργία ενός</w:t>
      </w:r>
      <w:r w:rsidR="00E84D83">
        <w:rPr>
          <w:sz w:val="24"/>
          <w:szCs w:val="24"/>
        </w:rPr>
        <w:t xml:space="preserve"> Ασιατικού δικαστηρίου </w:t>
      </w:r>
      <w:r w:rsidR="00BC3921">
        <w:rPr>
          <w:sz w:val="24"/>
          <w:szCs w:val="24"/>
        </w:rPr>
        <w:t xml:space="preserve">ανθρωπίνων δικαιωμάτων </w:t>
      </w:r>
      <w:r w:rsidR="00E84D83">
        <w:rPr>
          <w:sz w:val="24"/>
          <w:szCs w:val="24"/>
        </w:rPr>
        <w:t xml:space="preserve">χρήσιμες είναι οι εμπειρίες που μπορούν να προσφέρουν τα 3 περιφερειακά δικαστήρια </w:t>
      </w:r>
      <w:r w:rsidR="00C03335">
        <w:rPr>
          <w:sz w:val="24"/>
          <w:szCs w:val="24"/>
        </w:rPr>
        <w:t xml:space="preserve">προστασίας </w:t>
      </w:r>
      <w:r w:rsidR="00E84D83">
        <w:rPr>
          <w:sz w:val="24"/>
          <w:szCs w:val="24"/>
        </w:rPr>
        <w:t>ανθρωπίνων δικαιωμάτων στην Ευρώ</w:t>
      </w:r>
      <w:r w:rsidR="00CB7A22">
        <w:rPr>
          <w:sz w:val="24"/>
          <w:szCs w:val="24"/>
        </w:rPr>
        <w:t>πη, την Αμερική και την Αφρική.</w:t>
      </w:r>
      <w:r w:rsidR="00C03335">
        <w:rPr>
          <w:sz w:val="24"/>
          <w:szCs w:val="24"/>
        </w:rPr>
        <w:t xml:space="preserve"> </w:t>
      </w:r>
      <w:r w:rsidR="00CB7A22">
        <w:rPr>
          <w:sz w:val="24"/>
          <w:szCs w:val="24"/>
        </w:rPr>
        <w:t>Μια σ</w:t>
      </w:r>
      <w:r w:rsidR="00CB7A22" w:rsidRPr="00F04068">
        <w:rPr>
          <w:sz w:val="24"/>
          <w:szCs w:val="24"/>
        </w:rPr>
        <w:t xml:space="preserve">τάθμιση </w:t>
      </w:r>
      <w:r w:rsidR="00CB7A22">
        <w:rPr>
          <w:sz w:val="24"/>
          <w:szCs w:val="24"/>
        </w:rPr>
        <w:t xml:space="preserve">των </w:t>
      </w:r>
      <w:r w:rsidR="00CB7A22" w:rsidRPr="00F04068">
        <w:rPr>
          <w:sz w:val="24"/>
          <w:szCs w:val="24"/>
        </w:rPr>
        <w:t>πλ</w:t>
      </w:r>
      <w:r w:rsidR="00CB7A22">
        <w:rPr>
          <w:sz w:val="24"/>
          <w:szCs w:val="24"/>
        </w:rPr>
        <w:t>ε</w:t>
      </w:r>
      <w:r w:rsidR="00CB7A22" w:rsidRPr="00F04068">
        <w:rPr>
          <w:sz w:val="24"/>
          <w:szCs w:val="24"/>
        </w:rPr>
        <w:t xml:space="preserve">ονεκτημάτων και </w:t>
      </w:r>
      <w:r w:rsidR="00CB7A22">
        <w:rPr>
          <w:sz w:val="24"/>
          <w:szCs w:val="24"/>
        </w:rPr>
        <w:t xml:space="preserve">των </w:t>
      </w:r>
      <w:r w:rsidR="00CB7A22" w:rsidRPr="00F04068">
        <w:rPr>
          <w:sz w:val="24"/>
          <w:szCs w:val="24"/>
        </w:rPr>
        <w:t xml:space="preserve">μειονεκτημάτων στα βασικά θεσμικά χαρακτηριστικά των 3 </w:t>
      </w:r>
      <w:r w:rsidR="00CB7A22">
        <w:rPr>
          <w:sz w:val="24"/>
          <w:szCs w:val="24"/>
        </w:rPr>
        <w:t xml:space="preserve">αυτών </w:t>
      </w:r>
      <w:r w:rsidR="00CB7A22" w:rsidRPr="00F04068">
        <w:rPr>
          <w:sz w:val="24"/>
          <w:szCs w:val="24"/>
        </w:rPr>
        <w:t>δικασ</w:t>
      </w:r>
      <w:r w:rsidR="00CB7A22">
        <w:rPr>
          <w:sz w:val="24"/>
          <w:szCs w:val="24"/>
        </w:rPr>
        <w:t>τηρίων  θα ήταν ωφέλιμη για την δημιουργία ενός μοντέλου</w:t>
      </w:r>
      <w:r w:rsidR="00CB7A22" w:rsidRPr="00F04068">
        <w:rPr>
          <w:sz w:val="24"/>
          <w:szCs w:val="24"/>
        </w:rPr>
        <w:t xml:space="preserve"> στην Νοτιοανατολική Ασία που να έχει βέλτιστο θεσμικό σχεδιασμό.</w:t>
      </w:r>
    </w:p>
    <w:p w:rsidR="00CB7A22" w:rsidRDefault="00CB7A22" w:rsidP="00463803">
      <w:pPr>
        <w:spacing w:after="0" w:line="240" w:lineRule="auto"/>
        <w:jc w:val="both"/>
        <w:rPr>
          <w:sz w:val="24"/>
          <w:szCs w:val="24"/>
        </w:rPr>
      </w:pPr>
    </w:p>
    <w:p w:rsidR="00B224FB" w:rsidRDefault="00B224FB" w:rsidP="00463803">
      <w:pPr>
        <w:spacing w:after="0" w:line="240" w:lineRule="auto"/>
        <w:jc w:val="both"/>
        <w:rPr>
          <w:sz w:val="24"/>
          <w:szCs w:val="24"/>
        </w:rPr>
      </w:pPr>
    </w:p>
    <w:p w:rsidR="00597305" w:rsidRDefault="00597305" w:rsidP="00463803">
      <w:pPr>
        <w:spacing w:after="0" w:line="240" w:lineRule="auto"/>
        <w:jc w:val="both"/>
        <w:rPr>
          <w:sz w:val="24"/>
          <w:szCs w:val="24"/>
        </w:rPr>
      </w:pPr>
    </w:p>
    <w:p w:rsidR="00CB7A22" w:rsidRDefault="003864A2" w:rsidP="00463803">
      <w:pPr>
        <w:pBdr>
          <w:top w:val="single" w:sz="4" w:space="1" w:color="auto"/>
        </w:pBdr>
        <w:spacing w:after="0" w:line="240" w:lineRule="auto"/>
        <w:jc w:val="both"/>
        <w:rPr>
          <w:sz w:val="20"/>
          <w:szCs w:val="20"/>
        </w:rPr>
      </w:pPr>
      <w:r w:rsidRPr="003864A2">
        <w:rPr>
          <w:sz w:val="20"/>
          <w:szCs w:val="20"/>
          <w:vertAlign w:val="superscript"/>
        </w:rPr>
        <w:t>11</w:t>
      </w:r>
      <w:r>
        <w:rPr>
          <w:sz w:val="20"/>
          <w:szCs w:val="20"/>
          <w:vertAlign w:val="superscript"/>
        </w:rPr>
        <w:t xml:space="preserve"> </w:t>
      </w:r>
      <w:r>
        <w:rPr>
          <w:sz w:val="20"/>
          <w:szCs w:val="20"/>
        </w:rPr>
        <w:t>Ο</w:t>
      </w:r>
      <w:r w:rsidRPr="003864A2">
        <w:rPr>
          <w:sz w:val="20"/>
          <w:szCs w:val="20"/>
        </w:rPr>
        <w:t>ι 4 αυτές χώρες φαίνονται να είναι σε καλύτερη θέση, σε σχέση με τα άλλα κράτη της περιοχής, όσο αφορά την διαχείριση των θεμάτων για τα ανθρώπινα δικαιώματα και την συμμετοχή στο γενικό πλαίσιο προστασίας τους καθώς έχουν δικό τους ανεξάρτητο εθνικό οργανισ</w:t>
      </w:r>
      <w:r>
        <w:rPr>
          <w:sz w:val="20"/>
          <w:szCs w:val="20"/>
        </w:rPr>
        <w:t>μό για τα ανθρώπινα δικαιώματα.</w:t>
      </w:r>
    </w:p>
    <w:p w:rsidR="00CB7A22" w:rsidRPr="00461E77" w:rsidRDefault="00AE6EDF" w:rsidP="00461E77">
      <w:r>
        <w:rPr>
          <w:sz w:val="24"/>
          <w:szCs w:val="24"/>
        </w:rPr>
        <w:lastRenderedPageBreak/>
        <w:t xml:space="preserve">Το πρώτο </w:t>
      </w:r>
      <w:r w:rsidR="004B35CB">
        <w:rPr>
          <w:sz w:val="24"/>
          <w:szCs w:val="24"/>
        </w:rPr>
        <w:t>ζήτημα που</w:t>
      </w:r>
      <w:r w:rsidR="003A0EA5">
        <w:rPr>
          <w:sz w:val="24"/>
          <w:szCs w:val="24"/>
        </w:rPr>
        <w:t xml:space="preserve"> </w:t>
      </w:r>
      <w:r w:rsidR="004B35CB">
        <w:rPr>
          <w:sz w:val="24"/>
          <w:szCs w:val="24"/>
        </w:rPr>
        <w:t>ανακύπ</w:t>
      </w:r>
      <w:r>
        <w:rPr>
          <w:sz w:val="24"/>
          <w:szCs w:val="24"/>
        </w:rPr>
        <w:t>τει</w:t>
      </w:r>
      <w:r w:rsidR="004813CD">
        <w:rPr>
          <w:sz w:val="24"/>
          <w:szCs w:val="24"/>
        </w:rPr>
        <w:t>, σχετικά με την δημιουργία του Ασιατικού δικαστηρίου,</w:t>
      </w:r>
      <w:r>
        <w:rPr>
          <w:sz w:val="24"/>
          <w:szCs w:val="24"/>
        </w:rPr>
        <w:t xml:space="preserve"> είναι</w:t>
      </w:r>
      <w:r w:rsidR="003A0EA5">
        <w:rPr>
          <w:sz w:val="24"/>
          <w:szCs w:val="24"/>
        </w:rPr>
        <w:t xml:space="preserve"> αν </w:t>
      </w:r>
      <w:r w:rsidR="004813CD">
        <w:rPr>
          <w:sz w:val="24"/>
          <w:szCs w:val="24"/>
        </w:rPr>
        <w:t>αυτό</w:t>
      </w:r>
      <w:r w:rsidR="00262DF4">
        <w:rPr>
          <w:sz w:val="24"/>
          <w:szCs w:val="24"/>
        </w:rPr>
        <w:t xml:space="preserve"> θα περιέχει</w:t>
      </w:r>
      <w:r w:rsidR="00B130E2" w:rsidRPr="00F04068">
        <w:rPr>
          <w:sz w:val="24"/>
          <w:szCs w:val="24"/>
        </w:rPr>
        <w:t xml:space="preserve"> διαδικαστικά ζητήματα</w:t>
      </w:r>
      <w:r w:rsidR="00262DF4" w:rsidRPr="00262DF4">
        <w:rPr>
          <w:sz w:val="24"/>
          <w:szCs w:val="24"/>
        </w:rPr>
        <w:t xml:space="preserve"> </w:t>
      </w:r>
      <w:r w:rsidR="00262DF4" w:rsidRPr="00F04068">
        <w:rPr>
          <w:sz w:val="24"/>
          <w:szCs w:val="24"/>
        </w:rPr>
        <w:t>και ουσιαστικά δικαιώματα</w:t>
      </w:r>
      <w:r w:rsidR="00262DF4">
        <w:rPr>
          <w:sz w:val="24"/>
          <w:szCs w:val="24"/>
        </w:rPr>
        <w:t xml:space="preserve"> ή θα είναι</w:t>
      </w:r>
      <w:r w:rsidR="00B130E2" w:rsidRPr="00F04068">
        <w:rPr>
          <w:sz w:val="24"/>
          <w:szCs w:val="24"/>
        </w:rPr>
        <w:t xml:space="preserve"> μια συνθήκη μόνο για διαδικαστικά ζητήματα</w:t>
      </w:r>
      <w:r w:rsidR="00744DC8">
        <w:rPr>
          <w:sz w:val="24"/>
          <w:szCs w:val="24"/>
        </w:rPr>
        <w:t>. Υπάρχουν και οι 2 δυνατότητες</w:t>
      </w:r>
      <w:r w:rsidR="00733610" w:rsidRPr="009B7344">
        <w:rPr>
          <w:sz w:val="24"/>
          <w:szCs w:val="24"/>
          <w:vertAlign w:val="superscript"/>
        </w:rPr>
        <w:t>12</w:t>
      </w:r>
      <w:r w:rsidR="00744DC8">
        <w:rPr>
          <w:sz w:val="24"/>
          <w:szCs w:val="24"/>
        </w:rPr>
        <w:t xml:space="preserve"> και ως εκ τούτου έχουν διαμορφωθεί και οι 2 απόψεις</w:t>
      </w:r>
      <w:r w:rsidR="009B7344">
        <w:rPr>
          <w:sz w:val="24"/>
          <w:szCs w:val="24"/>
        </w:rPr>
        <w:t xml:space="preserve">. </w:t>
      </w:r>
      <w:r w:rsidR="006248F3" w:rsidRPr="00F04068">
        <w:rPr>
          <w:sz w:val="24"/>
          <w:szCs w:val="24"/>
        </w:rPr>
        <w:t xml:space="preserve">Μια άποψη υποστηρίζει ότι μαθαίνοντας από τις εμπειρίες των άλλων 3 δικαστηρίων η νοτιοανατολική Ασία θα πρέπει να συνάψει μια συνθήκη για ουσιαστικά και </w:t>
      </w:r>
      <w:r w:rsidR="00E56B31">
        <w:rPr>
          <w:sz w:val="24"/>
          <w:szCs w:val="24"/>
        </w:rPr>
        <w:t xml:space="preserve">διαδικαστικά θέματα. Αυτό γιατί </w:t>
      </w:r>
      <w:r w:rsidR="006248F3" w:rsidRPr="00F04068">
        <w:rPr>
          <w:sz w:val="24"/>
          <w:szCs w:val="24"/>
        </w:rPr>
        <w:t>με ένα ουσιαστικό νομικό έγγραφο η νοτιοανατολική Ασία μπορεί ν</w:t>
      </w:r>
      <w:r w:rsidR="00C704F4">
        <w:rPr>
          <w:sz w:val="24"/>
          <w:szCs w:val="24"/>
        </w:rPr>
        <w:t>α προσαρμόσει το περιεχόμενο των δικαιωμάτων</w:t>
      </w:r>
      <w:r w:rsidR="006248F3" w:rsidRPr="00F04068">
        <w:rPr>
          <w:sz w:val="24"/>
          <w:szCs w:val="24"/>
        </w:rPr>
        <w:t xml:space="preserve">, </w:t>
      </w:r>
      <w:r w:rsidR="00C704F4">
        <w:rPr>
          <w:sz w:val="24"/>
          <w:szCs w:val="24"/>
        </w:rPr>
        <w:t xml:space="preserve">είτε διευρύνοντας είτε περιορίζοντας το πεδίο τους, </w:t>
      </w:r>
      <w:r w:rsidR="006248F3" w:rsidRPr="00F04068">
        <w:rPr>
          <w:sz w:val="24"/>
          <w:szCs w:val="24"/>
        </w:rPr>
        <w:t>ώστε να αντικατοπτρίζονται οι πραγματικές άναγκε</w:t>
      </w:r>
      <w:r w:rsidR="00433DF9">
        <w:rPr>
          <w:sz w:val="24"/>
          <w:szCs w:val="24"/>
        </w:rPr>
        <w:t>ς της περιοχής. Η δεύτερη</w:t>
      </w:r>
      <w:r w:rsidR="006248F3" w:rsidRPr="00F04068">
        <w:rPr>
          <w:sz w:val="24"/>
          <w:szCs w:val="24"/>
        </w:rPr>
        <w:t xml:space="preserve"> άποψη υποστηρίζει ότι η διαπραγμάτευση μιας συνθήκης με δικαιώμ</w:t>
      </w:r>
      <w:r w:rsidR="00433DF9">
        <w:rPr>
          <w:sz w:val="24"/>
          <w:szCs w:val="24"/>
        </w:rPr>
        <w:t>α</w:t>
      </w:r>
      <w:r w:rsidR="006248F3" w:rsidRPr="00F04068">
        <w:rPr>
          <w:sz w:val="24"/>
          <w:szCs w:val="24"/>
        </w:rPr>
        <w:t xml:space="preserve">τα μπορεί να διαρκέσει πολύ περισσότερο από ότι η σύνταξη μιας συνθήκης </w:t>
      </w:r>
      <w:r w:rsidR="007C63B2" w:rsidRPr="00F04068">
        <w:rPr>
          <w:sz w:val="24"/>
          <w:szCs w:val="24"/>
        </w:rPr>
        <w:t>που ν</w:t>
      </w:r>
      <w:r w:rsidR="006248F3" w:rsidRPr="00F04068">
        <w:rPr>
          <w:sz w:val="24"/>
          <w:szCs w:val="24"/>
        </w:rPr>
        <w:t>α ρυθμίζει απλώς διαδικαστικά θέματα</w:t>
      </w:r>
      <w:r w:rsidR="00433DF9">
        <w:rPr>
          <w:sz w:val="24"/>
          <w:szCs w:val="24"/>
        </w:rPr>
        <w:t>.</w:t>
      </w:r>
    </w:p>
    <w:p w:rsidR="007F7A4C" w:rsidRDefault="006248F3" w:rsidP="00463803">
      <w:pPr>
        <w:spacing w:after="0" w:line="240" w:lineRule="auto"/>
        <w:jc w:val="both"/>
        <w:rPr>
          <w:sz w:val="24"/>
          <w:szCs w:val="24"/>
        </w:rPr>
      </w:pPr>
      <w:r w:rsidRPr="00F04068">
        <w:rPr>
          <w:sz w:val="24"/>
          <w:szCs w:val="24"/>
        </w:rPr>
        <w:t>Άλλο ζήτημα είναι ποιός θα φέρει την υπόθεση ενώπιον του δικαστηρίου. Αν, δηλαδή, θα δοθεί  δυνατότητα προσφυγής εκτός από τα κράτη και σε ιδιώτες (ατομική προσφυγή).</w:t>
      </w:r>
      <w:r w:rsidR="00CC55AD">
        <w:rPr>
          <w:sz w:val="24"/>
          <w:szCs w:val="24"/>
        </w:rPr>
        <w:t xml:space="preserve"> </w:t>
      </w:r>
      <w:r w:rsidR="005179B5">
        <w:rPr>
          <w:sz w:val="24"/>
          <w:szCs w:val="24"/>
        </w:rPr>
        <w:t>Περαιτέρω, α</w:t>
      </w:r>
      <w:r w:rsidR="007F7A4C" w:rsidRPr="00F04068">
        <w:rPr>
          <w:sz w:val="24"/>
          <w:szCs w:val="24"/>
        </w:rPr>
        <w:t xml:space="preserve">ν υπάρξει  ατομική προσφυγή τίθεται θέμα αν θα υπάρχει επιτροπή που θα δέχεται τις ατομικές </w:t>
      </w:r>
      <w:r w:rsidR="005179B5">
        <w:rPr>
          <w:sz w:val="24"/>
          <w:szCs w:val="24"/>
        </w:rPr>
        <w:t xml:space="preserve">προσφυγές </w:t>
      </w:r>
      <w:r w:rsidR="007F7A4C" w:rsidRPr="00F04068">
        <w:rPr>
          <w:sz w:val="24"/>
          <w:szCs w:val="24"/>
        </w:rPr>
        <w:t>(όπως στο Αμερικανικό και το Αφρικανικό δικαστήριο) ή αν θα απευθύνοντ</w:t>
      </w:r>
      <w:r w:rsidR="00EF6CF9">
        <w:rPr>
          <w:sz w:val="24"/>
          <w:szCs w:val="24"/>
        </w:rPr>
        <w:t>αι ευθέως σε αυτό (όπως στο Ευρωπαϊκό δικαστήριο</w:t>
      </w:r>
      <w:r w:rsidR="007F7A4C" w:rsidRPr="00F04068">
        <w:rPr>
          <w:sz w:val="24"/>
          <w:szCs w:val="24"/>
        </w:rPr>
        <w:t>).</w:t>
      </w:r>
      <w:r w:rsidR="00EF6CF9">
        <w:rPr>
          <w:sz w:val="24"/>
          <w:szCs w:val="24"/>
        </w:rPr>
        <w:t xml:space="preserve"> Αν δεν υπάρξει επιτροπή αλλά οι ατομικές προσφυγές απευθύνονται ευθέως στο δικαστήριο, θα υπάρξει πολύς φόρτος εργασίας, όπως συνέβ</w:t>
      </w:r>
      <w:r w:rsidR="00E56B31">
        <w:rPr>
          <w:sz w:val="24"/>
          <w:szCs w:val="24"/>
        </w:rPr>
        <w:t>η</w:t>
      </w:r>
      <w:r w:rsidR="00EF6CF9">
        <w:rPr>
          <w:sz w:val="24"/>
          <w:szCs w:val="24"/>
        </w:rPr>
        <w:t xml:space="preserve"> με το Ευρωπαϊκο δικαστήριο.</w:t>
      </w:r>
      <w:r w:rsidR="00D65C2E">
        <w:rPr>
          <w:sz w:val="24"/>
          <w:szCs w:val="24"/>
        </w:rPr>
        <w:t xml:space="preserve"> </w:t>
      </w:r>
      <w:r w:rsidR="00CC55AD">
        <w:rPr>
          <w:sz w:val="24"/>
          <w:szCs w:val="24"/>
        </w:rPr>
        <w:t xml:space="preserve">Ωστόσο, δεν μπορεί ένα δικαστήριο ανθρωπίνων δικαιωμάτων να σχεδιαστεί με γνώμονα το φόρτο </w:t>
      </w:r>
      <w:r w:rsidR="00A009C2">
        <w:rPr>
          <w:sz w:val="24"/>
          <w:szCs w:val="24"/>
        </w:rPr>
        <w:t>εργασίας ή να δημιουργηθεί μια επιτροπή μόνο και μόνο για την μείωση του φόρτου εργασίας του δικαστηρίου. Αυτό που θα πρέπει να εξεταστεί είναι τι προκρίνεται ως βέλτιστη λύση για την αποτελεσματικότερη προστασία των ανθρωπίνων δικαιωμάτων.</w:t>
      </w:r>
    </w:p>
    <w:p w:rsidR="00CB7A22" w:rsidRPr="00F04068" w:rsidRDefault="00CB7A22" w:rsidP="00463803">
      <w:pPr>
        <w:spacing w:after="0" w:line="240" w:lineRule="auto"/>
        <w:jc w:val="both"/>
        <w:rPr>
          <w:b/>
          <w:sz w:val="24"/>
          <w:szCs w:val="24"/>
        </w:rPr>
      </w:pPr>
    </w:p>
    <w:p w:rsidR="009B7344" w:rsidRDefault="002708F7" w:rsidP="00463803">
      <w:pPr>
        <w:spacing w:after="0" w:line="240" w:lineRule="auto"/>
        <w:jc w:val="both"/>
        <w:rPr>
          <w:sz w:val="24"/>
          <w:szCs w:val="24"/>
        </w:rPr>
      </w:pPr>
      <w:r>
        <w:rPr>
          <w:sz w:val="24"/>
          <w:szCs w:val="24"/>
        </w:rPr>
        <w:t>Και στο Ασιατικό δικαστήριο θα πρέπει να υπάρχει π</w:t>
      </w:r>
      <w:r w:rsidR="007F7A4C" w:rsidRPr="00F04068">
        <w:rPr>
          <w:sz w:val="24"/>
          <w:szCs w:val="24"/>
        </w:rPr>
        <w:t xml:space="preserve">ροηγούμενη εξάντληση </w:t>
      </w:r>
      <w:r>
        <w:rPr>
          <w:sz w:val="24"/>
          <w:szCs w:val="24"/>
        </w:rPr>
        <w:t xml:space="preserve">εσωτερικών ενδίκων μέσων ως προϋπόθεση παραδεκτού. </w:t>
      </w:r>
      <w:r w:rsidR="00107166">
        <w:rPr>
          <w:sz w:val="24"/>
          <w:szCs w:val="24"/>
        </w:rPr>
        <w:t>Η παραβίαση</w:t>
      </w:r>
      <w:r w:rsidR="007F7A4C" w:rsidRPr="00F04068">
        <w:rPr>
          <w:sz w:val="24"/>
          <w:szCs w:val="24"/>
        </w:rPr>
        <w:t xml:space="preserve"> </w:t>
      </w:r>
      <w:r w:rsidR="00107166">
        <w:rPr>
          <w:sz w:val="24"/>
          <w:szCs w:val="24"/>
        </w:rPr>
        <w:t xml:space="preserve">των </w:t>
      </w:r>
      <w:r w:rsidR="007B19BB">
        <w:rPr>
          <w:sz w:val="24"/>
          <w:szCs w:val="24"/>
        </w:rPr>
        <w:t xml:space="preserve">ανθρωπίνων </w:t>
      </w:r>
      <w:r w:rsidR="007F7A4C" w:rsidRPr="00F04068">
        <w:rPr>
          <w:sz w:val="24"/>
          <w:szCs w:val="24"/>
        </w:rPr>
        <w:t>δικα</w:t>
      </w:r>
      <w:r w:rsidR="00107166">
        <w:rPr>
          <w:sz w:val="24"/>
          <w:szCs w:val="24"/>
        </w:rPr>
        <w:t>ιωμάτων θα πρέπει</w:t>
      </w:r>
      <w:r>
        <w:rPr>
          <w:sz w:val="24"/>
          <w:szCs w:val="24"/>
        </w:rPr>
        <w:t xml:space="preserve"> πρώτα </w:t>
      </w:r>
      <w:r w:rsidR="00107166">
        <w:rPr>
          <w:sz w:val="24"/>
          <w:szCs w:val="24"/>
        </w:rPr>
        <w:t xml:space="preserve">να επιλύεται </w:t>
      </w:r>
      <w:r>
        <w:rPr>
          <w:sz w:val="24"/>
          <w:szCs w:val="24"/>
        </w:rPr>
        <w:t>σε εθνικό επίπεδο</w:t>
      </w:r>
      <w:r w:rsidR="009B60B9">
        <w:rPr>
          <w:sz w:val="24"/>
          <w:szCs w:val="24"/>
        </w:rPr>
        <w:t>. Θ</w:t>
      </w:r>
      <w:r w:rsidR="00107166">
        <w:rPr>
          <w:sz w:val="24"/>
          <w:szCs w:val="24"/>
        </w:rPr>
        <w:t>α πρέπει</w:t>
      </w:r>
      <w:r w:rsidR="009B60B9">
        <w:rPr>
          <w:sz w:val="24"/>
          <w:szCs w:val="24"/>
        </w:rPr>
        <w:t>,</w:t>
      </w:r>
      <w:r w:rsidR="00107166">
        <w:rPr>
          <w:sz w:val="24"/>
          <w:szCs w:val="24"/>
        </w:rPr>
        <w:t xml:space="preserve"> δηλαδή, ο εθνικός δικαστής  να έχει την δυνατότητα να διαπιστώσει τυχόν παραβίαση δικαιώματος και </w:t>
      </w:r>
      <w:r w:rsidR="009B60B9">
        <w:rPr>
          <w:sz w:val="24"/>
          <w:szCs w:val="24"/>
        </w:rPr>
        <w:t xml:space="preserve">να προβεί στην επανόρθωση του. Ένα περιφερειακό </w:t>
      </w:r>
      <w:r w:rsidR="00CB7A22">
        <w:rPr>
          <w:sz w:val="24"/>
          <w:szCs w:val="24"/>
        </w:rPr>
        <w:t>δικαστήριο ανθρωπίνων δικαιωμάτων (και εν προκειμένω το Ασιατικό δικαστήριο)</w:t>
      </w:r>
      <w:r w:rsidR="00CB7A22" w:rsidRPr="005D39B4">
        <w:rPr>
          <w:sz w:val="24"/>
          <w:szCs w:val="24"/>
        </w:rPr>
        <w:t xml:space="preserve"> </w:t>
      </w:r>
      <w:r w:rsidR="00CB7A22">
        <w:rPr>
          <w:sz w:val="24"/>
          <w:szCs w:val="24"/>
        </w:rPr>
        <w:t>μόνο συμπληρωματικός μηχανισμός των εθνικών δικαστηρίων μπορεί να είναι, δεν μπορεί να τα υποκαταστήσει. Ούτως η άλλως και ο αντίκτυπος μιας απόφασης στην κοινωνία που επιλύεται σε εθνικό επίπεδο είναι και πολύ μεγαλύτερος απ΄ ότι αν αυτή επιλυόταν σε διεθνές επίπεδο.</w:t>
      </w:r>
    </w:p>
    <w:p w:rsidR="00CB7A22" w:rsidRDefault="00CB7A22" w:rsidP="00463803">
      <w:pPr>
        <w:spacing w:after="0" w:line="240" w:lineRule="auto"/>
        <w:jc w:val="both"/>
        <w:rPr>
          <w:sz w:val="24"/>
          <w:szCs w:val="24"/>
        </w:rPr>
      </w:pPr>
    </w:p>
    <w:p w:rsidR="00CB7A22" w:rsidRDefault="00CB7A22" w:rsidP="00463803">
      <w:pPr>
        <w:spacing w:after="0" w:line="240" w:lineRule="auto"/>
        <w:jc w:val="both"/>
        <w:rPr>
          <w:sz w:val="24"/>
          <w:szCs w:val="24"/>
        </w:rPr>
      </w:pPr>
      <w:r>
        <w:rPr>
          <w:sz w:val="24"/>
          <w:szCs w:val="24"/>
        </w:rPr>
        <w:t>Τέλος, αυτονόητη</w:t>
      </w:r>
      <w:r w:rsidRPr="00F04068">
        <w:rPr>
          <w:sz w:val="24"/>
          <w:szCs w:val="24"/>
        </w:rPr>
        <w:t xml:space="preserve"> προϋπόθεση </w:t>
      </w:r>
      <w:r>
        <w:rPr>
          <w:sz w:val="24"/>
          <w:szCs w:val="24"/>
        </w:rPr>
        <w:t xml:space="preserve">είναι </w:t>
      </w:r>
      <w:r w:rsidRPr="00F04068">
        <w:rPr>
          <w:sz w:val="24"/>
          <w:szCs w:val="24"/>
        </w:rPr>
        <w:t>η απόφαση να μην έχει εξεταστεί από άλλο διεθνές δικασ</w:t>
      </w:r>
      <w:r>
        <w:rPr>
          <w:sz w:val="24"/>
          <w:szCs w:val="24"/>
        </w:rPr>
        <w:t xml:space="preserve">τήριο, ώστε, να αποφευχθεί </w:t>
      </w:r>
      <w:r w:rsidRPr="00F04068">
        <w:rPr>
          <w:sz w:val="24"/>
          <w:szCs w:val="24"/>
        </w:rPr>
        <w:t xml:space="preserve">η </w:t>
      </w:r>
      <w:r>
        <w:rPr>
          <w:sz w:val="24"/>
          <w:szCs w:val="24"/>
        </w:rPr>
        <w:t>πιθανότητα επικάλυψης δικαιοδοσίας</w:t>
      </w:r>
      <w:r w:rsidRPr="00F04068">
        <w:rPr>
          <w:sz w:val="24"/>
          <w:szCs w:val="24"/>
        </w:rPr>
        <w:t>.</w:t>
      </w:r>
    </w:p>
    <w:p w:rsidR="00597305" w:rsidRDefault="00597305" w:rsidP="00463803">
      <w:pPr>
        <w:spacing w:after="0" w:line="240" w:lineRule="auto"/>
        <w:jc w:val="both"/>
        <w:rPr>
          <w:sz w:val="24"/>
          <w:szCs w:val="24"/>
        </w:rPr>
      </w:pPr>
    </w:p>
    <w:p w:rsidR="00CB7A22" w:rsidRPr="008846B1" w:rsidRDefault="009B7344" w:rsidP="008846B1">
      <w:pPr>
        <w:pBdr>
          <w:top w:val="single" w:sz="4" w:space="1" w:color="auto"/>
        </w:pBdr>
        <w:spacing w:after="0" w:line="240" w:lineRule="auto"/>
        <w:jc w:val="both"/>
        <w:rPr>
          <w:sz w:val="24"/>
          <w:szCs w:val="24"/>
        </w:rPr>
      </w:pPr>
      <w:r w:rsidRPr="009B7344">
        <w:rPr>
          <w:sz w:val="20"/>
          <w:szCs w:val="20"/>
          <w:vertAlign w:val="superscript"/>
        </w:rPr>
        <w:t>12</w:t>
      </w:r>
      <w:r>
        <w:rPr>
          <w:sz w:val="20"/>
          <w:szCs w:val="20"/>
          <w:vertAlign w:val="superscript"/>
        </w:rPr>
        <w:t xml:space="preserve"> </w:t>
      </w:r>
      <w:r>
        <w:rPr>
          <w:sz w:val="20"/>
          <w:szCs w:val="20"/>
        </w:rPr>
        <w:t>Π</w:t>
      </w:r>
      <w:r w:rsidRPr="009B7344">
        <w:rPr>
          <w:sz w:val="20"/>
          <w:szCs w:val="20"/>
        </w:rPr>
        <w:t xml:space="preserve">.χ. θα μπορούσαν οι Φιλιππίνες, η Ινδονησία, η Μαλαισία, η Ταϋλάνδη και το Ανατολικό Τιμόρ, που έχουν κυρώσει συνθήκες όπως είναι το Διεθνές Σύμφωνο για τα Ατομικά και Πολιτικά Δικαιώματα και το Διεθνές σύμφωνο για </w:t>
      </w:r>
      <w:r>
        <w:rPr>
          <w:sz w:val="20"/>
          <w:szCs w:val="20"/>
        </w:rPr>
        <w:t xml:space="preserve">τα </w:t>
      </w:r>
      <w:r w:rsidRPr="009B7344">
        <w:rPr>
          <w:sz w:val="20"/>
          <w:szCs w:val="20"/>
        </w:rPr>
        <w:t>Οικονομικά, Πολτι</w:t>
      </w:r>
      <w:r w:rsidR="00FA0903">
        <w:rPr>
          <w:sz w:val="20"/>
          <w:szCs w:val="20"/>
        </w:rPr>
        <w:t>στι</w:t>
      </w:r>
      <w:r w:rsidRPr="009B7344">
        <w:rPr>
          <w:sz w:val="20"/>
          <w:szCs w:val="20"/>
        </w:rPr>
        <w:t>κά και Κοινωνικά δικαιώματα, να τις χρησιμοποιήσουν ως ουσιαστικό δίκαιο για το Ασιατικό δικαστήριο</w:t>
      </w:r>
      <w:r>
        <w:rPr>
          <w:sz w:val="20"/>
          <w:szCs w:val="20"/>
        </w:rPr>
        <w:t>.</w:t>
      </w:r>
      <w:r>
        <w:rPr>
          <w:sz w:val="24"/>
          <w:szCs w:val="24"/>
        </w:rPr>
        <w:t xml:space="preserve"> </w:t>
      </w:r>
    </w:p>
    <w:p w:rsidR="008746E3" w:rsidRDefault="00543A6C" w:rsidP="00597305">
      <w:pPr>
        <w:pStyle w:val="Heading2"/>
        <w:numPr>
          <w:ilvl w:val="0"/>
          <w:numId w:val="42"/>
        </w:numPr>
        <w:spacing w:before="0" w:line="240" w:lineRule="auto"/>
        <w:ind w:left="0" w:firstLine="0"/>
        <w:rPr>
          <w:b/>
          <w:color w:val="auto"/>
          <w:sz w:val="24"/>
        </w:rPr>
      </w:pPr>
      <w:bookmarkStart w:id="42" w:name="_Toc419545183"/>
      <w:r w:rsidRPr="00CB7A22">
        <w:rPr>
          <w:b/>
          <w:color w:val="auto"/>
          <w:sz w:val="24"/>
        </w:rPr>
        <w:lastRenderedPageBreak/>
        <w:t>International Court οf Justice (Διεθνές Δικαστήριο Δικαιοσύνης):</w:t>
      </w:r>
      <w:bookmarkEnd w:id="42"/>
    </w:p>
    <w:p w:rsidR="00CB7A22" w:rsidRPr="00CB7A22" w:rsidRDefault="00CB7A22" w:rsidP="00CB7A22">
      <w:pPr>
        <w:spacing w:after="0" w:line="240" w:lineRule="auto"/>
      </w:pPr>
    </w:p>
    <w:p w:rsidR="008746E3" w:rsidRDefault="008746E3" w:rsidP="00463803">
      <w:pPr>
        <w:spacing w:after="0" w:line="240" w:lineRule="auto"/>
        <w:jc w:val="both"/>
        <w:rPr>
          <w:sz w:val="24"/>
          <w:szCs w:val="24"/>
        </w:rPr>
      </w:pPr>
      <w:r w:rsidRPr="00CD1B0C">
        <w:rPr>
          <w:sz w:val="24"/>
          <w:szCs w:val="24"/>
        </w:rPr>
        <w:t>Το Διεθνές Δικαστήριο Δικαιοσύνης ιδρύθηκε τον Ιούνιο του 1945 από τον Χάρτη των Ηνωμένων Εθνών και άρχισε να λειτουργεί τον Απρίλιο του 1946. Η έδρα του δικαστηρίου βρίσκεται στην Χάγη</w:t>
      </w:r>
      <w:r>
        <w:rPr>
          <w:sz w:val="24"/>
          <w:szCs w:val="24"/>
        </w:rPr>
        <w:t xml:space="preserve">. </w:t>
      </w:r>
      <w:r w:rsidRPr="00CD1B0C">
        <w:rPr>
          <w:sz w:val="24"/>
          <w:szCs w:val="24"/>
        </w:rPr>
        <w:t xml:space="preserve">Το </w:t>
      </w:r>
      <w:r w:rsidR="00703F39">
        <w:rPr>
          <w:sz w:val="24"/>
          <w:szCs w:val="24"/>
        </w:rPr>
        <w:t>Διέθνες Δικαστήριο Δ</w:t>
      </w:r>
      <w:r w:rsidRPr="00CD1B0C">
        <w:rPr>
          <w:sz w:val="24"/>
          <w:szCs w:val="24"/>
        </w:rPr>
        <w:t xml:space="preserve">ικαιοσύνης είναι το κύριο δικαστικό όργανο των Ηνωμένων Εθνών. </w:t>
      </w:r>
      <w:r>
        <w:rPr>
          <w:sz w:val="24"/>
          <w:szCs w:val="24"/>
        </w:rPr>
        <w:t>Ο ρόλος τους δικαστηρίου είναι να διευθετεί, σύμφωνα με το Διεθνές Δίκαιο, τις νομικές διαφορές που υποβάλλονται από κράτη. Οι πηγές του δικαίου που εφαρμόζει είναι οι διεθνείς συνθήκες και συμβάσεις που ισχύουν, το διεθνές έθιμο και οι γενικές αρχές του δικαίου.</w:t>
      </w:r>
      <w:r w:rsidR="00385BC8">
        <w:rPr>
          <w:sz w:val="24"/>
          <w:szCs w:val="24"/>
        </w:rPr>
        <w:t xml:space="preserve"> Το δ</w:t>
      </w:r>
      <w:r>
        <w:rPr>
          <w:sz w:val="24"/>
          <w:szCs w:val="24"/>
        </w:rPr>
        <w:t xml:space="preserve">ικαστήριο απαρτίζεται από 15 δικαστές, οι οποίοι εκλέγονται για θητεία 9 ετών από την Γενική Συνέλευση των Ηνωμένων Εθνών και του Συμβουλίου Ασφαλείας. </w:t>
      </w:r>
      <w:r w:rsidRPr="00CD1B0C">
        <w:rPr>
          <w:sz w:val="24"/>
          <w:szCs w:val="24"/>
        </w:rPr>
        <w:t xml:space="preserve">Το δικαστήριο μπορεί να επιληφθεί δύο τύπους υποθέσεων: </w:t>
      </w:r>
    </w:p>
    <w:p w:rsidR="00CB7A22" w:rsidRPr="00CD1B0C" w:rsidRDefault="00CB7A22" w:rsidP="00463803">
      <w:pPr>
        <w:spacing w:after="0" w:line="240" w:lineRule="auto"/>
        <w:jc w:val="both"/>
        <w:rPr>
          <w:sz w:val="24"/>
          <w:szCs w:val="24"/>
        </w:rPr>
      </w:pPr>
    </w:p>
    <w:p w:rsidR="008746E3" w:rsidRDefault="008746E3" w:rsidP="006A74AB">
      <w:pPr>
        <w:pStyle w:val="ListParagraph"/>
        <w:numPr>
          <w:ilvl w:val="0"/>
          <w:numId w:val="15"/>
        </w:numPr>
        <w:spacing w:after="0" w:line="240" w:lineRule="auto"/>
        <w:ind w:left="567" w:firstLine="0"/>
        <w:contextualSpacing w:val="0"/>
        <w:jc w:val="both"/>
        <w:rPr>
          <w:sz w:val="24"/>
          <w:szCs w:val="24"/>
        </w:rPr>
      </w:pPr>
      <w:r w:rsidRPr="00D66233">
        <w:rPr>
          <w:sz w:val="24"/>
          <w:szCs w:val="24"/>
        </w:rPr>
        <w:t>Νομικές διαφορές μεταξύ των κρατών που υποβάλλονται από αυτά (δεν υπάρχει δυνατότητα το δικαστήριο να επιλυφθεί της υπόθεσης αυταπάγγελτα). Μόνο κράτη – μέλη των Ηνωμένων Εθνών ή κράτη που έχουν προσχωρήσει στο καταστατικό του δικαστηρίου ή έχουν αποδεχθεί την δικαιοδοσία του μπορούν να υποβάλλουν αίτηση στο δικαστήριο</w:t>
      </w:r>
      <w:r w:rsidR="002F0E23">
        <w:rPr>
          <w:sz w:val="24"/>
          <w:szCs w:val="24"/>
        </w:rPr>
        <w:t>. Το δ</w:t>
      </w:r>
      <w:r w:rsidRPr="00D66233">
        <w:rPr>
          <w:sz w:val="24"/>
          <w:szCs w:val="24"/>
        </w:rPr>
        <w:t xml:space="preserve">ικαστήριο μπορεί να ασχοληθεί μόνο με μια διαφορά, όταν τα ενδιαφερόμενα κράτη έχουν αναγνωρίσει τη δικαιοδοσία του. </w:t>
      </w:r>
      <w:r w:rsidR="002F0E23">
        <w:rPr>
          <w:sz w:val="24"/>
          <w:szCs w:val="24"/>
        </w:rPr>
        <w:t>Η αναγνώριση της δικαιοδοσίας του μπορεί να γίνει είτε με την σύναψη ειδικής συμφωνίας μεταξύ κράτων να υποβληθεί η διαφορά ενώπιον του δικαστηρίου, είτε δυνάμει της ρήτρας διεθνούς δικαιοδοσίας</w:t>
      </w:r>
      <w:r w:rsidR="00481001">
        <w:rPr>
          <w:sz w:val="24"/>
          <w:szCs w:val="24"/>
        </w:rPr>
        <w:t>. Η ρήτρα διεθνούς δικαιοδοσίας σημαίνει ότι, τα συμβαλλόμενα μέρη σε μια συνθήκη</w:t>
      </w:r>
      <w:r w:rsidR="0011568D">
        <w:rPr>
          <w:sz w:val="24"/>
          <w:szCs w:val="24"/>
        </w:rPr>
        <w:t xml:space="preserve"> </w:t>
      </w:r>
      <w:r w:rsidR="00FA478F">
        <w:rPr>
          <w:sz w:val="24"/>
          <w:szCs w:val="24"/>
        </w:rPr>
        <w:t>δύνανται</w:t>
      </w:r>
      <w:r w:rsidR="00481001">
        <w:rPr>
          <w:sz w:val="24"/>
          <w:szCs w:val="24"/>
        </w:rPr>
        <w:t xml:space="preserve"> να παραπέμψ</w:t>
      </w:r>
      <w:r w:rsidR="00FA478F">
        <w:rPr>
          <w:sz w:val="24"/>
          <w:szCs w:val="24"/>
        </w:rPr>
        <w:t>ουν</w:t>
      </w:r>
      <w:r w:rsidR="00481001">
        <w:rPr>
          <w:sz w:val="24"/>
          <w:szCs w:val="24"/>
        </w:rPr>
        <w:t xml:space="preserve"> την διαφορά στο δικαστήριο</w:t>
      </w:r>
      <w:r w:rsidR="0011568D">
        <w:rPr>
          <w:sz w:val="24"/>
          <w:szCs w:val="24"/>
        </w:rPr>
        <w:t>, όταν η συνθήκη περιέχει διάταξη η οποία προβλέπει ότι σε περίπτωση διαφωνίας σχετικά με την ερμηνεία ή την εφαρμογή της συνθήκης έχουν αυτό το δικαίωμα</w:t>
      </w:r>
      <w:r w:rsidR="00481001">
        <w:rPr>
          <w:sz w:val="24"/>
          <w:szCs w:val="24"/>
        </w:rPr>
        <w:t>.</w:t>
      </w:r>
      <w:r w:rsidR="002F0E23">
        <w:rPr>
          <w:sz w:val="24"/>
          <w:szCs w:val="24"/>
        </w:rPr>
        <w:t xml:space="preserve"> </w:t>
      </w:r>
      <w:r w:rsidRPr="00D66233">
        <w:rPr>
          <w:sz w:val="24"/>
          <w:szCs w:val="24"/>
        </w:rPr>
        <w:t>Κανένα κράτος δεν μπ</w:t>
      </w:r>
      <w:r w:rsidR="0032638C">
        <w:rPr>
          <w:sz w:val="24"/>
          <w:szCs w:val="24"/>
        </w:rPr>
        <w:t xml:space="preserve">ορεί, επομένως, να είναι </w:t>
      </w:r>
      <w:r w:rsidRPr="00D66233">
        <w:rPr>
          <w:sz w:val="24"/>
          <w:szCs w:val="24"/>
        </w:rPr>
        <w:t>διάδ</w:t>
      </w:r>
      <w:r w:rsidR="003F20C7">
        <w:rPr>
          <w:sz w:val="24"/>
          <w:szCs w:val="24"/>
        </w:rPr>
        <w:t>ικος σε διαδικασία ενώπιον του δ</w:t>
      </w:r>
      <w:r w:rsidRPr="00D66233">
        <w:rPr>
          <w:sz w:val="24"/>
          <w:szCs w:val="24"/>
        </w:rPr>
        <w:t>ικαστηρίου, εκτός αν έχει κατά κάποιο τρόπο ή άλλο συναινέσει σε αυτήν. Διεθνείς οργανισμοί, άλλες συλλογικότητες και ιδιώτες δεν έχουν το δικαίωμα να ασκήσουν προσφ</w:t>
      </w:r>
      <w:r>
        <w:rPr>
          <w:sz w:val="24"/>
          <w:szCs w:val="24"/>
        </w:rPr>
        <w:t>υγή ενώπιον του Δικαστηρίου</w:t>
      </w:r>
      <w:r w:rsidR="00F11EA9">
        <w:rPr>
          <w:sz w:val="24"/>
          <w:szCs w:val="24"/>
        </w:rPr>
        <w:t xml:space="preserve">. </w:t>
      </w:r>
      <w:r w:rsidR="00733181">
        <w:rPr>
          <w:sz w:val="24"/>
          <w:szCs w:val="24"/>
        </w:rPr>
        <w:t>Εν προκειμένω, δ</w:t>
      </w:r>
      <w:r>
        <w:rPr>
          <w:sz w:val="24"/>
          <w:szCs w:val="24"/>
        </w:rPr>
        <w:t>εν</w:t>
      </w:r>
      <w:r w:rsidR="00F11EA9">
        <w:rPr>
          <w:sz w:val="24"/>
          <w:szCs w:val="24"/>
        </w:rPr>
        <w:t xml:space="preserve"> υπάρχει δυνατότητα ατομικής προσφυγής</w:t>
      </w:r>
      <w:r w:rsidR="00733181">
        <w:rPr>
          <w:sz w:val="24"/>
          <w:szCs w:val="24"/>
        </w:rPr>
        <w:t xml:space="preserve">. </w:t>
      </w:r>
      <w:r w:rsidR="00244344">
        <w:rPr>
          <w:sz w:val="24"/>
          <w:szCs w:val="24"/>
        </w:rPr>
        <w:t>Σε κάθε περίπτωση το προσφεύγων κράτος θα πρέπει να αναφέ</w:t>
      </w:r>
      <w:r w:rsidR="00252818">
        <w:rPr>
          <w:sz w:val="24"/>
          <w:szCs w:val="24"/>
        </w:rPr>
        <w:t>ρ</w:t>
      </w:r>
      <w:r w:rsidR="00244344">
        <w:rPr>
          <w:sz w:val="24"/>
          <w:szCs w:val="24"/>
        </w:rPr>
        <w:t xml:space="preserve">ει εν συντομία την συνθήκη ή την δήλωση αποδοχής </w:t>
      </w:r>
      <w:r w:rsidR="00703F39">
        <w:rPr>
          <w:sz w:val="24"/>
          <w:szCs w:val="24"/>
        </w:rPr>
        <w:t xml:space="preserve">της </w:t>
      </w:r>
      <w:r w:rsidR="00244344">
        <w:rPr>
          <w:sz w:val="24"/>
          <w:szCs w:val="24"/>
        </w:rPr>
        <w:t>υποχρεωτικής δικαιοδοσίας</w:t>
      </w:r>
      <w:r w:rsidR="00703F39">
        <w:rPr>
          <w:sz w:val="24"/>
          <w:szCs w:val="24"/>
        </w:rPr>
        <w:t xml:space="preserve"> του</w:t>
      </w:r>
      <w:r w:rsidR="007C0B07">
        <w:rPr>
          <w:sz w:val="24"/>
          <w:szCs w:val="24"/>
        </w:rPr>
        <w:t xml:space="preserve"> δικαστηρίου</w:t>
      </w:r>
      <w:r w:rsidR="00703F39" w:rsidRPr="00703F39">
        <w:rPr>
          <w:sz w:val="24"/>
          <w:szCs w:val="24"/>
          <w:vertAlign w:val="superscript"/>
        </w:rPr>
        <w:t>13</w:t>
      </w:r>
      <w:r w:rsidR="00EF1EF7">
        <w:rPr>
          <w:sz w:val="24"/>
          <w:szCs w:val="24"/>
        </w:rPr>
        <w:t>, τα πραγματικά περιστατικά και το σκεπτικό στο οποίο στηρίζει τον ισχυρισμό του</w:t>
      </w:r>
      <w:r w:rsidR="009252E0">
        <w:rPr>
          <w:sz w:val="24"/>
          <w:szCs w:val="24"/>
        </w:rPr>
        <w:t>.</w:t>
      </w:r>
      <w:r w:rsidRPr="006132B3">
        <w:rPr>
          <w:sz w:val="24"/>
          <w:szCs w:val="24"/>
        </w:rPr>
        <w:t xml:space="preserve"> </w:t>
      </w:r>
    </w:p>
    <w:p w:rsidR="00CB7A22" w:rsidRDefault="00CB7A22" w:rsidP="006A74AB">
      <w:pPr>
        <w:pStyle w:val="ListParagraph"/>
        <w:spacing w:after="0" w:line="240" w:lineRule="auto"/>
        <w:ind w:left="567"/>
        <w:contextualSpacing w:val="0"/>
        <w:jc w:val="both"/>
        <w:rPr>
          <w:sz w:val="24"/>
          <w:szCs w:val="24"/>
        </w:rPr>
      </w:pPr>
    </w:p>
    <w:p w:rsidR="00703F39" w:rsidRDefault="008746E3" w:rsidP="006A74AB">
      <w:pPr>
        <w:pStyle w:val="ListParagraph"/>
        <w:numPr>
          <w:ilvl w:val="0"/>
          <w:numId w:val="15"/>
        </w:numPr>
        <w:spacing w:after="0" w:line="240" w:lineRule="auto"/>
        <w:ind w:left="567" w:firstLine="0"/>
        <w:contextualSpacing w:val="0"/>
        <w:jc w:val="both"/>
        <w:rPr>
          <w:sz w:val="24"/>
          <w:szCs w:val="24"/>
        </w:rPr>
      </w:pPr>
      <w:r w:rsidRPr="006132B3">
        <w:rPr>
          <w:sz w:val="24"/>
          <w:szCs w:val="24"/>
        </w:rPr>
        <w:t>Αιτήσεις για συμβουλευτικές γνώμες επί νομικών ερωτημάτων που του υπέβαλλαν όργαν</w:t>
      </w:r>
      <w:r w:rsidR="00125B63">
        <w:rPr>
          <w:sz w:val="24"/>
          <w:szCs w:val="24"/>
        </w:rPr>
        <w:t>α</w:t>
      </w:r>
      <w:r>
        <w:rPr>
          <w:sz w:val="24"/>
          <w:szCs w:val="24"/>
        </w:rPr>
        <w:t xml:space="preserve"> των Ηνωμένων Εθνών. Πρόκειται για συμβουλευτικές γνωμοδοτήσεις που δεν έχουν δεσμευτική ισχύ. </w:t>
      </w:r>
      <w:r w:rsidR="00370C89">
        <w:rPr>
          <w:sz w:val="24"/>
          <w:szCs w:val="24"/>
        </w:rPr>
        <w:t xml:space="preserve">Το αιτούν όργανο παραμένει ελεύθερο να εφαρμόσει την </w:t>
      </w:r>
      <w:r w:rsidR="00CB7A22">
        <w:rPr>
          <w:sz w:val="24"/>
          <w:szCs w:val="24"/>
        </w:rPr>
        <w:t>γνωμοδότηση ή να μην το πράξει.</w:t>
      </w:r>
    </w:p>
    <w:p w:rsidR="00CB7A22" w:rsidRDefault="00CB7A22" w:rsidP="00CB7A22">
      <w:pPr>
        <w:pStyle w:val="ListParagraph"/>
        <w:rPr>
          <w:sz w:val="24"/>
          <w:szCs w:val="24"/>
        </w:rPr>
      </w:pPr>
    </w:p>
    <w:p w:rsidR="00CB7A22" w:rsidRDefault="00CB7A22" w:rsidP="00CB7A22">
      <w:pPr>
        <w:spacing w:after="0" w:line="240" w:lineRule="auto"/>
        <w:jc w:val="both"/>
        <w:rPr>
          <w:sz w:val="24"/>
          <w:szCs w:val="24"/>
        </w:rPr>
      </w:pPr>
      <w:bookmarkStart w:id="43" w:name="_GoBack"/>
      <w:bookmarkEnd w:id="43"/>
    </w:p>
    <w:p w:rsidR="00CB7A22" w:rsidRDefault="00CB7A22" w:rsidP="00CB7A22">
      <w:pPr>
        <w:spacing w:after="0" w:line="240" w:lineRule="auto"/>
        <w:jc w:val="both"/>
        <w:rPr>
          <w:sz w:val="24"/>
          <w:szCs w:val="24"/>
        </w:rPr>
      </w:pPr>
    </w:p>
    <w:p w:rsidR="00CB7A22" w:rsidRPr="00CB7A22" w:rsidRDefault="00CB7A22" w:rsidP="00CB7A22">
      <w:pPr>
        <w:spacing w:after="0" w:line="240" w:lineRule="auto"/>
        <w:jc w:val="both"/>
        <w:rPr>
          <w:sz w:val="24"/>
          <w:szCs w:val="24"/>
        </w:rPr>
      </w:pPr>
    </w:p>
    <w:p w:rsidR="008746E3" w:rsidRPr="00431C00" w:rsidRDefault="00703F39" w:rsidP="00463803">
      <w:pPr>
        <w:pBdr>
          <w:top w:val="single" w:sz="4" w:space="1" w:color="auto"/>
        </w:pBdr>
        <w:spacing w:after="0" w:line="240" w:lineRule="auto"/>
        <w:jc w:val="both"/>
        <w:rPr>
          <w:sz w:val="20"/>
          <w:szCs w:val="20"/>
        </w:rPr>
      </w:pPr>
      <w:r w:rsidRPr="00431C00">
        <w:rPr>
          <w:sz w:val="20"/>
          <w:szCs w:val="20"/>
          <w:vertAlign w:val="superscript"/>
        </w:rPr>
        <w:t>13</w:t>
      </w:r>
      <w:r w:rsidRPr="00431C00">
        <w:rPr>
          <w:sz w:val="20"/>
          <w:szCs w:val="20"/>
        </w:rPr>
        <w:t xml:space="preserve"> Ώστε να αποδεικνύεται ότι το δικαστήριο έχει δικαιοδοσία να επιλυφθεί της συγκεκριμένης υπόθεσης.</w:t>
      </w:r>
    </w:p>
    <w:p w:rsidR="00F5511F" w:rsidRDefault="008746E3" w:rsidP="00463803">
      <w:pPr>
        <w:pStyle w:val="Heading1"/>
        <w:spacing w:before="0" w:line="240" w:lineRule="auto"/>
        <w:rPr>
          <w:color w:val="auto"/>
        </w:rPr>
      </w:pPr>
      <w:r>
        <w:rPr>
          <w:sz w:val="28"/>
          <w:szCs w:val="28"/>
        </w:rPr>
        <w:br w:type="page"/>
      </w:r>
      <w:bookmarkStart w:id="44" w:name="_Toc419545184"/>
      <w:r w:rsidR="00543A6C" w:rsidRPr="00463803">
        <w:rPr>
          <w:color w:val="auto"/>
        </w:rPr>
        <w:lastRenderedPageBreak/>
        <w:t>Συμπεράσματα</w:t>
      </w:r>
      <w:bookmarkEnd w:id="44"/>
    </w:p>
    <w:p w:rsidR="00CB7A22" w:rsidRPr="00CB7A22" w:rsidRDefault="00CB7A22" w:rsidP="00CB7A22">
      <w:pPr>
        <w:spacing w:after="0" w:line="240" w:lineRule="auto"/>
      </w:pPr>
    </w:p>
    <w:p w:rsidR="004853E3" w:rsidRDefault="00780BAE" w:rsidP="00CB7A22">
      <w:pPr>
        <w:spacing w:after="0" w:line="240" w:lineRule="auto"/>
        <w:jc w:val="both"/>
        <w:rPr>
          <w:sz w:val="24"/>
          <w:szCs w:val="24"/>
        </w:rPr>
      </w:pPr>
      <w:r>
        <w:rPr>
          <w:sz w:val="24"/>
          <w:szCs w:val="24"/>
        </w:rPr>
        <w:t xml:space="preserve">Από μια συγκριτική επισκόπηση του τρόπου λειτουργίας του Διεθνούς Δικαστηρίου Δικαιοσύνης σε σχέση με τον τρόπο λειτουργίας των τριών περιφερειακών δικαστηρίων προστασίας ανθρωπίνων δικαιωμάτων μπορούν να εξαχθούν κάποια συμπεράσματα. </w:t>
      </w:r>
      <w:r w:rsidR="00E22A91">
        <w:rPr>
          <w:sz w:val="24"/>
          <w:szCs w:val="24"/>
        </w:rPr>
        <w:t>Το πρώτο το οποίο μπορεί να εξάγει κανείς εύκολα είναι η έκταση της δικαιοδοσίας του κάθε δικαστηρίου. Το Διεθνές Δικαστήριο Δικαιοσύνης δεν περιορίζεται σε μια Ήπειρο όπως συμβαίνει με τα  τρία περιφερειακά δικαστήρια προστασίας ανθρωπίνων δικαιωμάτων (Ευρωπαϊκό-Ευρώπη, Διαμερικανικό-Αμερική, Αφρικανικό-Αφρική) αλλά αντίθετα</w:t>
      </w:r>
      <w:r w:rsidR="009F6F35">
        <w:rPr>
          <w:sz w:val="24"/>
          <w:szCs w:val="24"/>
        </w:rPr>
        <w:t>,</w:t>
      </w:r>
      <w:r w:rsidR="00E22A91">
        <w:rPr>
          <w:sz w:val="24"/>
          <w:szCs w:val="24"/>
        </w:rPr>
        <w:t xml:space="preserve"> όπως αναλύθηκε ανωτέρω</w:t>
      </w:r>
      <w:r w:rsidR="009F6F35">
        <w:rPr>
          <w:sz w:val="24"/>
          <w:szCs w:val="24"/>
        </w:rPr>
        <w:t>, από την στιγμή που ένα κράτος έχει αναγνωρίσει την δικαιοδοσία του μπορεί να καθίσταται διάδικος ενώπιον του</w:t>
      </w:r>
      <w:r w:rsidR="008F72FA">
        <w:rPr>
          <w:sz w:val="24"/>
          <w:szCs w:val="24"/>
        </w:rPr>
        <w:t xml:space="preserve">, ανεξαρτήτως </w:t>
      </w:r>
      <w:r w:rsidR="00414562">
        <w:rPr>
          <w:sz w:val="24"/>
          <w:szCs w:val="24"/>
        </w:rPr>
        <w:t>Ηπείρου</w:t>
      </w:r>
      <w:r w:rsidR="009F6F35">
        <w:rPr>
          <w:sz w:val="24"/>
          <w:szCs w:val="24"/>
        </w:rPr>
        <w:t>.</w:t>
      </w:r>
      <w:r w:rsidR="00226245">
        <w:rPr>
          <w:sz w:val="24"/>
          <w:szCs w:val="24"/>
        </w:rPr>
        <w:t xml:space="preserve"> Αυτό, ωστόσο, που τα διαφοροποιεί σε επίπεδο προστασίας είναι κυρίως ότι το Διεθνές Δικαστήριο Δικαιοσύνης δεν προβλέπει την δυνατότητα ατομικής προσφυγής, εν αντιθέσει με τα περιφερειακά δικαστήρια </w:t>
      </w:r>
      <w:r w:rsidR="007B5692">
        <w:rPr>
          <w:sz w:val="24"/>
          <w:szCs w:val="24"/>
        </w:rPr>
        <w:t>που την προβλέπουν. Δηλαδή από την μια πλευρά η προστασία που μπορεί να προσφέρει το Διεθνές Δικαστήριο της Χάγης είναι ευρύτερη</w:t>
      </w:r>
      <w:r w:rsidR="00FE0716">
        <w:rPr>
          <w:sz w:val="24"/>
          <w:szCs w:val="24"/>
        </w:rPr>
        <w:t xml:space="preserve"> (προστασία ανεξα</w:t>
      </w:r>
      <w:r w:rsidR="001B21E2">
        <w:rPr>
          <w:sz w:val="24"/>
          <w:szCs w:val="24"/>
        </w:rPr>
        <w:t>ρ</w:t>
      </w:r>
      <w:r w:rsidR="00FE0716">
        <w:rPr>
          <w:sz w:val="24"/>
          <w:szCs w:val="24"/>
        </w:rPr>
        <w:t>τήτως Ηπείρου)</w:t>
      </w:r>
      <w:r w:rsidR="007B5692">
        <w:rPr>
          <w:sz w:val="24"/>
          <w:szCs w:val="24"/>
        </w:rPr>
        <w:t xml:space="preserve"> από αυτή των 3 περιφερειακών δικ</w:t>
      </w:r>
      <w:r w:rsidR="005879CA">
        <w:rPr>
          <w:sz w:val="24"/>
          <w:szCs w:val="24"/>
        </w:rPr>
        <w:t>αστηρίων και από την άλλη</w:t>
      </w:r>
      <w:r w:rsidR="007B5692">
        <w:rPr>
          <w:sz w:val="24"/>
          <w:szCs w:val="24"/>
        </w:rPr>
        <w:t xml:space="preserve"> στενότερη</w:t>
      </w:r>
      <w:r w:rsidR="00FE0716">
        <w:rPr>
          <w:sz w:val="24"/>
          <w:szCs w:val="24"/>
        </w:rPr>
        <w:t xml:space="preserve"> (μόνο κρατική προσφυγή</w:t>
      </w:r>
      <w:r w:rsidR="00D5690D">
        <w:rPr>
          <w:sz w:val="24"/>
          <w:szCs w:val="24"/>
        </w:rPr>
        <w:t>, όχι ατομική</w:t>
      </w:r>
      <w:r w:rsidR="00FE0716">
        <w:rPr>
          <w:sz w:val="24"/>
          <w:szCs w:val="24"/>
        </w:rPr>
        <w:t>)</w:t>
      </w:r>
      <w:r w:rsidR="007B5692">
        <w:rPr>
          <w:sz w:val="24"/>
          <w:szCs w:val="24"/>
        </w:rPr>
        <w:t>.</w:t>
      </w:r>
      <w:r w:rsidR="00DE51B8">
        <w:rPr>
          <w:sz w:val="24"/>
          <w:szCs w:val="24"/>
        </w:rPr>
        <w:t xml:space="preserve"> Τέλος, και τα 3 περιφερειακά δικαστήρια λαμβάνουν αναφορές και καταγγελίες που αφορούν </w:t>
      </w:r>
      <w:r w:rsidR="007F5B49">
        <w:rPr>
          <w:sz w:val="24"/>
          <w:szCs w:val="24"/>
        </w:rPr>
        <w:t xml:space="preserve">τις </w:t>
      </w:r>
      <w:r w:rsidR="003E323C">
        <w:rPr>
          <w:sz w:val="24"/>
          <w:szCs w:val="24"/>
        </w:rPr>
        <w:t>παραβιάσεις δικαιωμάτων που υπάρχουν στις επιμέρους Συμβάσεις τους (ΕΣΔΑ, Διαμερικανική Σύμβαση Ανθρω</w:t>
      </w:r>
      <w:r w:rsidR="00F131D5">
        <w:rPr>
          <w:sz w:val="24"/>
          <w:szCs w:val="24"/>
        </w:rPr>
        <w:t>πίνων Δικαιωμάτων και Αφρικανικός Χάρτης</w:t>
      </w:r>
      <w:r w:rsidR="003E323C">
        <w:rPr>
          <w:sz w:val="24"/>
          <w:szCs w:val="24"/>
        </w:rPr>
        <w:t xml:space="preserve"> για τα Δικαιώματα Ανθρώπων και Λαών). </w:t>
      </w:r>
      <w:r w:rsidR="007F5B49">
        <w:rPr>
          <w:sz w:val="24"/>
          <w:szCs w:val="24"/>
        </w:rPr>
        <w:t xml:space="preserve">Δεν μπορούν να </w:t>
      </w:r>
      <w:r w:rsidR="00541DD4">
        <w:rPr>
          <w:sz w:val="24"/>
          <w:szCs w:val="24"/>
        </w:rPr>
        <w:t>εξετάσουν καταγγελίες</w:t>
      </w:r>
      <w:r w:rsidR="007F5B49">
        <w:rPr>
          <w:sz w:val="24"/>
          <w:szCs w:val="24"/>
        </w:rPr>
        <w:t xml:space="preserve"> που αφορούν δικαιώματα δι</w:t>
      </w:r>
      <w:r w:rsidR="001A23B4">
        <w:rPr>
          <w:sz w:val="24"/>
          <w:szCs w:val="24"/>
        </w:rPr>
        <w:t>άφορα</w:t>
      </w:r>
      <w:r w:rsidR="007F5B49">
        <w:rPr>
          <w:sz w:val="24"/>
          <w:szCs w:val="24"/>
        </w:rPr>
        <w:t xml:space="preserve"> από αυτών τη Σύμβασης τους αλλά ούτε άλλους τύπους υποθέσεων, δηλαδή διαφορές που δεν έχουν σχέση με τα ανθρώπινα δικαιώματα.</w:t>
      </w:r>
      <w:r w:rsidR="00DE51B8">
        <w:rPr>
          <w:sz w:val="24"/>
          <w:szCs w:val="24"/>
        </w:rPr>
        <w:t xml:space="preserve"> </w:t>
      </w:r>
      <w:r w:rsidR="00452CCF">
        <w:rPr>
          <w:sz w:val="24"/>
          <w:szCs w:val="24"/>
        </w:rPr>
        <w:t>Αντιθέτως, το Διεθνές Δικαστήριο μπορεί να επιλυφθεί διάφορους τύπους υπόθεσεων αναλόγως της διεθνούς συνθήκης που έχουν κυρώσει τα κράτη (π.χ. διαφορές που αφορούν τις οικονομικές ή εμπορικές σχέσεις μεταξύ των κρατών)</w:t>
      </w:r>
      <w:r w:rsidR="005C49F3">
        <w:rPr>
          <w:sz w:val="24"/>
          <w:szCs w:val="24"/>
        </w:rPr>
        <w:t>. Δ</w:t>
      </w:r>
      <w:r w:rsidR="00863BDC">
        <w:rPr>
          <w:sz w:val="24"/>
          <w:szCs w:val="24"/>
        </w:rPr>
        <w:t>εν μπορεί</w:t>
      </w:r>
      <w:r w:rsidR="005C49F3">
        <w:rPr>
          <w:sz w:val="24"/>
          <w:szCs w:val="24"/>
        </w:rPr>
        <w:t>, όμως,</w:t>
      </w:r>
      <w:r w:rsidR="00863BDC">
        <w:rPr>
          <w:sz w:val="24"/>
          <w:szCs w:val="24"/>
        </w:rPr>
        <w:t xml:space="preserve"> να επιλυφθεί αναφορ</w:t>
      </w:r>
      <w:r w:rsidR="00F44EDE">
        <w:rPr>
          <w:sz w:val="24"/>
          <w:szCs w:val="24"/>
        </w:rPr>
        <w:t>ών</w:t>
      </w:r>
      <w:r w:rsidR="00863BDC">
        <w:rPr>
          <w:sz w:val="24"/>
          <w:szCs w:val="24"/>
        </w:rPr>
        <w:t xml:space="preserve"> που αφορούν δικαιώματ</w:t>
      </w:r>
      <w:r w:rsidR="00AF077B">
        <w:rPr>
          <w:sz w:val="24"/>
          <w:szCs w:val="24"/>
        </w:rPr>
        <w:t>α</w:t>
      </w:r>
      <w:r w:rsidR="00863BDC">
        <w:rPr>
          <w:sz w:val="24"/>
          <w:szCs w:val="24"/>
        </w:rPr>
        <w:t xml:space="preserve"> των εν λόγω Συμβάσεων γιατί </w:t>
      </w:r>
      <w:r w:rsidR="00AF077B">
        <w:rPr>
          <w:sz w:val="24"/>
          <w:szCs w:val="24"/>
        </w:rPr>
        <w:t xml:space="preserve">για αυτές, δικαιοδοσία να επιλύουν αυτές τις διαφορές έχουν </w:t>
      </w:r>
      <w:r w:rsidR="00A3423A">
        <w:rPr>
          <w:sz w:val="24"/>
          <w:szCs w:val="24"/>
        </w:rPr>
        <w:t>τα επιμέρους δικαστήρια τους.</w:t>
      </w:r>
      <w:r w:rsidR="00433B29">
        <w:rPr>
          <w:sz w:val="24"/>
          <w:szCs w:val="24"/>
        </w:rPr>
        <w:t xml:space="preserve"> Όπως έγινε αντιληπτό πρόκειται για ένα τελείως διαφορετικό επίπεδο προστασία. </w:t>
      </w:r>
      <w:r w:rsidR="00B45BDA">
        <w:rPr>
          <w:sz w:val="24"/>
          <w:szCs w:val="24"/>
        </w:rPr>
        <w:t>Το Διεθνές Δικαστήριο δεν είναι δικαστήριο ανθρ</w:t>
      </w:r>
      <w:r w:rsidR="00817925">
        <w:rPr>
          <w:sz w:val="24"/>
          <w:szCs w:val="24"/>
        </w:rPr>
        <w:t>ωπίνων</w:t>
      </w:r>
      <w:r w:rsidR="00B45BDA">
        <w:rPr>
          <w:sz w:val="24"/>
          <w:szCs w:val="24"/>
        </w:rPr>
        <w:t xml:space="preserve"> δικαι</w:t>
      </w:r>
      <w:r w:rsidR="00817925">
        <w:rPr>
          <w:sz w:val="24"/>
          <w:szCs w:val="24"/>
        </w:rPr>
        <w:t>ωμάτων</w:t>
      </w:r>
      <w:r w:rsidR="00B45BDA">
        <w:rPr>
          <w:sz w:val="24"/>
          <w:szCs w:val="24"/>
        </w:rPr>
        <w:t xml:space="preserve"> αλλά δικαστήριο επίλυσης διακρατικών διαφορών</w:t>
      </w:r>
      <w:r w:rsidR="00D526E9">
        <w:rPr>
          <w:sz w:val="24"/>
          <w:szCs w:val="24"/>
        </w:rPr>
        <w:t xml:space="preserve">. Αντίθετα, τα τρία περιφερειακά </w:t>
      </w:r>
      <w:r w:rsidR="002B6134">
        <w:rPr>
          <w:sz w:val="24"/>
          <w:szCs w:val="24"/>
        </w:rPr>
        <w:t xml:space="preserve">δικαστήρια </w:t>
      </w:r>
      <w:r w:rsidR="00FF2FAE">
        <w:rPr>
          <w:sz w:val="24"/>
          <w:szCs w:val="24"/>
        </w:rPr>
        <w:t>επιλύουν διαφορές</w:t>
      </w:r>
      <w:r w:rsidR="00BD0DFF">
        <w:rPr>
          <w:sz w:val="24"/>
          <w:szCs w:val="24"/>
        </w:rPr>
        <w:t xml:space="preserve"> </w:t>
      </w:r>
      <w:r w:rsidR="00CC0317">
        <w:rPr>
          <w:sz w:val="24"/>
          <w:szCs w:val="24"/>
        </w:rPr>
        <w:t xml:space="preserve">που αφορούν τα </w:t>
      </w:r>
      <w:r w:rsidR="00FF2FAE">
        <w:rPr>
          <w:sz w:val="24"/>
          <w:szCs w:val="24"/>
        </w:rPr>
        <w:t>ανθρ</w:t>
      </w:r>
      <w:r w:rsidR="00CC0317">
        <w:rPr>
          <w:sz w:val="24"/>
          <w:szCs w:val="24"/>
        </w:rPr>
        <w:t>ώ</w:t>
      </w:r>
      <w:r w:rsidR="00BD0DFF">
        <w:rPr>
          <w:sz w:val="24"/>
          <w:szCs w:val="24"/>
        </w:rPr>
        <w:t>π</w:t>
      </w:r>
      <w:r w:rsidR="00CC0317">
        <w:rPr>
          <w:sz w:val="24"/>
          <w:szCs w:val="24"/>
        </w:rPr>
        <w:t>ινα</w:t>
      </w:r>
      <w:r w:rsidR="00FF2FAE">
        <w:rPr>
          <w:sz w:val="24"/>
          <w:szCs w:val="24"/>
        </w:rPr>
        <w:t xml:space="preserve"> δικαι</w:t>
      </w:r>
      <w:r w:rsidR="00CC0317">
        <w:rPr>
          <w:sz w:val="24"/>
          <w:szCs w:val="24"/>
        </w:rPr>
        <w:t>ώματα</w:t>
      </w:r>
      <w:r w:rsidR="00FF2FAE">
        <w:rPr>
          <w:sz w:val="24"/>
          <w:szCs w:val="24"/>
        </w:rPr>
        <w:t xml:space="preserve"> και ως επί το πλείστον επιλαμβάνονται ατομικών προσφυγών</w:t>
      </w:r>
      <w:r w:rsidR="004853E3" w:rsidRPr="004853E3">
        <w:rPr>
          <w:sz w:val="24"/>
          <w:szCs w:val="24"/>
          <w:vertAlign w:val="superscript"/>
        </w:rPr>
        <w:t>14</w:t>
      </w:r>
      <w:r w:rsidR="004853E3">
        <w:rPr>
          <w:sz w:val="24"/>
          <w:szCs w:val="24"/>
        </w:rPr>
        <w:t>.</w:t>
      </w:r>
    </w:p>
    <w:p w:rsidR="00CB7A22" w:rsidRDefault="00CB7A22" w:rsidP="00CB7A22">
      <w:pPr>
        <w:spacing w:after="0" w:line="240" w:lineRule="auto"/>
        <w:jc w:val="both"/>
        <w:rPr>
          <w:sz w:val="24"/>
          <w:szCs w:val="24"/>
        </w:rPr>
      </w:pPr>
    </w:p>
    <w:p w:rsidR="004853E3" w:rsidRDefault="004853E3" w:rsidP="00463803">
      <w:pPr>
        <w:spacing w:after="0" w:line="240" w:lineRule="auto"/>
        <w:jc w:val="both"/>
        <w:rPr>
          <w:sz w:val="24"/>
          <w:szCs w:val="24"/>
        </w:rPr>
      </w:pPr>
      <w:r>
        <w:rPr>
          <w:sz w:val="24"/>
          <w:szCs w:val="24"/>
        </w:rPr>
        <w:t>Περαιτέρω, εξαιρώντας το Διεθνές Δικαστήριο της Χάγης και εξετάζοντας τα τρία υπάρχοντα δικαστήρια προστασίας ανθρωπίνων δικαιωμάτων (Ευρωπαϊκό,</w:t>
      </w:r>
      <w:r w:rsidR="00CB7A22">
        <w:rPr>
          <w:sz w:val="24"/>
          <w:szCs w:val="24"/>
        </w:rPr>
        <w:t xml:space="preserve"> Διαμερικανικό, και Αφρικανικό) αυτό που μπορεί να διαπιστώσει κανείς είναι ότι υπάρχουν μεγάλες ομοιότητες όσο αφορά το διαδικαστικό και δικονομικό κομμάτι τους.</w:t>
      </w:r>
    </w:p>
    <w:p w:rsidR="00CB7A22" w:rsidRDefault="00CB7A22" w:rsidP="00463803">
      <w:pPr>
        <w:spacing w:after="0" w:line="240" w:lineRule="auto"/>
        <w:jc w:val="both"/>
        <w:rPr>
          <w:sz w:val="24"/>
          <w:szCs w:val="24"/>
        </w:rPr>
      </w:pPr>
    </w:p>
    <w:p w:rsidR="00CB7A22" w:rsidRDefault="00CB7A22" w:rsidP="00463803">
      <w:pPr>
        <w:spacing w:after="0" w:line="240" w:lineRule="auto"/>
        <w:jc w:val="both"/>
        <w:rPr>
          <w:sz w:val="24"/>
          <w:szCs w:val="24"/>
        </w:rPr>
      </w:pPr>
    </w:p>
    <w:p w:rsidR="00CB7A22" w:rsidRDefault="004853E3" w:rsidP="00463803">
      <w:pPr>
        <w:pBdr>
          <w:top w:val="single" w:sz="4" w:space="1" w:color="auto"/>
        </w:pBdr>
        <w:spacing w:after="0" w:line="240" w:lineRule="auto"/>
        <w:jc w:val="both"/>
        <w:rPr>
          <w:sz w:val="20"/>
          <w:szCs w:val="20"/>
        </w:rPr>
      </w:pPr>
      <w:r w:rsidRPr="004853E3">
        <w:rPr>
          <w:sz w:val="20"/>
          <w:szCs w:val="20"/>
          <w:vertAlign w:val="superscript"/>
        </w:rPr>
        <w:t>14</w:t>
      </w:r>
      <w:r>
        <w:rPr>
          <w:sz w:val="20"/>
          <w:szCs w:val="20"/>
          <w:vertAlign w:val="superscript"/>
        </w:rPr>
        <w:t xml:space="preserve"> </w:t>
      </w:r>
      <w:r>
        <w:rPr>
          <w:sz w:val="20"/>
          <w:szCs w:val="20"/>
        </w:rPr>
        <w:t xml:space="preserve">Επιλαμβάνονται και </w:t>
      </w:r>
      <w:r w:rsidRPr="004853E3">
        <w:rPr>
          <w:sz w:val="20"/>
          <w:szCs w:val="20"/>
        </w:rPr>
        <w:t xml:space="preserve"> διαφορές </w:t>
      </w:r>
      <w:r>
        <w:rPr>
          <w:sz w:val="20"/>
          <w:szCs w:val="20"/>
        </w:rPr>
        <w:t xml:space="preserve">μεταξύ κρατών </w:t>
      </w:r>
      <w:r w:rsidRPr="004853E3">
        <w:rPr>
          <w:sz w:val="20"/>
          <w:szCs w:val="20"/>
        </w:rPr>
        <w:t>αλλά σε μικρότερο ποσοστό</w:t>
      </w:r>
      <w:r>
        <w:rPr>
          <w:sz w:val="20"/>
          <w:szCs w:val="20"/>
        </w:rPr>
        <w:t xml:space="preserve"> π.χ. Από το 1954 εώς το 1995 είχαν γίνει μόνο 12 διακρατικές προσφυγές, ενώπιον της τότε Ευρωπαϊκής Επιτροπής Δικαιωμάτων του Ανθρώπου, ενώ οι ατομικές προσφυγές υπερέβαιναν τις 20 χιλιάδες</w:t>
      </w:r>
      <w:r w:rsidR="00477D08">
        <w:rPr>
          <w:sz w:val="20"/>
          <w:szCs w:val="20"/>
        </w:rPr>
        <w:t>, παρά το γεγονός ότι η ατομική προσφυγή θεσπίστηκε μόλις το 1985</w:t>
      </w:r>
      <w:r>
        <w:rPr>
          <w:sz w:val="20"/>
          <w:szCs w:val="20"/>
        </w:rPr>
        <w:t>.</w:t>
      </w:r>
    </w:p>
    <w:p w:rsidR="00CB7A22" w:rsidRDefault="00CB7A22" w:rsidP="00CB7A22">
      <w:r>
        <w:br w:type="page"/>
      </w:r>
    </w:p>
    <w:p w:rsidR="00D57161" w:rsidRDefault="000F3DFC" w:rsidP="00463803">
      <w:pPr>
        <w:spacing w:after="0" w:line="240" w:lineRule="auto"/>
        <w:jc w:val="both"/>
        <w:rPr>
          <w:sz w:val="24"/>
          <w:szCs w:val="24"/>
        </w:rPr>
      </w:pPr>
      <w:r>
        <w:rPr>
          <w:sz w:val="24"/>
          <w:szCs w:val="24"/>
        </w:rPr>
        <w:lastRenderedPageBreak/>
        <w:t xml:space="preserve">Οι προϋποθέσεις </w:t>
      </w:r>
      <w:r w:rsidR="004C4686">
        <w:rPr>
          <w:sz w:val="24"/>
          <w:szCs w:val="24"/>
        </w:rPr>
        <w:t>πρόσβασης σε αυτά</w:t>
      </w:r>
      <w:r>
        <w:rPr>
          <w:sz w:val="24"/>
          <w:szCs w:val="24"/>
        </w:rPr>
        <w:t xml:space="preserve"> είναι σε μεγάλο βαθμό ίδιες μεταξύ τους. Αλλά και όσο αφορά το Ασιατικό δικαστήριο</w:t>
      </w:r>
      <w:r w:rsidR="00420FA9">
        <w:rPr>
          <w:sz w:val="24"/>
          <w:szCs w:val="24"/>
        </w:rPr>
        <w:t>, το οποίο δεν υ</w:t>
      </w:r>
      <w:r w:rsidR="007F3CDB">
        <w:rPr>
          <w:sz w:val="24"/>
          <w:szCs w:val="24"/>
        </w:rPr>
        <w:t>φίσταται</w:t>
      </w:r>
      <w:r w:rsidR="00420FA9">
        <w:rPr>
          <w:sz w:val="24"/>
          <w:szCs w:val="24"/>
        </w:rPr>
        <w:t>,</w:t>
      </w:r>
      <w:r>
        <w:rPr>
          <w:sz w:val="24"/>
          <w:szCs w:val="24"/>
        </w:rPr>
        <w:t xml:space="preserve"> η βάση πάνω στην οποία συζητάται η δημιουργία του είναι </w:t>
      </w:r>
      <w:r w:rsidR="00F827DA">
        <w:rPr>
          <w:sz w:val="24"/>
          <w:szCs w:val="24"/>
        </w:rPr>
        <w:t xml:space="preserve">η δομή </w:t>
      </w:r>
      <w:r>
        <w:rPr>
          <w:sz w:val="24"/>
          <w:szCs w:val="24"/>
        </w:rPr>
        <w:t>τ</w:t>
      </w:r>
      <w:r w:rsidR="00F827DA">
        <w:rPr>
          <w:sz w:val="24"/>
          <w:szCs w:val="24"/>
        </w:rPr>
        <w:t>ων</w:t>
      </w:r>
      <w:r>
        <w:rPr>
          <w:sz w:val="24"/>
          <w:szCs w:val="24"/>
        </w:rPr>
        <w:t xml:space="preserve"> ήδη υπ</w:t>
      </w:r>
      <w:r w:rsidR="00D93B5B">
        <w:rPr>
          <w:sz w:val="24"/>
          <w:szCs w:val="24"/>
        </w:rPr>
        <w:t>ά</w:t>
      </w:r>
      <w:r w:rsidR="00F827DA">
        <w:rPr>
          <w:sz w:val="24"/>
          <w:szCs w:val="24"/>
        </w:rPr>
        <w:t>ρχ</w:t>
      </w:r>
      <w:r w:rsidR="00D93B5B">
        <w:rPr>
          <w:sz w:val="24"/>
          <w:szCs w:val="24"/>
        </w:rPr>
        <w:t>ο</w:t>
      </w:r>
      <w:r w:rsidR="00F827DA">
        <w:rPr>
          <w:sz w:val="24"/>
          <w:szCs w:val="24"/>
        </w:rPr>
        <w:t>ντων</w:t>
      </w:r>
      <w:r>
        <w:rPr>
          <w:sz w:val="24"/>
          <w:szCs w:val="24"/>
        </w:rPr>
        <w:t xml:space="preserve"> δικαστ</w:t>
      </w:r>
      <w:r w:rsidR="00F827DA">
        <w:rPr>
          <w:sz w:val="24"/>
          <w:szCs w:val="24"/>
        </w:rPr>
        <w:t>ηρίων</w:t>
      </w:r>
      <w:r w:rsidR="00571D99">
        <w:rPr>
          <w:sz w:val="24"/>
          <w:szCs w:val="24"/>
        </w:rPr>
        <w:t xml:space="preserve"> προστασίας ανθρωπίνων δικαιωμάτων</w:t>
      </w:r>
      <w:r>
        <w:rPr>
          <w:sz w:val="24"/>
          <w:szCs w:val="24"/>
        </w:rPr>
        <w:t xml:space="preserve">. </w:t>
      </w:r>
      <w:r w:rsidR="004C4686">
        <w:rPr>
          <w:sz w:val="24"/>
          <w:szCs w:val="24"/>
        </w:rPr>
        <w:t xml:space="preserve">Θεωρούνται αρκετά χρήσιμες οι εμπειρίες και η βοήθεια που μπορούν να παρέχουν τα τρία αυτά δικαστικά συστήματα στην Ασία. </w:t>
      </w:r>
      <w:r>
        <w:rPr>
          <w:sz w:val="24"/>
          <w:szCs w:val="24"/>
        </w:rPr>
        <w:t>Φαίνεται</w:t>
      </w:r>
      <w:r w:rsidR="004C4686">
        <w:rPr>
          <w:sz w:val="24"/>
          <w:szCs w:val="24"/>
        </w:rPr>
        <w:t>, συνεπώς,</w:t>
      </w:r>
      <w:r>
        <w:rPr>
          <w:sz w:val="24"/>
          <w:szCs w:val="24"/>
        </w:rPr>
        <w:t xml:space="preserve"> να υπάρχει ενότητα των δικαιϊκών συστημάτων σε παγκόσμιο επίπεδο. </w:t>
      </w:r>
    </w:p>
    <w:p w:rsidR="00CB7A22" w:rsidRDefault="00CB7A22" w:rsidP="00463803">
      <w:pPr>
        <w:spacing w:after="0" w:line="240" w:lineRule="auto"/>
        <w:jc w:val="both"/>
        <w:rPr>
          <w:sz w:val="24"/>
          <w:szCs w:val="24"/>
        </w:rPr>
      </w:pPr>
    </w:p>
    <w:p w:rsidR="00C23596" w:rsidRDefault="00C23596" w:rsidP="00463803">
      <w:pPr>
        <w:spacing w:after="0" w:line="240" w:lineRule="auto"/>
        <w:jc w:val="both"/>
        <w:rPr>
          <w:sz w:val="24"/>
          <w:szCs w:val="24"/>
        </w:rPr>
      </w:pPr>
      <w:r>
        <w:rPr>
          <w:sz w:val="24"/>
          <w:szCs w:val="24"/>
        </w:rPr>
        <w:t>Αν, ωστόσο, εξετάσει κανείς όχι το δικονομικό-διαδικαστικό πλαίσιο αλλά το ουσι</w:t>
      </w:r>
      <w:r w:rsidR="00A32BEF">
        <w:rPr>
          <w:sz w:val="24"/>
          <w:szCs w:val="24"/>
        </w:rPr>
        <w:t>α</w:t>
      </w:r>
      <w:r>
        <w:rPr>
          <w:sz w:val="24"/>
          <w:szCs w:val="24"/>
        </w:rPr>
        <w:t xml:space="preserve">στικό πλαίσιο ή ορθότερα τα ουσιαστικά αποτελέσματα σε επίπεδο προστασίας ανθρωπίνων δικαιωμάτων θα διαπιστώσει  </w:t>
      </w:r>
      <w:r w:rsidR="006F379F">
        <w:rPr>
          <w:sz w:val="24"/>
          <w:szCs w:val="24"/>
        </w:rPr>
        <w:t>ότι υπάρχει μεγάλο χάσμα μεταξύ των 3 δικαστηρίων. Χαρακτηριστικό παράδειγμα αυτής της διαφοροποίησης που υπάρχει μεταξύ των δικαστηρίων αποτελεί το γεγονός ότι το Αφρικανικό δικαστήριο μέσα σε 10 χρόνια από την δημιουργία του έχει λάβει μόνο 28 προσφυγές εν αντιθέσει με το ΕΔΔΑ που λαμβά</w:t>
      </w:r>
      <w:r w:rsidR="00F96580">
        <w:rPr>
          <w:sz w:val="24"/>
          <w:szCs w:val="24"/>
        </w:rPr>
        <w:t>νει κάθε χρόνο χιλιάδες προσφυγέ</w:t>
      </w:r>
      <w:r w:rsidR="006F379F">
        <w:rPr>
          <w:sz w:val="24"/>
          <w:szCs w:val="24"/>
        </w:rPr>
        <w:t>ς.</w:t>
      </w:r>
      <w:r w:rsidR="00400946">
        <w:rPr>
          <w:sz w:val="24"/>
          <w:szCs w:val="24"/>
        </w:rPr>
        <w:t xml:space="preserve"> </w:t>
      </w:r>
      <w:r w:rsidR="009148D9">
        <w:rPr>
          <w:sz w:val="24"/>
          <w:szCs w:val="24"/>
        </w:rPr>
        <w:t xml:space="preserve">Το γεγονός ότι το ΕΔΔΑ έχει δημιουργηθεί από το 1959, ενώ το Αφρικανικό δικαστήριο δημιουργήθηκε μόλις το 2004, θα μπορούσε να </w:t>
      </w:r>
      <w:r w:rsidR="0043288B">
        <w:rPr>
          <w:sz w:val="24"/>
          <w:szCs w:val="24"/>
        </w:rPr>
        <w:t>θεωρηθεί η αιτία αυτής της διαφοροποίησης</w:t>
      </w:r>
      <w:r w:rsidR="001F6666">
        <w:rPr>
          <w:sz w:val="24"/>
          <w:szCs w:val="24"/>
        </w:rPr>
        <w:t>. Ωστόσο, μια τέτοια ερμηνεία δε φαίνεται να εξ</w:t>
      </w:r>
      <w:r w:rsidR="00331EC3">
        <w:rPr>
          <w:sz w:val="24"/>
          <w:szCs w:val="24"/>
        </w:rPr>
        <w:t>η</w:t>
      </w:r>
      <w:r w:rsidR="001F6666">
        <w:rPr>
          <w:sz w:val="24"/>
          <w:szCs w:val="24"/>
        </w:rPr>
        <w:t>γε</w:t>
      </w:r>
      <w:r w:rsidR="00331EC3">
        <w:rPr>
          <w:sz w:val="24"/>
          <w:szCs w:val="24"/>
        </w:rPr>
        <w:t>ί</w:t>
      </w:r>
      <w:r w:rsidR="001F6666">
        <w:rPr>
          <w:sz w:val="24"/>
          <w:szCs w:val="24"/>
        </w:rPr>
        <w:t xml:space="preserve"> επαρκώς τον λόγο για τον οποίο το ΕΔΔΑ έχει μια τόσο πλούσια νομολογία εν αντιθέσει με το Αφρικανικό δικαστήριο. </w:t>
      </w:r>
      <w:r w:rsidR="009C7BC2">
        <w:rPr>
          <w:sz w:val="24"/>
          <w:szCs w:val="24"/>
        </w:rPr>
        <w:t>Αυτή η διαφ</w:t>
      </w:r>
      <w:r w:rsidR="0058118B">
        <w:rPr>
          <w:sz w:val="24"/>
          <w:szCs w:val="24"/>
        </w:rPr>
        <w:t>ο</w:t>
      </w:r>
      <w:r w:rsidR="009C7BC2">
        <w:rPr>
          <w:sz w:val="24"/>
          <w:szCs w:val="24"/>
        </w:rPr>
        <w:t>ροποίηση</w:t>
      </w:r>
      <w:r w:rsidR="00400946">
        <w:rPr>
          <w:sz w:val="24"/>
          <w:szCs w:val="24"/>
        </w:rPr>
        <w:t xml:space="preserve"> οφείλεται </w:t>
      </w:r>
      <w:r w:rsidR="00611BE0">
        <w:rPr>
          <w:sz w:val="24"/>
          <w:szCs w:val="24"/>
        </w:rPr>
        <w:t xml:space="preserve">τόσο σε </w:t>
      </w:r>
      <w:r w:rsidR="009E76AA">
        <w:rPr>
          <w:sz w:val="24"/>
          <w:szCs w:val="24"/>
        </w:rPr>
        <w:t>κοινωνιολογικούς</w:t>
      </w:r>
      <w:r w:rsidR="00611BE0">
        <w:rPr>
          <w:sz w:val="24"/>
          <w:szCs w:val="24"/>
        </w:rPr>
        <w:t xml:space="preserve"> όσο και σε οικονομικούς λόγους. </w:t>
      </w:r>
      <w:r w:rsidR="0058118B">
        <w:rPr>
          <w:sz w:val="24"/>
          <w:szCs w:val="24"/>
        </w:rPr>
        <w:t>Τα</w:t>
      </w:r>
      <w:r w:rsidR="00611BE0">
        <w:rPr>
          <w:sz w:val="24"/>
          <w:szCs w:val="24"/>
        </w:rPr>
        <w:t xml:space="preserve"> κοινωνιολογικ</w:t>
      </w:r>
      <w:r w:rsidR="0058118B">
        <w:rPr>
          <w:sz w:val="24"/>
          <w:szCs w:val="24"/>
        </w:rPr>
        <w:t>ά</w:t>
      </w:r>
      <w:r w:rsidR="00611BE0">
        <w:rPr>
          <w:sz w:val="24"/>
          <w:szCs w:val="24"/>
        </w:rPr>
        <w:t xml:space="preserve"> </w:t>
      </w:r>
      <w:r w:rsidR="0058118B">
        <w:rPr>
          <w:sz w:val="24"/>
          <w:szCs w:val="24"/>
        </w:rPr>
        <w:t>αίτια</w:t>
      </w:r>
      <w:r w:rsidR="009E76AA">
        <w:rPr>
          <w:sz w:val="24"/>
          <w:szCs w:val="24"/>
        </w:rPr>
        <w:t xml:space="preserve"> σχετίζοντ</w:t>
      </w:r>
      <w:r w:rsidR="0058118B">
        <w:rPr>
          <w:sz w:val="24"/>
          <w:szCs w:val="24"/>
        </w:rPr>
        <w:t>αι με το μορφωτικό επίπεδο και τα</w:t>
      </w:r>
      <w:r w:rsidR="009E76AA">
        <w:rPr>
          <w:sz w:val="24"/>
          <w:szCs w:val="24"/>
        </w:rPr>
        <w:t xml:space="preserve"> οικονομικ</w:t>
      </w:r>
      <w:r w:rsidR="0058118B">
        <w:rPr>
          <w:sz w:val="24"/>
          <w:szCs w:val="24"/>
        </w:rPr>
        <w:t>ά</w:t>
      </w:r>
      <w:r w:rsidR="009E76AA">
        <w:rPr>
          <w:sz w:val="24"/>
          <w:szCs w:val="24"/>
        </w:rPr>
        <w:t xml:space="preserve"> με το βιωτικό επίπεδο των πολιτών των χωρών που είναι</w:t>
      </w:r>
      <w:r w:rsidR="00A32BEF">
        <w:rPr>
          <w:sz w:val="24"/>
          <w:szCs w:val="24"/>
        </w:rPr>
        <w:t xml:space="preserve"> συμβαλλόμενα μέρη στις επιμέρους</w:t>
      </w:r>
      <w:r w:rsidR="009E76AA">
        <w:rPr>
          <w:sz w:val="24"/>
          <w:szCs w:val="24"/>
        </w:rPr>
        <w:t xml:space="preserve"> Συμβάσεις.</w:t>
      </w:r>
      <w:r w:rsidR="009762C0">
        <w:rPr>
          <w:sz w:val="24"/>
          <w:szCs w:val="24"/>
        </w:rPr>
        <w:t xml:space="preserve"> Τόσο στην λατινική Αμερική όσο και στην Αφρική η μόρφωση αλλά και </w:t>
      </w:r>
      <w:r w:rsidR="00D16069">
        <w:rPr>
          <w:sz w:val="24"/>
          <w:szCs w:val="24"/>
        </w:rPr>
        <w:t>η διαβίωση των πολιτών είναι σε α</w:t>
      </w:r>
      <w:r w:rsidR="009762C0">
        <w:rPr>
          <w:sz w:val="24"/>
          <w:szCs w:val="24"/>
        </w:rPr>
        <w:t>ρκετά χαμηλότερο επίπεδο από αυτό της Ευρώπης.</w:t>
      </w:r>
      <w:r w:rsidR="004119A7">
        <w:rPr>
          <w:sz w:val="24"/>
          <w:szCs w:val="24"/>
        </w:rPr>
        <w:t xml:space="preserve"> Και οι 2 αυτές αιτίες αποτελούν ανασταλτικούς παράγοντες για την πρόσβαση των πολιτών στο Διαμερικανικό ή στο Αφρικανικό δικαστήριο.</w:t>
      </w:r>
      <w:r w:rsidR="00660CFA">
        <w:rPr>
          <w:sz w:val="24"/>
          <w:szCs w:val="24"/>
        </w:rPr>
        <w:t xml:space="preserve"> Ακόμα, όμως, οφείλεται και στο γεγονός ότι και τα 2 δικαστήρια έχουν </w:t>
      </w:r>
      <w:r w:rsidR="00C37003">
        <w:rPr>
          <w:sz w:val="24"/>
          <w:szCs w:val="24"/>
        </w:rPr>
        <w:t xml:space="preserve">«αντιγράψει» τον τρόπο λειτουργίας και τις προϋποθέσεις πρόσβασης σε αυτά, χωρίς, ωστόσο, να έχει εξεταστεί αν αυτά ανταποκρίνονται στις ανάγκες </w:t>
      </w:r>
      <w:r w:rsidR="00D16069">
        <w:rPr>
          <w:sz w:val="24"/>
          <w:szCs w:val="24"/>
        </w:rPr>
        <w:t>της λατινικής Αμερικής ή της Αφρικής, και ακόμα περισσότερο αν γενικότερα η δημιουργία ενός δικαστηρίου ανθρωπίνων δικαιωμάτων μπορεί να φέρει τα αποτελέσματα που έχει φέρει στην Ευρώπη το Ευρωπαϊκ</w:t>
      </w:r>
      <w:r w:rsidR="00CB7A22">
        <w:rPr>
          <w:sz w:val="24"/>
          <w:szCs w:val="24"/>
        </w:rPr>
        <w:t>ό</w:t>
      </w:r>
      <w:r w:rsidR="00D16069">
        <w:rPr>
          <w:sz w:val="24"/>
          <w:szCs w:val="24"/>
        </w:rPr>
        <w:t xml:space="preserve"> δικαστήριο.</w:t>
      </w:r>
    </w:p>
    <w:p w:rsidR="00CB7A22" w:rsidRDefault="00CB7A22" w:rsidP="00463803">
      <w:pPr>
        <w:spacing w:after="0" w:line="240" w:lineRule="auto"/>
        <w:jc w:val="both"/>
        <w:rPr>
          <w:sz w:val="24"/>
          <w:szCs w:val="24"/>
        </w:rPr>
      </w:pPr>
    </w:p>
    <w:p w:rsidR="00A45D57" w:rsidRDefault="00A45D57" w:rsidP="00463803">
      <w:pPr>
        <w:spacing w:after="0" w:line="240" w:lineRule="auto"/>
        <w:jc w:val="both"/>
        <w:rPr>
          <w:sz w:val="24"/>
          <w:szCs w:val="24"/>
        </w:rPr>
      </w:pPr>
      <w:r>
        <w:rPr>
          <w:sz w:val="24"/>
          <w:szCs w:val="24"/>
        </w:rPr>
        <w:t>Το συμπέρασμα, λοιπόν, στο οποίο μπορεί να καταλήξει κανείς είναι ότι δεν αρκεί για την αποτελεσματική προστασία των ανθρωπίνων δικαιωμάτων η δημιουργία ενός δικαστικού συστήματος</w:t>
      </w:r>
      <w:r w:rsidR="0058118B">
        <w:rPr>
          <w:sz w:val="24"/>
          <w:szCs w:val="24"/>
        </w:rPr>
        <w:t>,</w:t>
      </w:r>
      <w:r>
        <w:rPr>
          <w:sz w:val="24"/>
          <w:szCs w:val="24"/>
        </w:rPr>
        <w:t xml:space="preserve"> ούτε </w:t>
      </w:r>
      <w:r w:rsidR="00A32BEF">
        <w:rPr>
          <w:sz w:val="24"/>
          <w:szCs w:val="24"/>
        </w:rPr>
        <w:t>η δημιουργία Συμβάσεων προστασίας ανθρωπίνων δικαιωμάτων</w:t>
      </w:r>
      <w:r w:rsidR="00125B73">
        <w:rPr>
          <w:sz w:val="24"/>
          <w:szCs w:val="24"/>
        </w:rPr>
        <w:t>, όσο άρτιες και αν είναι</w:t>
      </w:r>
      <w:r w:rsidR="00C90F2C" w:rsidRPr="00C90F2C">
        <w:rPr>
          <w:sz w:val="24"/>
          <w:szCs w:val="24"/>
          <w:vertAlign w:val="superscript"/>
        </w:rPr>
        <w:t>11</w:t>
      </w:r>
      <w:r w:rsidR="00A32BEF">
        <w:rPr>
          <w:sz w:val="24"/>
          <w:szCs w:val="24"/>
        </w:rPr>
        <w:t xml:space="preserve">. </w:t>
      </w:r>
      <w:r w:rsidR="00BA0FC9">
        <w:rPr>
          <w:sz w:val="24"/>
          <w:szCs w:val="24"/>
        </w:rPr>
        <w:t>Αλλά αυτό που</w:t>
      </w:r>
      <w:r w:rsidR="00BA0FC9" w:rsidRPr="00BA0FC9">
        <w:rPr>
          <w:sz w:val="24"/>
          <w:szCs w:val="24"/>
        </w:rPr>
        <w:t xml:space="preserve"> </w:t>
      </w:r>
      <w:r w:rsidR="00BA0FC9">
        <w:rPr>
          <w:sz w:val="24"/>
          <w:szCs w:val="24"/>
        </w:rPr>
        <w:t>χρειάζεται</w:t>
      </w:r>
      <w:r w:rsidR="00CB7A22">
        <w:rPr>
          <w:sz w:val="24"/>
          <w:szCs w:val="24"/>
        </w:rPr>
        <w:t xml:space="preserve"> είναι τόσο τα δικαστικά συστήματα όσο και οι Συμβάσεις να τυγχάνουν εφαρμογής στην πράξη. Αν αυτό δεν είναι εφικτό, για τους λόγους που αναφέρθηκαν παρπάνω, τότε, η ύπαρξη αυτών των δικαιϊκών συστημάτων είναι άνευ αντικειμένου. Και ενδεχομένως και η δημιουργία του Ασιατικού δικαστηρίου να μην είναι τόσο επιβεβλημένη όσο υποστηρίζεται από κάποια κράτη της νοτιοανατολικής Ασίας.</w:t>
      </w:r>
    </w:p>
    <w:p w:rsidR="00CB7A22" w:rsidRDefault="00CB7A22" w:rsidP="00463803">
      <w:pPr>
        <w:spacing w:after="0" w:line="240" w:lineRule="auto"/>
        <w:jc w:val="both"/>
        <w:rPr>
          <w:sz w:val="24"/>
          <w:szCs w:val="24"/>
        </w:rPr>
      </w:pPr>
    </w:p>
    <w:p w:rsidR="00CB7A22" w:rsidRDefault="00CB7A22" w:rsidP="00463803">
      <w:pPr>
        <w:spacing w:after="0" w:line="240" w:lineRule="auto"/>
        <w:jc w:val="both"/>
        <w:rPr>
          <w:sz w:val="24"/>
          <w:szCs w:val="24"/>
        </w:rPr>
      </w:pPr>
    </w:p>
    <w:p w:rsidR="00A32BEF" w:rsidRPr="00C90F2C" w:rsidRDefault="00C90F2C" w:rsidP="00463803">
      <w:pPr>
        <w:pBdr>
          <w:top w:val="single" w:sz="4" w:space="1" w:color="auto"/>
        </w:pBdr>
        <w:spacing w:after="0" w:line="240" w:lineRule="auto"/>
        <w:rPr>
          <w:sz w:val="20"/>
          <w:szCs w:val="20"/>
        </w:rPr>
      </w:pPr>
      <w:r w:rsidRPr="00C90F2C">
        <w:rPr>
          <w:sz w:val="20"/>
          <w:szCs w:val="20"/>
          <w:vertAlign w:val="superscript"/>
        </w:rPr>
        <w:t>11</w:t>
      </w:r>
      <w:r>
        <w:rPr>
          <w:sz w:val="20"/>
          <w:szCs w:val="20"/>
          <w:vertAlign w:val="superscript"/>
        </w:rPr>
        <w:t xml:space="preserve"> </w:t>
      </w:r>
      <w:r w:rsidRPr="00C90F2C">
        <w:rPr>
          <w:sz w:val="20"/>
          <w:szCs w:val="20"/>
        </w:rPr>
        <w:t xml:space="preserve"> </w:t>
      </w:r>
      <w:r w:rsidR="0058118B">
        <w:rPr>
          <w:sz w:val="20"/>
          <w:szCs w:val="20"/>
        </w:rPr>
        <w:t>Π</w:t>
      </w:r>
      <w:r w:rsidR="00AF2889">
        <w:rPr>
          <w:sz w:val="20"/>
          <w:szCs w:val="20"/>
        </w:rPr>
        <w:t>.χ. Η Αφρικανικός Χάρτης</w:t>
      </w:r>
      <w:r w:rsidRPr="00C90F2C">
        <w:rPr>
          <w:sz w:val="20"/>
          <w:szCs w:val="20"/>
        </w:rPr>
        <w:t xml:space="preserve"> για τα δικαιώματα Ανθρώπων και Λαών περιλαμβάνει πολλά περισσότερα δικαιώματα από ότι η Ευρωπαϊκή Σύμβαση.</w:t>
      </w:r>
      <w:r w:rsidR="00A32BEF" w:rsidRPr="00C90F2C">
        <w:rPr>
          <w:sz w:val="20"/>
          <w:szCs w:val="20"/>
        </w:rPr>
        <w:br w:type="page"/>
      </w:r>
    </w:p>
    <w:p w:rsidR="004C4686" w:rsidRDefault="00543A6C" w:rsidP="00463803">
      <w:pPr>
        <w:pStyle w:val="Heading1"/>
        <w:spacing w:before="0" w:line="240" w:lineRule="auto"/>
        <w:rPr>
          <w:color w:val="auto"/>
        </w:rPr>
      </w:pPr>
      <w:bookmarkStart w:id="45" w:name="_Toc419545185"/>
      <w:r w:rsidRPr="00463803">
        <w:rPr>
          <w:color w:val="auto"/>
        </w:rPr>
        <w:lastRenderedPageBreak/>
        <w:t>Βιβλιογραφία</w:t>
      </w:r>
      <w:bookmarkEnd w:id="45"/>
    </w:p>
    <w:p w:rsidR="00CB7A22" w:rsidRPr="00CB7A22" w:rsidRDefault="00CB7A22" w:rsidP="00CB7A22">
      <w:pPr>
        <w:spacing w:after="0" w:line="240" w:lineRule="auto"/>
      </w:pPr>
    </w:p>
    <w:p w:rsidR="00FF72C1" w:rsidRPr="00CB7A22" w:rsidRDefault="008B667B" w:rsidP="00463803">
      <w:pPr>
        <w:pStyle w:val="ListParagraph"/>
        <w:numPr>
          <w:ilvl w:val="0"/>
          <w:numId w:val="21"/>
        </w:numPr>
        <w:spacing w:after="0" w:line="240" w:lineRule="auto"/>
        <w:ind w:left="0" w:firstLine="0"/>
        <w:contextualSpacing w:val="0"/>
        <w:rPr>
          <w:rStyle w:val="Hyperlink"/>
          <w:color w:val="auto"/>
          <w:sz w:val="24"/>
          <w:szCs w:val="24"/>
          <w:u w:val="none"/>
          <w:lang w:val="en-US"/>
        </w:rPr>
      </w:pPr>
      <w:r>
        <w:rPr>
          <w:sz w:val="24"/>
          <w:szCs w:val="24"/>
          <w:lang w:val="en-US"/>
        </w:rPr>
        <w:t>European Court of Human Rights</w:t>
      </w:r>
      <w:r w:rsidRPr="008B667B">
        <w:rPr>
          <w:sz w:val="24"/>
          <w:szCs w:val="24"/>
          <w:lang w:val="en-US"/>
        </w:rPr>
        <w:t xml:space="preserve">: </w:t>
      </w:r>
      <w:hyperlink r:id="rId8" w:history="1">
        <w:r w:rsidR="00FF72C1" w:rsidRPr="008B667B">
          <w:rPr>
            <w:rStyle w:val="Hyperlink"/>
            <w:sz w:val="24"/>
            <w:szCs w:val="24"/>
            <w:lang w:val="en-US"/>
          </w:rPr>
          <w:t>http://www.echr.coe.int/Pages/home.aspx?p=home</w:t>
        </w:r>
      </w:hyperlink>
    </w:p>
    <w:p w:rsidR="00CB7A22" w:rsidRPr="008B667B" w:rsidRDefault="00CB7A22" w:rsidP="00CB7A22">
      <w:pPr>
        <w:pStyle w:val="ListParagraph"/>
        <w:spacing w:after="0" w:line="240" w:lineRule="auto"/>
        <w:ind w:left="0"/>
        <w:contextualSpacing w:val="0"/>
        <w:rPr>
          <w:sz w:val="24"/>
          <w:szCs w:val="24"/>
          <w:lang w:val="en-US"/>
        </w:rPr>
      </w:pPr>
    </w:p>
    <w:p w:rsidR="001E185C" w:rsidRPr="00CB7A22" w:rsidRDefault="008B667B" w:rsidP="00463803">
      <w:pPr>
        <w:pStyle w:val="ListParagraph"/>
        <w:numPr>
          <w:ilvl w:val="0"/>
          <w:numId w:val="21"/>
        </w:numPr>
        <w:spacing w:after="0" w:line="240" w:lineRule="auto"/>
        <w:ind w:left="0" w:firstLine="0"/>
        <w:contextualSpacing w:val="0"/>
        <w:jc w:val="both"/>
        <w:rPr>
          <w:rStyle w:val="Hyperlink"/>
          <w:color w:val="auto"/>
          <w:sz w:val="24"/>
          <w:szCs w:val="24"/>
          <w:u w:val="none"/>
          <w:lang w:val="en-US"/>
        </w:rPr>
      </w:pPr>
      <w:r>
        <w:rPr>
          <w:lang w:val="en-US"/>
        </w:rPr>
        <w:t>Inter-American Court of Human Rights</w:t>
      </w:r>
      <w:r w:rsidRPr="008B667B">
        <w:rPr>
          <w:lang w:val="en-US"/>
        </w:rPr>
        <w:t xml:space="preserve">: </w:t>
      </w:r>
      <w:hyperlink r:id="rId9" w:history="1">
        <w:r w:rsidR="001E185C" w:rsidRPr="008B667B">
          <w:rPr>
            <w:rStyle w:val="Hyperlink"/>
            <w:sz w:val="24"/>
            <w:szCs w:val="24"/>
            <w:lang w:val="en-US"/>
          </w:rPr>
          <w:t>http://www.corteidh.or.cr/index.php/en</w:t>
        </w:r>
      </w:hyperlink>
    </w:p>
    <w:p w:rsidR="00CB7A22" w:rsidRPr="008B667B" w:rsidRDefault="00CB7A22" w:rsidP="00CB7A22">
      <w:pPr>
        <w:pStyle w:val="ListParagraph"/>
        <w:spacing w:after="0" w:line="240" w:lineRule="auto"/>
        <w:ind w:left="0"/>
        <w:contextualSpacing w:val="0"/>
        <w:jc w:val="both"/>
        <w:rPr>
          <w:sz w:val="24"/>
          <w:szCs w:val="24"/>
          <w:lang w:val="en-US"/>
        </w:rPr>
      </w:pPr>
    </w:p>
    <w:p w:rsidR="001E185C" w:rsidRPr="00CB7A22" w:rsidRDefault="008B667B" w:rsidP="00463803">
      <w:pPr>
        <w:pStyle w:val="ListParagraph"/>
        <w:numPr>
          <w:ilvl w:val="0"/>
          <w:numId w:val="21"/>
        </w:numPr>
        <w:spacing w:after="0" w:line="240" w:lineRule="auto"/>
        <w:ind w:left="0" w:firstLine="0"/>
        <w:contextualSpacing w:val="0"/>
        <w:jc w:val="both"/>
        <w:rPr>
          <w:rStyle w:val="Hyperlink"/>
          <w:color w:val="auto"/>
          <w:sz w:val="24"/>
          <w:szCs w:val="24"/>
          <w:u w:val="none"/>
          <w:lang w:val="en-US"/>
        </w:rPr>
      </w:pPr>
      <w:r>
        <w:rPr>
          <w:lang w:val="en-US"/>
        </w:rPr>
        <w:t>African Court on Human and Peoples Rights</w:t>
      </w:r>
      <w:r w:rsidRPr="008B667B">
        <w:rPr>
          <w:lang w:val="en-US"/>
        </w:rPr>
        <w:t xml:space="preserve">: </w:t>
      </w:r>
      <w:hyperlink r:id="rId10" w:history="1">
        <w:r w:rsidR="001E185C" w:rsidRPr="008B667B">
          <w:rPr>
            <w:rStyle w:val="Hyperlink"/>
            <w:sz w:val="24"/>
            <w:szCs w:val="24"/>
            <w:lang w:val="en-US"/>
          </w:rPr>
          <w:t>http://www.african-court.org/en/</w:t>
        </w:r>
      </w:hyperlink>
    </w:p>
    <w:p w:rsidR="00CB7A22" w:rsidRPr="008B667B" w:rsidRDefault="00CB7A22" w:rsidP="00CB7A22">
      <w:pPr>
        <w:pStyle w:val="ListParagraph"/>
        <w:spacing w:after="0" w:line="240" w:lineRule="auto"/>
        <w:ind w:left="0"/>
        <w:contextualSpacing w:val="0"/>
        <w:jc w:val="both"/>
        <w:rPr>
          <w:sz w:val="24"/>
          <w:szCs w:val="24"/>
          <w:lang w:val="en-US"/>
        </w:rPr>
      </w:pPr>
    </w:p>
    <w:p w:rsidR="0086166E" w:rsidRPr="00CB7A22" w:rsidRDefault="008B667B" w:rsidP="00463803">
      <w:pPr>
        <w:pStyle w:val="ListParagraph"/>
        <w:numPr>
          <w:ilvl w:val="0"/>
          <w:numId w:val="21"/>
        </w:numPr>
        <w:spacing w:after="0" w:line="240" w:lineRule="auto"/>
        <w:ind w:left="0" w:firstLine="0"/>
        <w:contextualSpacing w:val="0"/>
        <w:jc w:val="both"/>
        <w:rPr>
          <w:rStyle w:val="Hyperlink"/>
          <w:color w:val="auto"/>
          <w:sz w:val="24"/>
          <w:szCs w:val="24"/>
          <w:u w:val="none"/>
          <w:lang w:val="en-US"/>
        </w:rPr>
      </w:pPr>
      <w:proofErr w:type="spellStart"/>
      <w:r>
        <w:rPr>
          <w:lang w:val="en-US"/>
        </w:rPr>
        <w:t>Asean</w:t>
      </w:r>
      <w:proofErr w:type="spellEnd"/>
      <w:r>
        <w:rPr>
          <w:lang w:val="en-US"/>
        </w:rPr>
        <w:t xml:space="preserve"> Intergovernmental </w:t>
      </w:r>
      <w:proofErr w:type="spellStart"/>
      <w:r>
        <w:rPr>
          <w:lang w:val="en-US"/>
        </w:rPr>
        <w:t>Comission</w:t>
      </w:r>
      <w:proofErr w:type="spellEnd"/>
      <w:r>
        <w:rPr>
          <w:lang w:val="en-US"/>
        </w:rPr>
        <w:t xml:space="preserve"> on Human Rights</w:t>
      </w:r>
      <w:r w:rsidRPr="008B667B">
        <w:rPr>
          <w:lang w:val="en-US"/>
        </w:rPr>
        <w:t xml:space="preserve">: </w:t>
      </w:r>
      <w:r>
        <w:rPr>
          <w:lang w:val="en-US"/>
        </w:rPr>
        <w:t xml:space="preserve"> </w:t>
      </w:r>
      <w:hyperlink r:id="rId11" w:history="1">
        <w:r w:rsidR="0086166E" w:rsidRPr="008B667B">
          <w:rPr>
            <w:rStyle w:val="Hyperlink"/>
            <w:sz w:val="24"/>
            <w:szCs w:val="24"/>
            <w:lang w:val="en-US"/>
          </w:rPr>
          <w:t>http://aichr.org/</w:t>
        </w:r>
      </w:hyperlink>
    </w:p>
    <w:p w:rsidR="00CB7A22" w:rsidRPr="008B667B" w:rsidRDefault="00CB7A22" w:rsidP="00CB7A22">
      <w:pPr>
        <w:pStyle w:val="ListParagraph"/>
        <w:spacing w:after="0" w:line="240" w:lineRule="auto"/>
        <w:ind w:left="0"/>
        <w:contextualSpacing w:val="0"/>
        <w:jc w:val="both"/>
        <w:rPr>
          <w:sz w:val="24"/>
          <w:szCs w:val="24"/>
          <w:lang w:val="en-US"/>
        </w:rPr>
      </w:pPr>
    </w:p>
    <w:p w:rsidR="000E05A3" w:rsidRPr="00CB7A22" w:rsidRDefault="008B667B" w:rsidP="00463803">
      <w:pPr>
        <w:pStyle w:val="ListParagraph"/>
        <w:numPr>
          <w:ilvl w:val="0"/>
          <w:numId w:val="21"/>
        </w:numPr>
        <w:spacing w:after="0" w:line="240" w:lineRule="auto"/>
        <w:ind w:left="0" w:firstLine="0"/>
        <w:contextualSpacing w:val="0"/>
        <w:jc w:val="both"/>
        <w:rPr>
          <w:rStyle w:val="Hyperlink"/>
          <w:color w:val="auto"/>
          <w:sz w:val="24"/>
          <w:szCs w:val="24"/>
          <w:u w:val="none"/>
          <w:lang w:val="en-US"/>
        </w:rPr>
      </w:pPr>
      <w:r>
        <w:rPr>
          <w:lang w:val="en-US"/>
        </w:rPr>
        <w:t>International Court of Justice</w:t>
      </w:r>
      <w:r w:rsidRPr="008B667B">
        <w:rPr>
          <w:lang w:val="en-US"/>
        </w:rPr>
        <w:t xml:space="preserve">: </w:t>
      </w:r>
      <w:hyperlink r:id="rId12" w:history="1">
        <w:r w:rsidR="000E05A3" w:rsidRPr="008B667B">
          <w:rPr>
            <w:rStyle w:val="Hyperlink"/>
            <w:sz w:val="24"/>
            <w:szCs w:val="24"/>
            <w:lang w:val="en-US"/>
          </w:rPr>
          <w:t>http://www.icj-cij.org/homepage/</w:t>
        </w:r>
      </w:hyperlink>
    </w:p>
    <w:p w:rsidR="00CB7A22" w:rsidRPr="008B667B" w:rsidRDefault="00CB7A22" w:rsidP="00CB7A22">
      <w:pPr>
        <w:pStyle w:val="ListParagraph"/>
        <w:spacing w:after="0" w:line="240" w:lineRule="auto"/>
        <w:ind w:left="0"/>
        <w:contextualSpacing w:val="0"/>
        <w:jc w:val="both"/>
        <w:rPr>
          <w:sz w:val="24"/>
          <w:szCs w:val="24"/>
          <w:lang w:val="en-US"/>
        </w:rPr>
      </w:pPr>
    </w:p>
    <w:p w:rsidR="00A70B60" w:rsidRPr="00A70B60" w:rsidRDefault="00A70B60" w:rsidP="00463803">
      <w:pPr>
        <w:pStyle w:val="ListParagraph"/>
        <w:numPr>
          <w:ilvl w:val="0"/>
          <w:numId w:val="21"/>
        </w:numPr>
        <w:spacing w:after="0" w:line="240" w:lineRule="auto"/>
        <w:ind w:left="0" w:firstLine="0"/>
        <w:contextualSpacing w:val="0"/>
        <w:jc w:val="both"/>
        <w:rPr>
          <w:sz w:val="24"/>
          <w:szCs w:val="24"/>
          <w:lang w:val="en-US"/>
        </w:rPr>
      </w:pPr>
      <w:r>
        <w:rPr>
          <w:lang w:val="en-US"/>
        </w:rPr>
        <w:t>Organization</w:t>
      </w:r>
      <w:r w:rsidRPr="00A70B60">
        <w:rPr>
          <w:lang w:val="en-US"/>
        </w:rPr>
        <w:t xml:space="preserve"> </w:t>
      </w:r>
      <w:r>
        <w:rPr>
          <w:lang w:val="en-US"/>
        </w:rPr>
        <w:t>of</w:t>
      </w:r>
      <w:r w:rsidRPr="00A70B60">
        <w:rPr>
          <w:lang w:val="en-US"/>
        </w:rPr>
        <w:t xml:space="preserve"> </w:t>
      </w:r>
      <w:r>
        <w:rPr>
          <w:lang w:val="en-US"/>
        </w:rPr>
        <w:t>American</w:t>
      </w:r>
      <w:r>
        <w:t xml:space="preserve"> </w:t>
      </w:r>
      <w:r>
        <w:rPr>
          <w:lang w:val="en-US"/>
        </w:rPr>
        <w:t>States</w:t>
      </w:r>
      <w:r w:rsidRPr="00A70B60">
        <w:rPr>
          <w:lang w:val="en-US"/>
        </w:rPr>
        <w:t xml:space="preserve">: </w:t>
      </w:r>
    </w:p>
    <w:p w:rsidR="00CB7A22" w:rsidRDefault="00E96E40" w:rsidP="00463803">
      <w:pPr>
        <w:pStyle w:val="ListParagraph"/>
        <w:spacing w:after="0" w:line="240" w:lineRule="auto"/>
        <w:ind w:left="0"/>
        <w:contextualSpacing w:val="0"/>
        <w:jc w:val="both"/>
        <w:rPr>
          <w:rStyle w:val="Hyperlink"/>
          <w:sz w:val="24"/>
          <w:szCs w:val="24"/>
          <w:lang w:val="en-US"/>
        </w:rPr>
      </w:pPr>
      <w:hyperlink r:id="rId13" w:history="1">
        <w:r w:rsidR="003C5D35" w:rsidRPr="00A70B60">
          <w:rPr>
            <w:rStyle w:val="Hyperlink"/>
            <w:sz w:val="24"/>
            <w:szCs w:val="24"/>
            <w:lang w:val="en-US"/>
          </w:rPr>
          <w:t>http://www.oas.org/en/about/who_we_are.asp</w:t>
        </w:r>
      </w:hyperlink>
    </w:p>
    <w:p w:rsidR="00CB7A22" w:rsidRPr="00CB7A22" w:rsidRDefault="00CB7A22" w:rsidP="00463803">
      <w:pPr>
        <w:pStyle w:val="ListParagraph"/>
        <w:spacing w:after="0" w:line="240" w:lineRule="auto"/>
        <w:ind w:left="0"/>
        <w:contextualSpacing w:val="0"/>
        <w:jc w:val="both"/>
        <w:rPr>
          <w:color w:val="0000FF" w:themeColor="hyperlink"/>
          <w:sz w:val="24"/>
          <w:szCs w:val="24"/>
          <w:u w:val="single"/>
          <w:lang w:val="en-US"/>
        </w:rPr>
      </w:pPr>
    </w:p>
    <w:p w:rsidR="003C5D35" w:rsidRPr="00CB7A22" w:rsidRDefault="00A70B60" w:rsidP="00463803">
      <w:pPr>
        <w:pStyle w:val="ListParagraph"/>
        <w:numPr>
          <w:ilvl w:val="0"/>
          <w:numId w:val="21"/>
        </w:numPr>
        <w:spacing w:after="0" w:line="240" w:lineRule="auto"/>
        <w:ind w:left="0" w:firstLine="0"/>
        <w:contextualSpacing w:val="0"/>
        <w:jc w:val="both"/>
        <w:rPr>
          <w:rStyle w:val="Hyperlink"/>
          <w:color w:val="auto"/>
          <w:u w:val="none"/>
          <w:lang w:val="en-US"/>
        </w:rPr>
      </w:pPr>
      <w:r>
        <w:rPr>
          <w:lang w:val="en-US"/>
        </w:rPr>
        <w:t>Practical</w:t>
      </w:r>
      <w:r w:rsidRPr="00A70B60">
        <w:rPr>
          <w:lang w:val="en-US"/>
        </w:rPr>
        <w:t xml:space="preserve"> </w:t>
      </w:r>
      <w:r>
        <w:rPr>
          <w:lang w:val="en-US"/>
        </w:rPr>
        <w:t>Guide</w:t>
      </w:r>
      <w:r w:rsidRPr="00A70B60">
        <w:rPr>
          <w:lang w:val="en-US"/>
        </w:rPr>
        <w:t xml:space="preserve"> </w:t>
      </w:r>
      <w:r>
        <w:rPr>
          <w:lang w:val="en-US"/>
        </w:rPr>
        <w:t>on</w:t>
      </w:r>
      <w:r w:rsidRPr="00A70B60">
        <w:rPr>
          <w:lang w:val="en-US"/>
        </w:rPr>
        <w:t xml:space="preserve"> </w:t>
      </w:r>
      <w:r>
        <w:rPr>
          <w:lang w:val="en-US"/>
        </w:rPr>
        <w:t>Admissibility</w:t>
      </w:r>
      <w:r w:rsidRPr="00A70B60">
        <w:rPr>
          <w:lang w:val="en-US"/>
        </w:rPr>
        <w:t xml:space="preserve"> </w:t>
      </w:r>
      <w:r>
        <w:rPr>
          <w:lang w:val="en-US"/>
        </w:rPr>
        <w:t>Criteria</w:t>
      </w:r>
      <w:r w:rsidR="00FB7540" w:rsidRPr="00FB7540">
        <w:rPr>
          <w:lang w:val="en-US"/>
        </w:rPr>
        <w:t xml:space="preserve"> (</w:t>
      </w:r>
      <w:r w:rsidR="00FB7540">
        <w:rPr>
          <w:lang w:val="en-US"/>
        </w:rPr>
        <w:t>European Court of Human Rights)</w:t>
      </w:r>
      <w:r w:rsidRPr="00A70B60">
        <w:rPr>
          <w:lang w:val="en-US"/>
        </w:rPr>
        <w:t>:</w:t>
      </w:r>
      <w:r w:rsidR="00456302" w:rsidRPr="00456302">
        <w:rPr>
          <w:lang w:val="en-US"/>
        </w:rPr>
        <w:t xml:space="preserve"> </w:t>
      </w:r>
      <w:hyperlink r:id="rId14" w:history="1">
        <w:r w:rsidRPr="00456302">
          <w:rPr>
            <w:rStyle w:val="Hyperlink"/>
            <w:lang w:val="en-US"/>
          </w:rPr>
          <w:t>http://www.echr.coe.int/Documents/Admissibility_guide_ENG.pdf</w:t>
        </w:r>
      </w:hyperlink>
    </w:p>
    <w:p w:rsidR="00CB7A22" w:rsidRPr="00456302" w:rsidRDefault="00CB7A22" w:rsidP="00CB7A22">
      <w:pPr>
        <w:pStyle w:val="ListParagraph"/>
        <w:spacing w:after="0" w:line="240" w:lineRule="auto"/>
        <w:ind w:left="0"/>
        <w:contextualSpacing w:val="0"/>
        <w:jc w:val="both"/>
        <w:rPr>
          <w:lang w:val="en-US"/>
        </w:rPr>
      </w:pPr>
    </w:p>
    <w:p w:rsidR="00456302" w:rsidRPr="00CB7A22" w:rsidRDefault="00B540F6" w:rsidP="00463803">
      <w:pPr>
        <w:pStyle w:val="ListParagraph"/>
        <w:numPr>
          <w:ilvl w:val="0"/>
          <w:numId w:val="21"/>
        </w:numPr>
        <w:spacing w:after="0" w:line="240" w:lineRule="auto"/>
        <w:ind w:left="0" w:firstLine="0"/>
        <w:contextualSpacing w:val="0"/>
        <w:jc w:val="both"/>
        <w:rPr>
          <w:lang w:val="en-US"/>
        </w:rPr>
      </w:pPr>
      <w:proofErr w:type="spellStart"/>
      <w:r>
        <w:rPr>
          <w:lang w:val="en-US"/>
        </w:rPr>
        <w:t>Phan</w:t>
      </w:r>
      <w:proofErr w:type="spellEnd"/>
      <w:r>
        <w:rPr>
          <w:lang w:val="en-US"/>
        </w:rPr>
        <w:t xml:space="preserve"> HD. A Blueprint </w:t>
      </w:r>
      <w:r w:rsidR="00CB7A22">
        <w:rPr>
          <w:lang w:val="en-US"/>
        </w:rPr>
        <w:t>for</w:t>
      </w:r>
      <w:r>
        <w:rPr>
          <w:lang w:val="en-US"/>
        </w:rPr>
        <w:t xml:space="preserve"> a Southeast Asian Court Of Human Rights. </w:t>
      </w:r>
      <w:r>
        <w:rPr>
          <w:rFonts w:ascii="Arial" w:hAnsi="Arial" w:cs="Arial"/>
          <w:color w:val="222222"/>
          <w:sz w:val="20"/>
          <w:szCs w:val="20"/>
          <w:shd w:val="clear" w:color="auto" w:fill="FFFFFF"/>
        </w:rPr>
        <w:t>APLPJ</w:t>
      </w:r>
      <w:r>
        <w:rPr>
          <w:rFonts w:ascii="Arial" w:hAnsi="Arial" w:cs="Arial"/>
          <w:color w:val="222222"/>
          <w:sz w:val="20"/>
          <w:szCs w:val="20"/>
          <w:shd w:val="clear" w:color="auto" w:fill="FFFFFF"/>
          <w:lang w:val="en-US"/>
        </w:rPr>
        <w:t xml:space="preserve"> 2009</w:t>
      </w:r>
      <w:r w:rsidR="00D3784F">
        <w:rPr>
          <w:rFonts w:ascii="Arial" w:hAnsi="Arial" w:cs="Arial"/>
          <w:color w:val="222222"/>
          <w:sz w:val="20"/>
          <w:szCs w:val="20"/>
          <w:shd w:val="clear" w:color="auto" w:fill="FFFFFF"/>
        </w:rPr>
        <w:t>;10(2): 385-433.</w:t>
      </w:r>
    </w:p>
    <w:p w:rsidR="00CB7A22" w:rsidRPr="00847068" w:rsidRDefault="00CB7A22" w:rsidP="00CB7A22">
      <w:pPr>
        <w:pStyle w:val="ListParagraph"/>
        <w:spacing w:after="0" w:line="240" w:lineRule="auto"/>
        <w:ind w:left="0"/>
        <w:contextualSpacing w:val="0"/>
        <w:jc w:val="both"/>
        <w:rPr>
          <w:lang w:val="en-US"/>
        </w:rPr>
      </w:pPr>
    </w:p>
    <w:p w:rsidR="0014680B" w:rsidRPr="00543A6C" w:rsidRDefault="00DD5030" w:rsidP="00463803">
      <w:pPr>
        <w:pStyle w:val="ListParagraph"/>
        <w:numPr>
          <w:ilvl w:val="0"/>
          <w:numId w:val="21"/>
        </w:numPr>
        <w:spacing w:after="0" w:line="240" w:lineRule="auto"/>
        <w:ind w:left="0" w:firstLine="0"/>
        <w:contextualSpacing w:val="0"/>
        <w:jc w:val="both"/>
      </w:pPr>
      <w:r>
        <w:t>Ρούκουνας</w:t>
      </w:r>
      <w:r w:rsidR="000A2208">
        <w:t>,</w:t>
      </w:r>
      <w:r>
        <w:t xml:space="preserve"> Ε., </w:t>
      </w:r>
      <w:r w:rsidR="000A2208">
        <w:t>Διεθνής Προστασία των Ανθρωπίνων Δικαιωμάτων</w:t>
      </w:r>
      <w:r>
        <w:t xml:space="preserve">, </w:t>
      </w:r>
      <w:r w:rsidR="00463803">
        <w:t xml:space="preserve">Βιβλιοπωλείον της </w:t>
      </w:r>
      <w:r w:rsidR="00B5709A">
        <w:t>«</w:t>
      </w:r>
      <w:r w:rsidR="000A2208">
        <w:t>Εστίας», Αθήνα 1995</w:t>
      </w:r>
    </w:p>
    <w:sectPr w:rsidR="0014680B" w:rsidRPr="00543A6C" w:rsidSect="003C113C">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F4" w:rsidRDefault="00A45DF4" w:rsidP="003C113C">
      <w:pPr>
        <w:spacing w:after="0" w:line="240" w:lineRule="auto"/>
      </w:pPr>
      <w:r>
        <w:separator/>
      </w:r>
    </w:p>
  </w:endnote>
  <w:endnote w:type="continuationSeparator" w:id="0">
    <w:p w:rsidR="00A45DF4" w:rsidRDefault="00A45DF4" w:rsidP="003C1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55107"/>
      <w:docPartObj>
        <w:docPartGallery w:val="Page Numbers (Bottom of Page)"/>
        <w:docPartUnique/>
      </w:docPartObj>
    </w:sdtPr>
    <w:sdtContent>
      <w:p w:rsidR="00927FB1" w:rsidRDefault="00E96E40">
        <w:pPr>
          <w:pStyle w:val="Footer"/>
          <w:jc w:val="center"/>
        </w:pPr>
        <w:r>
          <w:fldChar w:fldCharType="begin"/>
        </w:r>
        <w:r w:rsidR="00A45DF4">
          <w:instrText xml:space="preserve"> PAGE   \* MERGEFORMAT </w:instrText>
        </w:r>
        <w:r>
          <w:fldChar w:fldCharType="separate"/>
        </w:r>
        <w:r w:rsidR="00DF1F00">
          <w:rPr>
            <w:noProof/>
          </w:rPr>
          <w:t>1</w:t>
        </w:r>
        <w:r>
          <w:rPr>
            <w:noProof/>
          </w:rPr>
          <w:fldChar w:fldCharType="end"/>
        </w:r>
      </w:p>
    </w:sdtContent>
  </w:sdt>
  <w:p w:rsidR="00927FB1" w:rsidRDefault="00927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F4" w:rsidRDefault="00A45DF4" w:rsidP="003C113C">
      <w:pPr>
        <w:spacing w:after="0" w:line="240" w:lineRule="auto"/>
      </w:pPr>
      <w:r>
        <w:separator/>
      </w:r>
    </w:p>
  </w:footnote>
  <w:footnote w:type="continuationSeparator" w:id="0">
    <w:p w:rsidR="00A45DF4" w:rsidRDefault="00A45DF4" w:rsidP="003C1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63E"/>
    <w:multiLevelType w:val="hybridMultilevel"/>
    <w:tmpl w:val="04B29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847013"/>
    <w:multiLevelType w:val="hybridMultilevel"/>
    <w:tmpl w:val="2A28BE54"/>
    <w:lvl w:ilvl="0" w:tplc="10667696">
      <w:start w:val="1"/>
      <w:numFmt w:val="decimal"/>
      <w:lvlText w:val="%1."/>
      <w:lvlJc w:val="left"/>
      <w:pPr>
        <w:ind w:left="777" w:hanging="360"/>
      </w:pPr>
      <w:rPr>
        <w:sz w:val="24"/>
        <w:szCs w:val="24"/>
      </w:r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2">
    <w:nsid w:val="0D0F3DAA"/>
    <w:multiLevelType w:val="hybridMultilevel"/>
    <w:tmpl w:val="A5D6AD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D69263B"/>
    <w:multiLevelType w:val="hybridMultilevel"/>
    <w:tmpl w:val="BBD202FC"/>
    <w:lvl w:ilvl="0" w:tplc="5D588B44">
      <w:start w:val="4"/>
      <w:numFmt w:val="upperRoman"/>
      <w:lvlText w:val="%1."/>
      <w:lvlJc w:val="right"/>
      <w:pPr>
        <w:ind w:left="77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29703D"/>
    <w:multiLevelType w:val="hybridMultilevel"/>
    <w:tmpl w:val="277ACD5A"/>
    <w:lvl w:ilvl="0" w:tplc="5B72986E">
      <w:start w:val="5"/>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A96218"/>
    <w:multiLevelType w:val="hybridMultilevel"/>
    <w:tmpl w:val="0B3C52E2"/>
    <w:lvl w:ilvl="0" w:tplc="0408001B">
      <w:start w:val="1"/>
      <w:numFmt w:val="lowerRoman"/>
      <w:lvlText w:val="%1."/>
      <w:lvlJc w:val="right"/>
      <w:pPr>
        <w:ind w:left="1760" w:hanging="360"/>
      </w:pPr>
    </w:lvl>
    <w:lvl w:ilvl="1" w:tplc="04080019" w:tentative="1">
      <w:start w:val="1"/>
      <w:numFmt w:val="lowerLetter"/>
      <w:lvlText w:val="%2."/>
      <w:lvlJc w:val="left"/>
      <w:pPr>
        <w:ind w:left="2480" w:hanging="360"/>
      </w:pPr>
    </w:lvl>
    <w:lvl w:ilvl="2" w:tplc="0408001B" w:tentative="1">
      <w:start w:val="1"/>
      <w:numFmt w:val="lowerRoman"/>
      <w:lvlText w:val="%3."/>
      <w:lvlJc w:val="right"/>
      <w:pPr>
        <w:ind w:left="3200" w:hanging="180"/>
      </w:pPr>
    </w:lvl>
    <w:lvl w:ilvl="3" w:tplc="0408000F" w:tentative="1">
      <w:start w:val="1"/>
      <w:numFmt w:val="decimal"/>
      <w:lvlText w:val="%4."/>
      <w:lvlJc w:val="left"/>
      <w:pPr>
        <w:ind w:left="3920" w:hanging="360"/>
      </w:pPr>
    </w:lvl>
    <w:lvl w:ilvl="4" w:tplc="04080019" w:tentative="1">
      <w:start w:val="1"/>
      <w:numFmt w:val="lowerLetter"/>
      <w:lvlText w:val="%5."/>
      <w:lvlJc w:val="left"/>
      <w:pPr>
        <w:ind w:left="4640" w:hanging="360"/>
      </w:pPr>
    </w:lvl>
    <w:lvl w:ilvl="5" w:tplc="0408001B" w:tentative="1">
      <w:start w:val="1"/>
      <w:numFmt w:val="lowerRoman"/>
      <w:lvlText w:val="%6."/>
      <w:lvlJc w:val="right"/>
      <w:pPr>
        <w:ind w:left="5360" w:hanging="180"/>
      </w:pPr>
    </w:lvl>
    <w:lvl w:ilvl="6" w:tplc="0408000F" w:tentative="1">
      <w:start w:val="1"/>
      <w:numFmt w:val="decimal"/>
      <w:lvlText w:val="%7."/>
      <w:lvlJc w:val="left"/>
      <w:pPr>
        <w:ind w:left="6080" w:hanging="360"/>
      </w:pPr>
    </w:lvl>
    <w:lvl w:ilvl="7" w:tplc="04080019" w:tentative="1">
      <w:start w:val="1"/>
      <w:numFmt w:val="lowerLetter"/>
      <w:lvlText w:val="%8."/>
      <w:lvlJc w:val="left"/>
      <w:pPr>
        <w:ind w:left="6800" w:hanging="360"/>
      </w:pPr>
    </w:lvl>
    <w:lvl w:ilvl="8" w:tplc="0408001B" w:tentative="1">
      <w:start w:val="1"/>
      <w:numFmt w:val="lowerRoman"/>
      <w:lvlText w:val="%9."/>
      <w:lvlJc w:val="right"/>
      <w:pPr>
        <w:ind w:left="7520" w:hanging="180"/>
      </w:pPr>
    </w:lvl>
  </w:abstractNum>
  <w:abstractNum w:abstractNumId="6">
    <w:nsid w:val="11C57168"/>
    <w:multiLevelType w:val="hybridMultilevel"/>
    <w:tmpl w:val="CD501BF0"/>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7">
    <w:nsid w:val="16600758"/>
    <w:multiLevelType w:val="hybridMultilevel"/>
    <w:tmpl w:val="684EFBE2"/>
    <w:lvl w:ilvl="0" w:tplc="6AE09FC2">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FE5DA4"/>
    <w:multiLevelType w:val="hybridMultilevel"/>
    <w:tmpl w:val="43FC7F98"/>
    <w:lvl w:ilvl="0" w:tplc="04080001">
      <w:start w:val="1"/>
      <w:numFmt w:val="bullet"/>
      <w:lvlText w:val=""/>
      <w:lvlJc w:val="left"/>
      <w:pPr>
        <w:ind w:left="2840" w:hanging="360"/>
      </w:pPr>
      <w:rPr>
        <w:rFonts w:ascii="Symbol" w:hAnsi="Symbol" w:hint="default"/>
      </w:rPr>
    </w:lvl>
    <w:lvl w:ilvl="1" w:tplc="04080003" w:tentative="1">
      <w:start w:val="1"/>
      <w:numFmt w:val="bullet"/>
      <w:lvlText w:val="o"/>
      <w:lvlJc w:val="left"/>
      <w:pPr>
        <w:ind w:left="3560" w:hanging="360"/>
      </w:pPr>
      <w:rPr>
        <w:rFonts w:ascii="Courier New" w:hAnsi="Courier New" w:cs="Courier New" w:hint="default"/>
      </w:rPr>
    </w:lvl>
    <w:lvl w:ilvl="2" w:tplc="04080005" w:tentative="1">
      <w:start w:val="1"/>
      <w:numFmt w:val="bullet"/>
      <w:lvlText w:val=""/>
      <w:lvlJc w:val="left"/>
      <w:pPr>
        <w:ind w:left="4280" w:hanging="360"/>
      </w:pPr>
      <w:rPr>
        <w:rFonts w:ascii="Wingdings" w:hAnsi="Wingdings" w:hint="default"/>
      </w:rPr>
    </w:lvl>
    <w:lvl w:ilvl="3" w:tplc="04080001" w:tentative="1">
      <w:start w:val="1"/>
      <w:numFmt w:val="bullet"/>
      <w:lvlText w:val=""/>
      <w:lvlJc w:val="left"/>
      <w:pPr>
        <w:ind w:left="5000" w:hanging="360"/>
      </w:pPr>
      <w:rPr>
        <w:rFonts w:ascii="Symbol" w:hAnsi="Symbol" w:hint="default"/>
      </w:rPr>
    </w:lvl>
    <w:lvl w:ilvl="4" w:tplc="04080003" w:tentative="1">
      <w:start w:val="1"/>
      <w:numFmt w:val="bullet"/>
      <w:lvlText w:val="o"/>
      <w:lvlJc w:val="left"/>
      <w:pPr>
        <w:ind w:left="5720" w:hanging="360"/>
      </w:pPr>
      <w:rPr>
        <w:rFonts w:ascii="Courier New" w:hAnsi="Courier New" w:cs="Courier New" w:hint="default"/>
      </w:rPr>
    </w:lvl>
    <w:lvl w:ilvl="5" w:tplc="04080005" w:tentative="1">
      <w:start w:val="1"/>
      <w:numFmt w:val="bullet"/>
      <w:lvlText w:val=""/>
      <w:lvlJc w:val="left"/>
      <w:pPr>
        <w:ind w:left="6440" w:hanging="360"/>
      </w:pPr>
      <w:rPr>
        <w:rFonts w:ascii="Wingdings" w:hAnsi="Wingdings" w:hint="default"/>
      </w:rPr>
    </w:lvl>
    <w:lvl w:ilvl="6" w:tplc="04080001" w:tentative="1">
      <w:start w:val="1"/>
      <w:numFmt w:val="bullet"/>
      <w:lvlText w:val=""/>
      <w:lvlJc w:val="left"/>
      <w:pPr>
        <w:ind w:left="7160" w:hanging="360"/>
      </w:pPr>
      <w:rPr>
        <w:rFonts w:ascii="Symbol" w:hAnsi="Symbol" w:hint="default"/>
      </w:rPr>
    </w:lvl>
    <w:lvl w:ilvl="7" w:tplc="04080003" w:tentative="1">
      <w:start w:val="1"/>
      <w:numFmt w:val="bullet"/>
      <w:lvlText w:val="o"/>
      <w:lvlJc w:val="left"/>
      <w:pPr>
        <w:ind w:left="7880" w:hanging="360"/>
      </w:pPr>
      <w:rPr>
        <w:rFonts w:ascii="Courier New" w:hAnsi="Courier New" w:cs="Courier New" w:hint="default"/>
      </w:rPr>
    </w:lvl>
    <w:lvl w:ilvl="8" w:tplc="04080005" w:tentative="1">
      <w:start w:val="1"/>
      <w:numFmt w:val="bullet"/>
      <w:lvlText w:val=""/>
      <w:lvlJc w:val="left"/>
      <w:pPr>
        <w:ind w:left="8600" w:hanging="360"/>
      </w:pPr>
      <w:rPr>
        <w:rFonts w:ascii="Wingdings" w:hAnsi="Wingdings" w:hint="default"/>
      </w:rPr>
    </w:lvl>
  </w:abstractNum>
  <w:abstractNum w:abstractNumId="9">
    <w:nsid w:val="1B4F6060"/>
    <w:multiLevelType w:val="hybridMultilevel"/>
    <w:tmpl w:val="E90C11AA"/>
    <w:lvl w:ilvl="0" w:tplc="1E9CC1B6">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C2E4F3D"/>
    <w:multiLevelType w:val="hybridMultilevel"/>
    <w:tmpl w:val="3F202E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D172F1F"/>
    <w:multiLevelType w:val="hybridMultilevel"/>
    <w:tmpl w:val="C956A17E"/>
    <w:lvl w:ilvl="0" w:tplc="0408000F">
      <w:start w:val="1"/>
      <w:numFmt w:val="decimal"/>
      <w:lvlText w:val="%1."/>
      <w:lvlJc w:val="left"/>
      <w:pPr>
        <w:ind w:left="2421" w:hanging="360"/>
      </w:pPr>
    </w:lvl>
    <w:lvl w:ilvl="1" w:tplc="04080019" w:tentative="1">
      <w:start w:val="1"/>
      <w:numFmt w:val="lowerLetter"/>
      <w:lvlText w:val="%2."/>
      <w:lvlJc w:val="left"/>
      <w:pPr>
        <w:ind w:left="3141" w:hanging="360"/>
      </w:pPr>
    </w:lvl>
    <w:lvl w:ilvl="2" w:tplc="0408001B" w:tentative="1">
      <w:start w:val="1"/>
      <w:numFmt w:val="lowerRoman"/>
      <w:lvlText w:val="%3."/>
      <w:lvlJc w:val="right"/>
      <w:pPr>
        <w:ind w:left="3861" w:hanging="180"/>
      </w:pPr>
    </w:lvl>
    <w:lvl w:ilvl="3" w:tplc="0408000F" w:tentative="1">
      <w:start w:val="1"/>
      <w:numFmt w:val="decimal"/>
      <w:lvlText w:val="%4."/>
      <w:lvlJc w:val="left"/>
      <w:pPr>
        <w:ind w:left="4581" w:hanging="360"/>
      </w:pPr>
    </w:lvl>
    <w:lvl w:ilvl="4" w:tplc="04080019" w:tentative="1">
      <w:start w:val="1"/>
      <w:numFmt w:val="lowerLetter"/>
      <w:lvlText w:val="%5."/>
      <w:lvlJc w:val="left"/>
      <w:pPr>
        <w:ind w:left="5301" w:hanging="360"/>
      </w:pPr>
    </w:lvl>
    <w:lvl w:ilvl="5" w:tplc="0408001B" w:tentative="1">
      <w:start w:val="1"/>
      <w:numFmt w:val="lowerRoman"/>
      <w:lvlText w:val="%6."/>
      <w:lvlJc w:val="right"/>
      <w:pPr>
        <w:ind w:left="6021" w:hanging="180"/>
      </w:pPr>
    </w:lvl>
    <w:lvl w:ilvl="6" w:tplc="0408000F" w:tentative="1">
      <w:start w:val="1"/>
      <w:numFmt w:val="decimal"/>
      <w:lvlText w:val="%7."/>
      <w:lvlJc w:val="left"/>
      <w:pPr>
        <w:ind w:left="6741" w:hanging="360"/>
      </w:pPr>
    </w:lvl>
    <w:lvl w:ilvl="7" w:tplc="04080019" w:tentative="1">
      <w:start w:val="1"/>
      <w:numFmt w:val="lowerLetter"/>
      <w:lvlText w:val="%8."/>
      <w:lvlJc w:val="left"/>
      <w:pPr>
        <w:ind w:left="7461" w:hanging="360"/>
      </w:pPr>
    </w:lvl>
    <w:lvl w:ilvl="8" w:tplc="0408001B" w:tentative="1">
      <w:start w:val="1"/>
      <w:numFmt w:val="lowerRoman"/>
      <w:lvlText w:val="%9."/>
      <w:lvlJc w:val="right"/>
      <w:pPr>
        <w:ind w:left="8181" w:hanging="180"/>
      </w:pPr>
    </w:lvl>
  </w:abstractNum>
  <w:abstractNum w:abstractNumId="12">
    <w:nsid w:val="1F566C10"/>
    <w:multiLevelType w:val="hybridMultilevel"/>
    <w:tmpl w:val="034E2182"/>
    <w:lvl w:ilvl="0" w:tplc="B88EC1A2">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D4346E"/>
    <w:multiLevelType w:val="hybridMultilevel"/>
    <w:tmpl w:val="4E3A690A"/>
    <w:lvl w:ilvl="0" w:tplc="0408000F">
      <w:start w:val="1"/>
      <w:numFmt w:val="decimal"/>
      <w:lvlText w:val="%1."/>
      <w:lvlJc w:val="left"/>
      <w:pPr>
        <w:ind w:left="2217" w:hanging="360"/>
      </w:pPr>
    </w:lvl>
    <w:lvl w:ilvl="1" w:tplc="04080019" w:tentative="1">
      <w:start w:val="1"/>
      <w:numFmt w:val="lowerLetter"/>
      <w:lvlText w:val="%2."/>
      <w:lvlJc w:val="left"/>
      <w:pPr>
        <w:ind w:left="2937" w:hanging="360"/>
      </w:pPr>
    </w:lvl>
    <w:lvl w:ilvl="2" w:tplc="0408001B" w:tentative="1">
      <w:start w:val="1"/>
      <w:numFmt w:val="lowerRoman"/>
      <w:lvlText w:val="%3."/>
      <w:lvlJc w:val="right"/>
      <w:pPr>
        <w:ind w:left="3657" w:hanging="180"/>
      </w:pPr>
    </w:lvl>
    <w:lvl w:ilvl="3" w:tplc="0408000F" w:tentative="1">
      <w:start w:val="1"/>
      <w:numFmt w:val="decimal"/>
      <w:lvlText w:val="%4."/>
      <w:lvlJc w:val="left"/>
      <w:pPr>
        <w:ind w:left="4377" w:hanging="360"/>
      </w:pPr>
    </w:lvl>
    <w:lvl w:ilvl="4" w:tplc="04080019" w:tentative="1">
      <w:start w:val="1"/>
      <w:numFmt w:val="lowerLetter"/>
      <w:lvlText w:val="%5."/>
      <w:lvlJc w:val="left"/>
      <w:pPr>
        <w:ind w:left="5097" w:hanging="360"/>
      </w:pPr>
    </w:lvl>
    <w:lvl w:ilvl="5" w:tplc="0408001B" w:tentative="1">
      <w:start w:val="1"/>
      <w:numFmt w:val="lowerRoman"/>
      <w:lvlText w:val="%6."/>
      <w:lvlJc w:val="right"/>
      <w:pPr>
        <w:ind w:left="5817" w:hanging="180"/>
      </w:pPr>
    </w:lvl>
    <w:lvl w:ilvl="6" w:tplc="0408000F" w:tentative="1">
      <w:start w:val="1"/>
      <w:numFmt w:val="decimal"/>
      <w:lvlText w:val="%7."/>
      <w:lvlJc w:val="left"/>
      <w:pPr>
        <w:ind w:left="6537" w:hanging="360"/>
      </w:pPr>
    </w:lvl>
    <w:lvl w:ilvl="7" w:tplc="04080019" w:tentative="1">
      <w:start w:val="1"/>
      <w:numFmt w:val="lowerLetter"/>
      <w:lvlText w:val="%8."/>
      <w:lvlJc w:val="left"/>
      <w:pPr>
        <w:ind w:left="7257" w:hanging="360"/>
      </w:pPr>
    </w:lvl>
    <w:lvl w:ilvl="8" w:tplc="0408001B" w:tentative="1">
      <w:start w:val="1"/>
      <w:numFmt w:val="lowerRoman"/>
      <w:lvlText w:val="%9."/>
      <w:lvlJc w:val="right"/>
      <w:pPr>
        <w:ind w:left="7977" w:hanging="180"/>
      </w:pPr>
    </w:lvl>
  </w:abstractNum>
  <w:abstractNum w:abstractNumId="14">
    <w:nsid w:val="23F5226F"/>
    <w:multiLevelType w:val="hybridMultilevel"/>
    <w:tmpl w:val="C84A5380"/>
    <w:lvl w:ilvl="0" w:tplc="0809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59573FC"/>
    <w:multiLevelType w:val="hybridMultilevel"/>
    <w:tmpl w:val="E2624D10"/>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69B4CEC"/>
    <w:multiLevelType w:val="hybridMultilevel"/>
    <w:tmpl w:val="5AA83ED2"/>
    <w:lvl w:ilvl="0" w:tplc="F34E8030">
      <w:start w:val="5"/>
      <w:numFmt w:val="upperRoman"/>
      <w:lvlText w:val="%1."/>
      <w:lvlJc w:val="righ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7">
    <w:nsid w:val="2D794603"/>
    <w:multiLevelType w:val="hybridMultilevel"/>
    <w:tmpl w:val="B7B05280"/>
    <w:lvl w:ilvl="0" w:tplc="BFE0B05E">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2A1461"/>
    <w:multiLevelType w:val="hybridMultilevel"/>
    <w:tmpl w:val="F8125C42"/>
    <w:lvl w:ilvl="0" w:tplc="DFF68652">
      <w:start w:val="4"/>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5471B0B"/>
    <w:multiLevelType w:val="hybridMultilevel"/>
    <w:tmpl w:val="4ACA910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6EA5D08"/>
    <w:multiLevelType w:val="hybridMultilevel"/>
    <w:tmpl w:val="AB02F93E"/>
    <w:lvl w:ilvl="0" w:tplc="4E9ADDDA">
      <w:start w:val="6"/>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0A4690"/>
    <w:multiLevelType w:val="hybridMultilevel"/>
    <w:tmpl w:val="A9301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0BD645B"/>
    <w:multiLevelType w:val="hybridMultilevel"/>
    <w:tmpl w:val="705A98A0"/>
    <w:lvl w:ilvl="0" w:tplc="29AE86F8">
      <w:start w:val="5"/>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83022D2"/>
    <w:multiLevelType w:val="hybridMultilevel"/>
    <w:tmpl w:val="1DEEB204"/>
    <w:lvl w:ilvl="0" w:tplc="BC548540">
      <w:start w:val="8"/>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A8C270C"/>
    <w:multiLevelType w:val="hybridMultilevel"/>
    <w:tmpl w:val="8404FDEC"/>
    <w:lvl w:ilvl="0" w:tplc="260E424A">
      <w:start w:val="12"/>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B985919"/>
    <w:multiLevelType w:val="hybridMultilevel"/>
    <w:tmpl w:val="3CC2491E"/>
    <w:lvl w:ilvl="0" w:tplc="85EE5E88">
      <w:start w:val="1"/>
      <w:numFmt w:val="decimal"/>
      <w:pStyle w:val="Title"/>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E17C9F"/>
    <w:multiLevelType w:val="hybridMultilevel"/>
    <w:tmpl w:val="82C0A0EA"/>
    <w:lvl w:ilvl="0" w:tplc="06844014">
      <w:start w:val="3"/>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E4731C7"/>
    <w:multiLevelType w:val="hybridMultilevel"/>
    <w:tmpl w:val="A31E4200"/>
    <w:lvl w:ilvl="0" w:tplc="6F521BCA">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32D28B6"/>
    <w:multiLevelType w:val="hybridMultilevel"/>
    <w:tmpl w:val="2356F828"/>
    <w:lvl w:ilvl="0" w:tplc="52E0D64C">
      <w:start w:val="13"/>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6CE61A9"/>
    <w:multiLevelType w:val="hybridMultilevel"/>
    <w:tmpl w:val="93D267BA"/>
    <w:lvl w:ilvl="0" w:tplc="F11A21BC">
      <w:start w:val="5"/>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834F3F"/>
    <w:multiLevelType w:val="hybridMultilevel"/>
    <w:tmpl w:val="D0A26950"/>
    <w:lvl w:ilvl="0" w:tplc="04080013">
      <w:start w:val="1"/>
      <w:numFmt w:val="upp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1">
    <w:nsid w:val="5B621884"/>
    <w:multiLevelType w:val="hybridMultilevel"/>
    <w:tmpl w:val="D114A2F4"/>
    <w:lvl w:ilvl="0" w:tplc="996A1736">
      <w:start w:val="3"/>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C11450B"/>
    <w:multiLevelType w:val="hybridMultilevel"/>
    <w:tmpl w:val="125CD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D73439F"/>
    <w:multiLevelType w:val="hybridMultilevel"/>
    <w:tmpl w:val="CD34EA90"/>
    <w:lvl w:ilvl="0" w:tplc="4FCA7B4E">
      <w:start w:val="4"/>
      <w:numFmt w:val="upperRoman"/>
      <w:lvlText w:val="%1."/>
      <w:lvlJc w:val="right"/>
      <w:pPr>
        <w:ind w:left="77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DC33AFF"/>
    <w:multiLevelType w:val="hybridMultilevel"/>
    <w:tmpl w:val="EFC2950C"/>
    <w:lvl w:ilvl="0" w:tplc="E9E0D346">
      <w:start w:val="4"/>
      <w:numFmt w:val="upperRoman"/>
      <w:lvlText w:val="%1."/>
      <w:lvlJc w:val="right"/>
      <w:pPr>
        <w:ind w:left="77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FF86A74"/>
    <w:multiLevelType w:val="hybridMultilevel"/>
    <w:tmpl w:val="6038AA02"/>
    <w:lvl w:ilvl="0" w:tplc="04080013">
      <w:start w:val="1"/>
      <w:numFmt w:val="upperRoman"/>
      <w:lvlText w:val="%1."/>
      <w:lvlJc w:val="right"/>
      <w:pPr>
        <w:ind w:left="3585" w:hanging="360"/>
      </w:pPr>
    </w:lvl>
    <w:lvl w:ilvl="1" w:tplc="04080019" w:tentative="1">
      <w:start w:val="1"/>
      <w:numFmt w:val="lowerLetter"/>
      <w:lvlText w:val="%2."/>
      <w:lvlJc w:val="left"/>
      <w:pPr>
        <w:ind w:left="4305" w:hanging="360"/>
      </w:pPr>
    </w:lvl>
    <w:lvl w:ilvl="2" w:tplc="0408001B" w:tentative="1">
      <w:start w:val="1"/>
      <w:numFmt w:val="lowerRoman"/>
      <w:lvlText w:val="%3."/>
      <w:lvlJc w:val="right"/>
      <w:pPr>
        <w:ind w:left="5025" w:hanging="180"/>
      </w:pPr>
    </w:lvl>
    <w:lvl w:ilvl="3" w:tplc="0408000F" w:tentative="1">
      <w:start w:val="1"/>
      <w:numFmt w:val="decimal"/>
      <w:lvlText w:val="%4."/>
      <w:lvlJc w:val="left"/>
      <w:pPr>
        <w:ind w:left="5745" w:hanging="360"/>
      </w:pPr>
    </w:lvl>
    <w:lvl w:ilvl="4" w:tplc="04080019" w:tentative="1">
      <w:start w:val="1"/>
      <w:numFmt w:val="lowerLetter"/>
      <w:lvlText w:val="%5."/>
      <w:lvlJc w:val="left"/>
      <w:pPr>
        <w:ind w:left="6465" w:hanging="360"/>
      </w:pPr>
    </w:lvl>
    <w:lvl w:ilvl="5" w:tplc="0408001B" w:tentative="1">
      <w:start w:val="1"/>
      <w:numFmt w:val="lowerRoman"/>
      <w:lvlText w:val="%6."/>
      <w:lvlJc w:val="right"/>
      <w:pPr>
        <w:ind w:left="7185" w:hanging="180"/>
      </w:pPr>
    </w:lvl>
    <w:lvl w:ilvl="6" w:tplc="0408000F" w:tentative="1">
      <w:start w:val="1"/>
      <w:numFmt w:val="decimal"/>
      <w:lvlText w:val="%7."/>
      <w:lvlJc w:val="left"/>
      <w:pPr>
        <w:ind w:left="7905" w:hanging="360"/>
      </w:pPr>
    </w:lvl>
    <w:lvl w:ilvl="7" w:tplc="04080019" w:tentative="1">
      <w:start w:val="1"/>
      <w:numFmt w:val="lowerLetter"/>
      <w:lvlText w:val="%8."/>
      <w:lvlJc w:val="left"/>
      <w:pPr>
        <w:ind w:left="8625" w:hanging="360"/>
      </w:pPr>
    </w:lvl>
    <w:lvl w:ilvl="8" w:tplc="0408001B" w:tentative="1">
      <w:start w:val="1"/>
      <w:numFmt w:val="lowerRoman"/>
      <w:lvlText w:val="%9."/>
      <w:lvlJc w:val="right"/>
      <w:pPr>
        <w:ind w:left="9345" w:hanging="180"/>
      </w:pPr>
    </w:lvl>
  </w:abstractNum>
  <w:abstractNum w:abstractNumId="36">
    <w:nsid w:val="6056168A"/>
    <w:multiLevelType w:val="hybridMultilevel"/>
    <w:tmpl w:val="E0EA1276"/>
    <w:lvl w:ilvl="0" w:tplc="8A0694EC">
      <w:start w:val="10"/>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1F82359"/>
    <w:multiLevelType w:val="hybridMultilevel"/>
    <w:tmpl w:val="734A6A5C"/>
    <w:lvl w:ilvl="0" w:tplc="3B8E3B84">
      <w:start w:val="2"/>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45304D1"/>
    <w:multiLevelType w:val="hybridMultilevel"/>
    <w:tmpl w:val="60307FB8"/>
    <w:lvl w:ilvl="0" w:tplc="E4807ECC">
      <w:start w:val="6"/>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6853985"/>
    <w:multiLevelType w:val="hybridMultilevel"/>
    <w:tmpl w:val="0C78D90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671D0953"/>
    <w:multiLevelType w:val="hybridMultilevel"/>
    <w:tmpl w:val="C44ADC56"/>
    <w:lvl w:ilvl="0" w:tplc="4A1EEF9C">
      <w:start w:val="6"/>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60E49FD"/>
    <w:multiLevelType w:val="hybridMultilevel"/>
    <w:tmpl w:val="4C548A36"/>
    <w:lvl w:ilvl="0" w:tplc="F11C65FC">
      <w:start w:val="4"/>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6490FAE"/>
    <w:multiLevelType w:val="hybridMultilevel"/>
    <w:tmpl w:val="92AEA000"/>
    <w:lvl w:ilvl="0" w:tplc="3648DF08">
      <w:start w:val="10"/>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68F13AD"/>
    <w:multiLevelType w:val="hybridMultilevel"/>
    <w:tmpl w:val="04BE5EDA"/>
    <w:lvl w:ilvl="0" w:tplc="B88EC1A2">
      <w:start w:val="4"/>
      <w:numFmt w:val="upperRoman"/>
      <w:lvlText w:val="%1."/>
      <w:lvlJc w:val="right"/>
      <w:pPr>
        <w:ind w:left="360"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44">
    <w:nsid w:val="787211E3"/>
    <w:multiLevelType w:val="hybridMultilevel"/>
    <w:tmpl w:val="ED264ABA"/>
    <w:lvl w:ilvl="0" w:tplc="2AF8E146">
      <w:start w:val="7"/>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9"/>
  </w:num>
  <w:num w:numId="3">
    <w:abstractNumId w:val="17"/>
  </w:num>
  <w:num w:numId="4">
    <w:abstractNumId w:val="15"/>
  </w:num>
  <w:num w:numId="5">
    <w:abstractNumId w:val="5"/>
  </w:num>
  <w:num w:numId="6">
    <w:abstractNumId w:val="25"/>
  </w:num>
  <w:num w:numId="7">
    <w:abstractNumId w:val="2"/>
  </w:num>
  <w:num w:numId="8">
    <w:abstractNumId w:val="8"/>
  </w:num>
  <w:num w:numId="9">
    <w:abstractNumId w:val="27"/>
  </w:num>
  <w:num w:numId="10">
    <w:abstractNumId w:val="37"/>
  </w:num>
  <w:num w:numId="11">
    <w:abstractNumId w:val="26"/>
  </w:num>
  <w:num w:numId="12">
    <w:abstractNumId w:val="18"/>
  </w:num>
  <w:num w:numId="13">
    <w:abstractNumId w:val="22"/>
  </w:num>
  <w:num w:numId="14">
    <w:abstractNumId w:val="38"/>
  </w:num>
  <w:num w:numId="15">
    <w:abstractNumId w:val="6"/>
  </w:num>
  <w:num w:numId="16">
    <w:abstractNumId w:val="21"/>
  </w:num>
  <w:num w:numId="17">
    <w:abstractNumId w:val="11"/>
  </w:num>
  <w:num w:numId="18">
    <w:abstractNumId w:val="1"/>
  </w:num>
  <w:num w:numId="19">
    <w:abstractNumId w:val="32"/>
  </w:num>
  <w:num w:numId="20">
    <w:abstractNumId w:val="9"/>
  </w:num>
  <w:num w:numId="21">
    <w:abstractNumId w:val="19"/>
  </w:num>
  <w:num w:numId="22">
    <w:abstractNumId w:val="31"/>
  </w:num>
  <w:num w:numId="23">
    <w:abstractNumId w:val="41"/>
  </w:num>
  <w:num w:numId="24">
    <w:abstractNumId w:val="29"/>
  </w:num>
  <w:num w:numId="25">
    <w:abstractNumId w:val="40"/>
  </w:num>
  <w:num w:numId="26">
    <w:abstractNumId w:val="44"/>
  </w:num>
  <w:num w:numId="27">
    <w:abstractNumId w:val="23"/>
  </w:num>
  <w:num w:numId="28">
    <w:abstractNumId w:val="42"/>
  </w:num>
  <w:num w:numId="29">
    <w:abstractNumId w:val="20"/>
  </w:num>
  <w:num w:numId="30">
    <w:abstractNumId w:val="36"/>
  </w:num>
  <w:num w:numId="31">
    <w:abstractNumId w:val="24"/>
  </w:num>
  <w:num w:numId="32">
    <w:abstractNumId w:val="28"/>
  </w:num>
  <w:num w:numId="33">
    <w:abstractNumId w:val="4"/>
  </w:num>
  <w:num w:numId="34">
    <w:abstractNumId w:val="13"/>
  </w:num>
  <w:num w:numId="35">
    <w:abstractNumId w:val="35"/>
  </w:num>
  <w:num w:numId="36">
    <w:abstractNumId w:val="30"/>
  </w:num>
  <w:num w:numId="37">
    <w:abstractNumId w:val="34"/>
  </w:num>
  <w:num w:numId="38">
    <w:abstractNumId w:val="3"/>
  </w:num>
  <w:num w:numId="39">
    <w:abstractNumId w:val="16"/>
  </w:num>
  <w:num w:numId="40">
    <w:abstractNumId w:val="33"/>
  </w:num>
  <w:num w:numId="41">
    <w:abstractNumId w:val="43"/>
  </w:num>
  <w:num w:numId="42">
    <w:abstractNumId w:val="0"/>
  </w:num>
  <w:num w:numId="43">
    <w:abstractNumId w:val="25"/>
  </w:num>
  <w:num w:numId="44">
    <w:abstractNumId w:val="25"/>
  </w:num>
  <w:num w:numId="45">
    <w:abstractNumId w:val="25"/>
  </w:num>
  <w:num w:numId="46">
    <w:abstractNumId w:val="14"/>
  </w:num>
  <w:num w:numId="47">
    <w:abstractNumId w:val="12"/>
  </w:num>
  <w:num w:numId="48">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64F54"/>
    <w:rsid w:val="00010646"/>
    <w:rsid w:val="0001378F"/>
    <w:rsid w:val="00021A66"/>
    <w:rsid w:val="00022295"/>
    <w:rsid w:val="000252D9"/>
    <w:rsid w:val="00031347"/>
    <w:rsid w:val="000343A9"/>
    <w:rsid w:val="000361D5"/>
    <w:rsid w:val="00042833"/>
    <w:rsid w:val="000431E0"/>
    <w:rsid w:val="000444CB"/>
    <w:rsid w:val="0004526D"/>
    <w:rsid w:val="0005051C"/>
    <w:rsid w:val="000534E0"/>
    <w:rsid w:val="00062396"/>
    <w:rsid w:val="0006540F"/>
    <w:rsid w:val="00082A10"/>
    <w:rsid w:val="0009142A"/>
    <w:rsid w:val="000974B2"/>
    <w:rsid w:val="000A2208"/>
    <w:rsid w:val="000C3B07"/>
    <w:rsid w:val="000D1E29"/>
    <w:rsid w:val="000D3067"/>
    <w:rsid w:val="000E05A3"/>
    <w:rsid w:val="000F08BE"/>
    <w:rsid w:val="000F1A7F"/>
    <w:rsid w:val="000F1D18"/>
    <w:rsid w:val="000F1DBA"/>
    <w:rsid w:val="000F3DFC"/>
    <w:rsid w:val="000F4469"/>
    <w:rsid w:val="000F7838"/>
    <w:rsid w:val="00103A3E"/>
    <w:rsid w:val="00107166"/>
    <w:rsid w:val="00107623"/>
    <w:rsid w:val="00113073"/>
    <w:rsid w:val="0011568D"/>
    <w:rsid w:val="00115A19"/>
    <w:rsid w:val="00121749"/>
    <w:rsid w:val="0012198F"/>
    <w:rsid w:val="00121DEF"/>
    <w:rsid w:val="00122AE3"/>
    <w:rsid w:val="00124523"/>
    <w:rsid w:val="00125B63"/>
    <w:rsid w:val="00125B73"/>
    <w:rsid w:val="00143241"/>
    <w:rsid w:val="00143DBB"/>
    <w:rsid w:val="00145A49"/>
    <w:rsid w:val="00146060"/>
    <w:rsid w:val="0014680B"/>
    <w:rsid w:val="00152E13"/>
    <w:rsid w:val="00156072"/>
    <w:rsid w:val="0016137A"/>
    <w:rsid w:val="00164462"/>
    <w:rsid w:val="0017052B"/>
    <w:rsid w:val="00182CEF"/>
    <w:rsid w:val="0018575B"/>
    <w:rsid w:val="001909F2"/>
    <w:rsid w:val="00191186"/>
    <w:rsid w:val="001949D1"/>
    <w:rsid w:val="00195A51"/>
    <w:rsid w:val="001A23B4"/>
    <w:rsid w:val="001A7D94"/>
    <w:rsid w:val="001A7ED6"/>
    <w:rsid w:val="001B21E2"/>
    <w:rsid w:val="001B43FE"/>
    <w:rsid w:val="001C1424"/>
    <w:rsid w:val="001C26CC"/>
    <w:rsid w:val="001C2A56"/>
    <w:rsid w:val="001C77A8"/>
    <w:rsid w:val="001D1FE9"/>
    <w:rsid w:val="001D4A65"/>
    <w:rsid w:val="001D76D1"/>
    <w:rsid w:val="001E185C"/>
    <w:rsid w:val="001E22FE"/>
    <w:rsid w:val="001E4DD0"/>
    <w:rsid w:val="001E5021"/>
    <w:rsid w:val="001E6759"/>
    <w:rsid w:val="001E7C7F"/>
    <w:rsid w:val="001F0EDA"/>
    <w:rsid w:val="001F6666"/>
    <w:rsid w:val="001F6954"/>
    <w:rsid w:val="001F7C87"/>
    <w:rsid w:val="002010D1"/>
    <w:rsid w:val="00201E0C"/>
    <w:rsid w:val="00206A9F"/>
    <w:rsid w:val="00207AA0"/>
    <w:rsid w:val="00217C7D"/>
    <w:rsid w:val="00220535"/>
    <w:rsid w:val="00222CA0"/>
    <w:rsid w:val="002231CC"/>
    <w:rsid w:val="00226050"/>
    <w:rsid w:val="00226245"/>
    <w:rsid w:val="002278D6"/>
    <w:rsid w:val="0023291E"/>
    <w:rsid w:val="0023634A"/>
    <w:rsid w:val="0024197B"/>
    <w:rsid w:val="00244344"/>
    <w:rsid w:val="002472D4"/>
    <w:rsid w:val="00247D72"/>
    <w:rsid w:val="00247F70"/>
    <w:rsid w:val="0025170F"/>
    <w:rsid w:val="00252818"/>
    <w:rsid w:val="002564A9"/>
    <w:rsid w:val="00257807"/>
    <w:rsid w:val="0026029C"/>
    <w:rsid w:val="00262DF4"/>
    <w:rsid w:val="002637B1"/>
    <w:rsid w:val="0026424B"/>
    <w:rsid w:val="00264431"/>
    <w:rsid w:val="00265517"/>
    <w:rsid w:val="002708F7"/>
    <w:rsid w:val="00271747"/>
    <w:rsid w:val="00280430"/>
    <w:rsid w:val="0028411D"/>
    <w:rsid w:val="002903F5"/>
    <w:rsid w:val="0029074A"/>
    <w:rsid w:val="00297279"/>
    <w:rsid w:val="002A527B"/>
    <w:rsid w:val="002A6AEA"/>
    <w:rsid w:val="002B41B8"/>
    <w:rsid w:val="002B6134"/>
    <w:rsid w:val="002C1017"/>
    <w:rsid w:val="002C1F2F"/>
    <w:rsid w:val="002C4916"/>
    <w:rsid w:val="002C7FEA"/>
    <w:rsid w:val="002D6641"/>
    <w:rsid w:val="002E04E1"/>
    <w:rsid w:val="002E3BCB"/>
    <w:rsid w:val="002E4866"/>
    <w:rsid w:val="002E52FF"/>
    <w:rsid w:val="002F0E23"/>
    <w:rsid w:val="002F7643"/>
    <w:rsid w:val="002F7952"/>
    <w:rsid w:val="00300824"/>
    <w:rsid w:val="00300897"/>
    <w:rsid w:val="00301C6E"/>
    <w:rsid w:val="00302E37"/>
    <w:rsid w:val="003054A3"/>
    <w:rsid w:val="0032257E"/>
    <w:rsid w:val="0032638C"/>
    <w:rsid w:val="0032638F"/>
    <w:rsid w:val="00326E4E"/>
    <w:rsid w:val="00326FE9"/>
    <w:rsid w:val="0033179C"/>
    <w:rsid w:val="00331EC3"/>
    <w:rsid w:val="00332371"/>
    <w:rsid w:val="00340610"/>
    <w:rsid w:val="003409CD"/>
    <w:rsid w:val="00342EEA"/>
    <w:rsid w:val="003457B0"/>
    <w:rsid w:val="00355025"/>
    <w:rsid w:val="00355328"/>
    <w:rsid w:val="003576B8"/>
    <w:rsid w:val="00370C89"/>
    <w:rsid w:val="003758FF"/>
    <w:rsid w:val="00377180"/>
    <w:rsid w:val="003776A9"/>
    <w:rsid w:val="0038016B"/>
    <w:rsid w:val="00380D7A"/>
    <w:rsid w:val="003831DF"/>
    <w:rsid w:val="003845D6"/>
    <w:rsid w:val="00385BC8"/>
    <w:rsid w:val="003864A2"/>
    <w:rsid w:val="00386E5C"/>
    <w:rsid w:val="00393D27"/>
    <w:rsid w:val="003958B4"/>
    <w:rsid w:val="00396490"/>
    <w:rsid w:val="00397292"/>
    <w:rsid w:val="003A0EA5"/>
    <w:rsid w:val="003A15FD"/>
    <w:rsid w:val="003A3D89"/>
    <w:rsid w:val="003A6206"/>
    <w:rsid w:val="003A7555"/>
    <w:rsid w:val="003B122C"/>
    <w:rsid w:val="003B54EB"/>
    <w:rsid w:val="003B5F5D"/>
    <w:rsid w:val="003B767A"/>
    <w:rsid w:val="003C113C"/>
    <w:rsid w:val="003C18E0"/>
    <w:rsid w:val="003C1C70"/>
    <w:rsid w:val="003C5D35"/>
    <w:rsid w:val="003C6213"/>
    <w:rsid w:val="003C7263"/>
    <w:rsid w:val="003D0F30"/>
    <w:rsid w:val="003D33B6"/>
    <w:rsid w:val="003D341A"/>
    <w:rsid w:val="003D5AB4"/>
    <w:rsid w:val="003D60FC"/>
    <w:rsid w:val="003D656C"/>
    <w:rsid w:val="003D6AC8"/>
    <w:rsid w:val="003E007B"/>
    <w:rsid w:val="003E323C"/>
    <w:rsid w:val="003E6663"/>
    <w:rsid w:val="003F18D6"/>
    <w:rsid w:val="003F20C7"/>
    <w:rsid w:val="003F3B3B"/>
    <w:rsid w:val="003F6733"/>
    <w:rsid w:val="00400118"/>
    <w:rsid w:val="00400946"/>
    <w:rsid w:val="00407EB4"/>
    <w:rsid w:val="004119A7"/>
    <w:rsid w:val="004127E7"/>
    <w:rsid w:val="00414562"/>
    <w:rsid w:val="004177A5"/>
    <w:rsid w:val="00420FA9"/>
    <w:rsid w:val="00421EDB"/>
    <w:rsid w:val="00425258"/>
    <w:rsid w:val="00431C00"/>
    <w:rsid w:val="0043288B"/>
    <w:rsid w:val="00433B29"/>
    <w:rsid w:val="00433DF9"/>
    <w:rsid w:val="00435758"/>
    <w:rsid w:val="00440D08"/>
    <w:rsid w:val="00443052"/>
    <w:rsid w:val="004433DD"/>
    <w:rsid w:val="00443572"/>
    <w:rsid w:val="004475DA"/>
    <w:rsid w:val="00451907"/>
    <w:rsid w:val="00452CCF"/>
    <w:rsid w:val="00453F75"/>
    <w:rsid w:val="00456302"/>
    <w:rsid w:val="004567A4"/>
    <w:rsid w:val="004572FB"/>
    <w:rsid w:val="00457C33"/>
    <w:rsid w:val="00457EA2"/>
    <w:rsid w:val="00461E77"/>
    <w:rsid w:val="00462D8E"/>
    <w:rsid w:val="004632CA"/>
    <w:rsid w:val="00463803"/>
    <w:rsid w:val="0046473C"/>
    <w:rsid w:val="0047314B"/>
    <w:rsid w:val="00477D08"/>
    <w:rsid w:val="004808D4"/>
    <w:rsid w:val="00481001"/>
    <w:rsid w:val="004813CD"/>
    <w:rsid w:val="00481A3D"/>
    <w:rsid w:val="00481EAB"/>
    <w:rsid w:val="00481FC9"/>
    <w:rsid w:val="004853E3"/>
    <w:rsid w:val="004902AF"/>
    <w:rsid w:val="0049102F"/>
    <w:rsid w:val="00496DAD"/>
    <w:rsid w:val="00496EC1"/>
    <w:rsid w:val="00497A02"/>
    <w:rsid w:val="004A1B25"/>
    <w:rsid w:val="004A2339"/>
    <w:rsid w:val="004A5CE2"/>
    <w:rsid w:val="004A798E"/>
    <w:rsid w:val="004A7C66"/>
    <w:rsid w:val="004B35CB"/>
    <w:rsid w:val="004B62D4"/>
    <w:rsid w:val="004B7512"/>
    <w:rsid w:val="004B7698"/>
    <w:rsid w:val="004B775A"/>
    <w:rsid w:val="004C10BC"/>
    <w:rsid w:val="004C4686"/>
    <w:rsid w:val="004D4F8A"/>
    <w:rsid w:val="004D5F05"/>
    <w:rsid w:val="004D77E5"/>
    <w:rsid w:val="004E3905"/>
    <w:rsid w:val="004F02B5"/>
    <w:rsid w:val="004F4695"/>
    <w:rsid w:val="004F4923"/>
    <w:rsid w:val="004F5B95"/>
    <w:rsid w:val="004F73EC"/>
    <w:rsid w:val="00500939"/>
    <w:rsid w:val="005029FC"/>
    <w:rsid w:val="00502E95"/>
    <w:rsid w:val="00502E9C"/>
    <w:rsid w:val="005031D2"/>
    <w:rsid w:val="00505F1A"/>
    <w:rsid w:val="00510C8E"/>
    <w:rsid w:val="00514199"/>
    <w:rsid w:val="00515B8E"/>
    <w:rsid w:val="00516838"/>
    <w:rsid w:val="005179B5"/>
    <w:rsid w:val="0052331B"/>
    <w:rsid w:val="00523C7D"/>
    <w:rsid w:val="005417EB"/>
    <w:rsid w:val="00541DD4"/>
    <w:rsid w:val="005437E4"/>
    <w:rsid w:val="00543A6C"/>
    <w:rsid w:val="0054648B"/>
    <w:rsid w:val="00556EC1"/>
    <w:rsid w:val="005574E9"/>
    <w:rsid w:val="0056220E"/>
    <w:rsid w:val="00571D99"/>
    <w:rsid w:val="0058118B"/>
    <w:rsid w:val="00583DE3"/>
    <w:rsid w:val="00585C56"/>
    <w:rsid w:val="005879CA"/>
    <w:rsid w:val="00587A58"/>
    <w:rsid w:val="00591BB0"/>
    <w:rsid w:val="00592A49"/>
    <w:rsid w:val="0059563A"/>
    <w:rsid w:val="00597305"/>
    <w:rsid w:val="005A2E17"/>
    <w:rsid w:val="005A30B6"/>
    <w:rsid w:val="005A487B"/>
    <w:rsid w:val="005A524D"/>
    <w:rsid w:val="005A62F9"/>
    <w:rsid w:val="005A644F"/>
    <w:rsid w:val="005A7CD8"/>
    <w:rsid w:val="005B6BD6"/>
    <w:rsid w:val="005B6BD8"/>
    <w:rsid w:val="005B6BEA"/>
    <w:rsid w:val="005C10CD"/>
    <w:rsid w:val="005C261D"/>
    <w:rsid w:val="005C49F3"/>
    <w:rsid w:val="005C527B"/>
    <w:rsid w:val="005D34B4"/>
    <w:rsid w:val="005D3938"/>
    <w:rsid w:val="005D39B4"/>
    <w:rsid w:val="005D4066"/>
    <w:rsid w:val="005E1FAD"/>
    <w:rsid w:val="005E21CD"/>
    <w:rsid w:val="005F0CA3"/>
    <w:rsid w:val="005F231F"/>
    <w:rsid w:val="005F3524"/>
    <w:rsid w:val="005F4C22"/>
    <w:rsid w:val="00611BE0"/>
    <w:rsid w:val="00611FCA"/>
    <w:rsid w:val="006132B3"/>
    <w:rsid w:val="00617A81"/>
    <w:rsid w:val="006248F3"/>
    <w:rsid w:val="00626023"/>
    <w:rsid w:val="00627F5D"/>
    <w:rsid w:val="00627FA5"/>
    <w:rsid w:val="00630B18"/>
    <w:rsid w:val="00634FC3"/>
    <w:rsid w:val="006359FF"/>
    <w:rsid w:val="00640D59"/>
    <w:rsid w:val="006457AB"/>
    <w:rsid w:val="00645ECC"/>
    <w:rsid w:val="00646290"/>
    <w:rsid w:val="00652BB8"/>
    <w:rsid w:val="00657507"/>
    <w:rsid w:val="00660CFA"/>
    <w:rsid w:val="00663C7B"/>
    <w:rsid w:val="006666EE"/>
    <w:rsid w:val="00667B17"/>
    <w:rsid w:val="00671FCD"/>
    <w:rsid w:val="0067403E"/>
    <w:rsid w:val="0067651B"/>
    <w:rsid w:val="006769E2"/>
    <w:rsid w:val="00677C09"/>
    <w:rsid w:val="00677D2D"/>
    <w:rsid w:val="006827DF"/>
    <w:rsid w:val="00683AE4"/>
    <w:rsid w:val="0068690B"/>
    <w:rsid w:val="00687CAD"/>
    <w:rsid w:val="00690DFC"/>
    <w:rsid w:val="00693185"/>
    <w:rsid w:val="00693352"/>
    <w:rsid w:val="00693749"/>
    <w:rsid w:val="00695AB0"/>
    <w:rsid w:val="00696056"/>
    <w:rsid w:val="006A10E3"/>
    <w:rsid w:val="006A3E87"/>
    <w:rsid w:val="006A4473"/>
    <w:rsid w:val="006A4E8B"/>
    <w:rsid w:val="006A719E"/>
    <w:rsid w:val="006A74AB"/>
    <w:rsid w:val="006A7674"/>
    <w:rsid w:val="006A7EB9"/>
    <w:rsid w:val="006B0F34"/>
    <w:rsid w:val="006B122A"/>
    <w:rsid w:val="006B280D"/>
    <w:rsid w:val="006B3207"/>
    <w:rsid w:val="006C4D8E"/>
    <w:rsid w:val="006C7AF4"/>
    <w:rsid w:val="006D0F8E"/>
    <w:rsid w:val="006D1555"/>
    <w:rsid w:val="006D793E"/>
    <w:rsid w:val="006F379F"/>
    <w:rsid w:val="00702C3D"/>
    <w:rsid w:val="00703F39"/>
    <w:rsid w:val="00715B6F"/>
    <w:rsid w:val="00726BA9"/>
    <w:rsid w:val="00730383"/>
    <w:rsid w:val="00733181"/>
    <w:rsid w:val="00733610"/>
    <w:rsid w:val="0073398E"/>
    <w:rsid w:val="007349F1"/>
    <w:rsid w:val="00740133"/>
    <w:rsid w:val="00742182"/>
    <w:rsid w:val="00744DC8"/>
    <w:rsid w:val="007478AA"/>
    <w:rsid w:val="00751305"/>
    <w:rsid w:val="00752780"/>
    <w:rsid w:val="00756A90"/>
    <w:rsid w:val="00757CC0"/>
    <w:rsid w:val="0076446A"/>
    <w:rsid w:val="00764DB9"/>
    <w:rsid w:val="007747DE"/>
    <w:rsid w:val="0077619D"/>
    <w:rsid w:val="0077771D"/>
    <w:rsid w:val="00780BAE"/>
    <w:rsid w:val="007818EA"/>
    <w:rsid w:val="00784B54"/>
    <w:rsid w:val="00784D34"/>
    <w:rsid w:val="007878DC"/>
    <w:rsid w:val="00787D50"/>
    <w:rsid w:val="00792346"/>
    <w:rsid w:val="00794A6B"/>
    <w:rsid w:val="007A008C"/>
    <w:rsid w:val="007A2DF8"/>
    <w:rsid w:val="007A453C"/>
    <w:rsid w:val="007A69F2"/>
    <w:rsid w:val="007A7514"/>
    <w:rsid w:val="007B19BB"/>
    <w:rsid w:val="007B2C3D"/>
    <w:rsid w:val="007B3CE6"/>
    <w:rsid w:val="007B5692"/>
    <w:rsid w:val="007C04FD"/>
    <w:rsid w:val="007C0B07"/>
    <w:rsid w:val="007C187A"/>
    <w:rsid w:val="007C6123"/>
    <w:rsid w:val="007C63B2"/>
    <w:rsid w:val="007D05BB"/>
    <w:rsid w:val="007D2729"/>
    <w:rsid w:val="007D357F"/>
    <w:rsid w:val="007D418C"/>
    <w:rsid w:val="007F3CDB"/>
    <w:rsid w:val="007F5B49"/>
    <w:rsid w:val="007F5C35"/>
    <w:rsid w:val="007F7A4C"/>
    <w:rsid w:val="007F7ACA"/>
    <w:rsid w:val="00801088"/>
    <w:rsid w:val="008010E8"/>
    <w:rsid w:val="00802730"/>
    <w:rsid w:val="00802F32"/>
    <w:rsid w:val="00804240"/>
    <w:rsid w:val="0080522F"/>
    <w:rsid w:val="00811059"/>
    <w:rsid w:val="0081238C"/>
    <w:rsid w:val="0081665D"/>
    <w:rsid w:val="00817925"/>
    <w:rsid w:val="00826E62"/>
    <w:rsid w:val="00826E91"/>
    <w:rsid w:val="00827B0A"/>
    <w:rsid w:val="00833802"/>
    <w:rsid w:val="00835771"/>
    <w:rsid w:val="008410BF"/>
    <w:rsid w:val="00847068"/>
    <w:rsid w:val="00861088"/>
    <w:rsid w:val="0086166E"/>
    <w:rsid w:val="00863185"/>
    <w:rsid w:val="00863A34"/>
    <w:rsid w:val="00863BDC"/>
    <w:rsid w:val="00866953"/>
    <w:rsid w:val="008746E3"/>
    <w:rsid w:val="00883017"/>
    <w:rsid w:val="008846B1"/>
    <w:rsid w:val="00885277"/>
    <w:rsid w:val="008914AC"/>
    <w:rsid w:val="00892AFF"/>
    <w:rsid w:val="0089315F"/>
    <w:rsid w:val="00893FD8"/>
    <w:rsid w:val="00896A29"/>
    <w:rsid w:val="008A062D"/>
    <w:rsid w:val="008A5E8A"/>
    <w:rsid w:val="008A62F4"/>
    <w:rsid w:val="008B1A58"/>
    <w:rsid w:val="008B1EC6"/>
    <w:rsid w:val="008B667B"/>
    <w:rsid w:val="008C2BBA"/>
    <w:rsid w:val="008D6DB6"/>
    <w:rsid w:val="008D74B0"/>
    <w:rsid w:val="008E0599"/>
    <w:rsid w:val="008E1D5C"/>
    <w:rsid w:val="008E2097"/>
    <w:rsid w:val="008E6263"/>
    <w:rsid w:val="008F248C"/>
    <w:rsid w:val="008F3E3C"/>
    <w:rsid w:val="008F4657"/>
    <w:rsid w:val="008F72FA"/>
    <w:rsid w:val="00904F89"/>
    <w:rsid w:val="0090711F"/>
    <w:rsid w:val="0091228F"/>
    <w:rsid w:val="009127A0"/>
    <w:rsid w:val="0091347E"/>
    <w:rsid w:val="009148D9"/>
    <w:rsid w:val="0091598F"/>
    <w:rsid w:val="009217CC"/>
    <w:rsid w:val="00924467"/>
    <w:rsid w:val="009252E0"/>
    <w:rsid w:val="00927FB1"/>
    <w:rsid w:val="009320CE"/>
    <w:rsid w:val="00936208"/>
    <w:rsid w:val="009374F3"/>
    <w:rsid w:val="009408FD"/>
    <w:rsid w:val="00942518"/>
    <w:rsid w:val="0094444E"/>
    <w:rsid w:val="009446F5"/>
    <w:rsid w:val="00954FE3"/>
    <w:rsid w:val="00960CBB"/>
    <w:rsid w:val="00961C7F"/>
    <w:rsid w:val="00966C22"/>
    <w:rsid w:val="009762C0"/>
    <w:rsid w:val="0097647D"/>
    <w:rsid w:val="0098685A"/>
    <w:rsid w:val="00992ED6"/>
    <w:rsid w:val="009A287D"/>
    <w:rsid w:val="009A6345"/>
    <w:rsid w:val="009B3176"/>
    <w:rsid w:val="009B3216"/>
    <w:rsid w:val="009B3D80"/>
    <w:rsid w:val="009B3F9F"/>
    <w:rsid w:val="009B5EE9"/>
    <w:rsid w:val="009B60B9"/>
    <w:rsid w:val="009B6100"/>
    <w:rsid w:val="009B7344"/>
    <w:rsid w:val="009C4F68"/>
    <w:rsid w:val="009C5A78"/>
    <w:rsid w:val="009C7BC2"/>
    <w:rsid w:val="009D34D4"/>
    <w:rsid w:val="009D7090"/>
    <w:rsid w:val="009D776B"/>
    <w:rsid w:val="009D7992"/>
    <w:rsid w:val="009E0457"/>
    <w:rsid w:val="009E0E46"/>
    <w:rsid w:val="009E3E72"/>
    <w:rsid w:val="009E3EAA"/>
    <w:rsid w:val="009E49C9"/>
    <w:rsid w:val="009E76AA"/>
    <w:rsid w:val="009F22C0"/>
    <w:rsid w:val="009F2C8B"/>
    <w:rsid w:val="009F6079"/>
    <w:rsid w:val="009F6329"/>
    <w:rsid w:val="009F6F35"/>
    <w:rsid w:val="00A009C2"/>
    <w:rsid w:val="00A03595"/>
    <w:rsid w:val="00A0532E"/>
    <w:rsid w:val="00A10516"/>
    <w:rsid w:val="00A24776"/>
    <w:rsid w:val="00A25EA3"/>
    <w:rsid w:val="00A32A50"/>
    <w:rsid w:val="00A32BEF"/>
    <w:rsid w:val="00A3423A"/>
    <w:rsid w:val="00A34444"/>
    <w:rsid w:val="00A45483"/>
    <w:rsid w:val="00A45D57"/>
    <w:rsid w:val="00A45DF4"/>
    <w:rsid w:val="00A46C6B"/>
    <w:rsid w:val="00A57F1F"/>
    <w:rsid w:val="00A62B88"/>
    <w:rsid w:val="00A64B84"/>
    <w:rsid w:val="00A70B60"/>
    <w:rsid w:val="00A72037"/>
    <w:rsid w:val="00A74A31"/>
    <w:rsid w:val="00A848A9"/>
    <w:rsid w:val="00A87DC5"/>
    <w:rsid w:val="00A9079E"/>
    <w:rsid w:val="00A94110"/>
    <w:rsid w:val="00A954C9"/>
    <w:rsid w:val="00A970E8"/>
    <w:rsid w:val="00AA128F"/>
    <w:rsid w:val="00AA34B8"/>
    <w:rsid w:val="00AA5258"/>
    <w:rsid w:val="00AB1E3F"/>
    <w:rsid w:val="00AB5BDD"/>
    <w:rsid w:val="00AB7B11"/>
    <w:rsid w:val="00AC056F"/>
    <w:rsid w:val="00AC5EE7"/>
    <w:rsid w:val="00AD5940"/>
    <w:rsid w:val="00AD61C0"/>
    <w:rsid w:val="00AD7814"/>
    <w:rsid w:val="00AE0C98"/>
    <w:rsid w:val="00AE2E68"/>
    <w:rsid w:val="00AE5A71"/>
    <w:rsid w:val="00AE6EDF"/>
    <w:rsid w:val="00AE7941"/>
    <w:rsid w:val="00AE7ACC"/>
    <w:rsid w:val="00AF077B"/>
    <w:rsid w:val="00AF2889"/>
    <w:rsid w:val="00AF6F3A"/>
    <w:rsid w:val="00AF7D57"/>
    <w:rsid w:val="00B005AC"/>
    <w:rsid w:val="00B10722"/>
    <w:rsid w:val="00B130E2"/>
    <w:rsid w:val="00B13BA1"/>
    <w:rsid w:val="00B17EA1"/>
    <w:rsid w:val="00B224FB"/>
    <w:rsid w:val="00B23A3C"/>
    <w:rsid w:val="00B249A3"/>
    <w:rsid w:val="00B2505C"/>
    <w:rsid w:val="00B27028"/>
    <w:rsid w:val="00B30DC5"/>
    <w:rsid w:val="00B41D19"/>
    <w:rsid w:val="00B4410C"/>
    <w:rsid w:val="00B45BDA"/>
    <w:rsid w:val="00B474EF"/>
    <w:rsid w:val="00B47B36"/>
    <w:rsid w:val="00B51FDA"/>
    <w:rsid w:val="00B52BF2"/>
    <w:rsid w:val="00B540F6"/>
    <w:rsid w:val="00B55744"/>
    <w:rsid w:val="00B5709A"/>
    <w:rsid w:val="00B62F01"/>
    <w:rsid w:val="00B66AB5"/>
    <w:rsid w:val="00B6732D"/>
    <w:rsid w:val="00B67896"/>
    <w:rsid w:val="00B75EE1"/>
    <w:rsid w:val="00B76B93"/>
    <w:rsid w:val="00B8143A"/>
    <w:rsid w:val="00B83064"/>
    <w:rsid w:val="00B87971"/>
    <w:rsid w:val="00B87F3B"/>
    <w:rsid w:val="00BA0FC9"/>
    <w:rsid w:val="00BA3D3B"/>
    <w:rsid w:val="00BB0FBD"/>
    <w:rsid w:val="00BB3524"/>
    <w:rsid w:val="00BB5256"/>
    <w:rsid w:val="00BB7A42"/>
    <w:rsid w:val="00BC0CA2"/>
    <w:rsid w:val="00BC3921"/>
    <w:rsid w:val="00BC4EC7"/>
    <w:rsid w:val="00BD0DFF"/>
    <w:rsid w:val="00BD0FF2"/>
    <w:rsid w:val="00BE3FAC"/>
    <w:rsid w:val="00BF1C11"/>
    <w:rsid w:val="00BF5803"/>
    <w:rsid w:val="00C03335"/>
    <w:rsid w:val="00C063D3"/>
    <w:rsid w:val="00C10154"/>
    <w:rsid w:val="00C135F2"/>
    <w:rsid w:val="00C20883"/>
    <w:rsid w:val="00C23596"/>
    <w:rsid w:val="00C26347"/>
    <w:rsid w:val="00C26798"/>
    <w:rsid w:val="00C3095A"/>
    <w:rsid w:val="00C30B87"/>
    <w:rsid w:val="00C34BF1"/>
    <w:rsid w:val="00C37003"/>
    <w:rsid w:val="00C41925"/>
    <w:rsid w:val="00C43D17"/>
    <w:rsid w:val="00C46232"/>
    <w:rsid w:val="00C479DC"/>
    <w:rsid w:val="00C55ADB"/>
    <w:rsid w:val="00C55CC8"/>
    <w:rsid w:val="00C63818"/>
    <w:rsid w:val="00C64F54"/>
    <w:rsid w:val="00C704F4"/>
    <w:rsid w:val="00C759D1"/>
    <w:rsid w:val="00C87EB0"/>
    <w:rsid w:val="00C903E1"/>
    <w:rsid w:val="00C90F2C"/>
    <w:rsid w:val="00C92DCB"/>
    <w:rsid w:val="00C94F9A"/>
    <w:rsid w:val="00C95B37"/>
    <w:rsid w:val="00CA0ACC"/>
    <w:rsid w:val="00CA14E1"/>
    <w:rsid w:val="00CA1F0A"/>
    <w:rsid w:val="00CA22B2"/>
    <w:rsid w:val="00CA286E"/>
    <w:rsid w:val="00CA30B1"/>
    <w:rsid w:val="00CA3487"/>
    <w:rsid w:val="00CA70D8"/>
    <w:rsid w:val="00CB4220"/>
    <w:rsid w:val="00CB5AC9"/>
    <w:rsid w:val="00CB5E50"/>
    <w:rsid w:val="00CB5F50"/>
    <w:rsid w:val="00CB75BF"/>
    <w:rsid w:val="00CB7A22"/>
    <w:rsid w:val="00CC0317"/>
    <w:rsid w:val="00CC55AD"/>
    <w:rsid w:val="00CD1AEB"/>
    <w:rsid w:val="00CD1B0C"/>
    <w:rsid w:val="00CE0B52"/>
    <w:rsid w:val="00CE218B"/>
    <w:rsid w:val="00CE59D1"/>
    <w:rsid w:val="00CF5280"/>
    <w:rsid w:val="00D04CA9"/>
    <w:rsid w:val="00D14639"/>
    <w:rsid w:val="00D16069"/>
    <w:rsid w:val="00D16C94"/>
    <w:rsid w:val="00D20CA3"/>
    <w:rsid w:val="00D212DF"/>
    <w:rsid w:val="00D22795"/>
    <w:rsid w:val="00D264CD"/>
    <w:rsid w:val="00D276AA"/>
    <w:rsid w:val="00D34019"/>
    <w:rsid w:val="00D3784F"/>
    <w:rsid w:val="00D4041E"/>
    <w:rsid w:val="00D4042A"/>
    <w:rsid w:val="00D41D84"/>
    <w:rsid w:val="00D44508"/>
    <w:rsid w:val="00D46AE8"/>
    <w:rsid w:val="00D510DD"/>
    <w:rsid w:val="00D526E9"/>
    <w:rsid w:val="00D5690D"/>
    <w:rsid w:val="00D57161"/>
    <w:rsid w:val="00D63792"/>
    <w:rsid w:val="00D65C2E"/>
    <w:rsid w:val="00D66233"/>
    <w:rsid w:val="00D66610"/>
    <w:rsid w:val="00D67541"/>
    <w:rsid w:val="00D7203B"/>
    <w:rsid w:val="00D73825"/>
    <w:rsid w:val="00D75821"/>
    <w:rsid w:val="00D7586A"/>
    <w:rsid w:val="00D8107B"/>
    <w:rsid w:val="00D816AE"/>
    <w:rsid w:val="00D83959"/>
    <w:rsid w:val="00D8582E"/>
    <w:rsid w:val="00D86A0B"/>
    <w:rsid w:val="00D93B5B"/>
    <w:rsid w:val="00D9459D"/>
    <w:rsid w:val="00D97E24"/>
    <w:rsid w:val="00DA3624"/>
    <w:rsid w:val="00DB60CB"/>
    <w:rsid w:val="00DB6319"/>
    <w:rsid w:val="00DB75A6"/>
    <w:rsid w:val="00DC1FAD"/>
    <w:rsid w:val="00DC2F7E"/>
    <w:rsid w:val="00DC3918"/>
    <w:rsid w:val="00DC7B11"/>
    <w:rsid w:val="00DD041F"/>
    <w:rsid w:val="00DD5030"/>
    <w:rsid w:val="00DD70EE"/>
    <w:rsid w:val="00DE0A24"/>
    <w:rsid w:val="00DE0E66"/>
    <w:rsid w:val="00DE33A8"/>
    <w:rsid w:val="00DE51B8"/>
    <w:rsid w:val="00DE7204"/>
    <w:rsid w:val="00DE76FC"/>
    <w:rsid w:val="00DF15F1"/>
    <w:rsid w:val="00DF1F00"/>
    <w:rsid w:val="00DF2434"/>
    <w:rsid w:val="00E03A70"/>
    <w:rsid w:val="00E05EAA"/>
    <w:rsid w:val="00E06085"/>
    <w:rsid w:val="00E110A2"/>
    <w:rsid w:val="00E12DF9"/>
    <w:rsid w:val="00E1640C"/>
    <w:rsid w:val="00E22A91"/>
    <w:rsid w:val="00E236EF"/>
    <w:rsid w:val="00E26B7C"/>
    <w:rsid w:val="00E32D21"/>
    <w:rsid w:val="00E3473F"/>
    <w:rsid w:val="00E35E1A"/>
    <w:rsid w:val="00E4152C"/>
    <w:rsid w:val="00E415D4"/>
    <w:rsid w:val="00E41628"/>
    <w:rsid w:val="00E505DE"/>
    <w:rsid w:val="00E54B83"/>
    <w:rsid w:val="00E56361"/>
    <w:rsid w:val="00E56B31"/>
    <w:rsid w:val="00E610CD"/>
    <w:rsid w:val="00E67A2B"/>
    <w:rsid w:val="00E70A78"/>
    <w:rsid w:val="00E73F50"/>
    <w:rsid w:val="00E7629A"/>
    <w:rsid w:val="00E81B3C"/>
    <w:rsid w:val="00E84D83"/>
    <w:rsid w:val="00E86791"/>
    <w:rsid w:val="00E96E40"/>
    <w:rsid w:val="00EA5E82"/>
    <w:rsid w:val="00EB5EF8"/>
    <w:rsid w:val="00EC5376"/>
    <w:rsid w:val="00ED132F"/>
    <w:rsid w:val="00ED1923"/>
    <w:rsid w:val="00ED3601"/>
    <w:rsid w:val="00ED5EC2"/>
    <w:rsid w:val="00EE639E"/>
    <w:rsid w:val="00EF0690"/>
    <w:rsid w:val="00EF0E03"/>
    <w:rsid w:val="00EF1EF7"/>
    <w:rsid w:val="00EF3A02"/>
    <w:rsid w:val="00EF45A6"/>
    <w:rsid w:val="00EF60D0"/>
    <w:rsid w:val="00EF6A3D"/>
    <w:rsid w:val="00EF6B52"/>
    <w:rsid w:val="00EF6CF9"/>
    <w:rsid w:val="00F008E6"/>
    <w:rsid w:val="00F01A95"/>
    <w:rsid w:val="00F04068"/>
    <w:rsid w:val="00F07B6E"/>
    <w:rsid w:val="00F11EA9"/>
    <w:rsid w:val="00F131D5"/>
    <w:rsid w:val="00F1349D"/>
    <w:rsid w:val="00F13687"/>
    <w:rsid w:val="00F145B6"/>
    <w:rsid w:val="00F157D1"/>
    <w:rsid w:val="00F16D51"/>
    <w:rsid w:val="00F21BF2"/>
    <w:rsid w:val="00F23CE8"/>
    <w:rsid w:val="00F23D94"/>
    <w:rsid w:val="00F25EDD"/>
    <w:rsid w:val="00F25F32"/>
    <w:rsid w:val="00F30510"/>
    <w:rsid w:val="00F31EC1"/>
    <w:rsid w:val="00F3222A"/>
    <w:rsid w:val="00F41851"/>
    <w:rsid w:val="00F44EDE"/>
    <w:rsid w:val="00F45184"/>
    <w:rsid w:val="00F4524A"/>
    <w:rsid w:val="00F45EE5"/>
    <w:rsid w:val="00F50EAA"/>
    <w:rsid w:val="00F53499"/>
    <w:rsid w:val="00F5511F"/>
    <w:rsid w:val="00F63589"/>
    <w:rsid w:val="00F64432"/>
    <w:rsid w:val="00F74292"/>
    <w:rsid w:val="00F75176"/>
    <w:rsid w:val="00F7518E"/>
    <w:rsid w:val="00F77E53"/>
    <w:rsid w:val="00F820C5"/>
    <w:rsid w:val="00F827DA"/>
    <w:rsid w:val="00F85DE2"/>
    <w:rsid w:val="00F91C8E"/>
    <w:rsid w:val="00F96580"/>
    <w:rsid w:val="00F97B16"/>
    <w:rsid w:val="00FA0903"/>
    <w:rsid w:val="00FA478F"/>
    <w:rsid w:val="00FA47BA"/>
    <w:rsid w:val="00FA663F"/>
    <w:rsid w:val="00FA74DE"/>
    <w:rsid w:val="00FA7F9C"/>
    <w:rsid w:val="00FB1817"/>
    <w:rsid w:val="00FB3D48"/>
    <w:rsid w:val="00FB4496"/>
    <w:rsid w:val="00FB5970"/>
    <w:rsid w:val="00FB7540"/>
    <w:rsid w:val="00FC364B"/>
    <w:rsid w:val="00FC478E"/>
    <w:rsid w:val="00FD1A7B"/>
    <w:rsid w:val="00FE0716"/>
    <w:rsid w:val="00FE12B4"/>
    <w:rsid w:val="00FE1661"/>
    <w:rsid w:val="00FE2958"/>
    <w:rsid w:val="00FE2C19"/>
    <w:rsid w:val="00FE7C9C"/>
    <w:rsid w:val="00FF17C6"/>
    <w:rsid w:val="00FF2FAE"/>
    <w:rsid w:val="00FF72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B4"/>
  </w:style>
  <w:style w:type="paragraph" w:styleId="Heading1">
    <w:name w:val="heading 1"/>
    <w:basedOn w:val="Normal"/>
    <w:next w:val="Normal"/>
    <w:link w:val="Heading1Char"/>
    <w:uiPriority w:val="9"/>
    <w:qFormat/>
    <w:rsid w:val="004638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38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F54"/>
    <w:pPr>
      <w:ind w:left="720"/>
      <w:contextualSpacing/>
    </w:pPr>
  </w:style>
  <w:style w:type="paragraph" w:styleId="Title">
    <w:name w:val="Title"/>
    <w:basedOn w:val="Normal"/>
    <w:next w:val="Normal"/>
    <w:link w:val="TitleChar"/>
    <w:uiPriority w:val="10"/>
    <w:qFormat/>
    <w:rsid w:val="00BA3D3B"/>
    <w:pPr>
      <w:numPr>
        <w:numId w:val="6"/>
      </w:numPr>
      <w:spacing w:after="300" w:line="240" w:lineRule="auto"/>
      <w:contextualSpacing/>
    </w:pPr>
    <w:rPr>
      <w:rFonts w:eastAsiaTheme="majorEastAsia" w:cstheme="majorBidi"/>
      <w:spacing w:val="5"/>
      <w:kern w:val="28"/>
      <w:sz w:val="24"/>
      <w:szCs w:val="24"/>
      <w:lang w:val="en-US"/>
    </w:rPr>
  </w:style>
  <w:style w:type="character" w:customStyle="1" w:styleId="TitleChar">
    <w:name w:val="Title Char"/>
    <w:basedOn w:val="DefaultParagraphFont"/>
    <w:link w:val="Title"/>
    <w:uiPriority w:val="10"/>
    <w:rsid w:val="00BA3D3B"/>
    <w:rPr>
      <w:rFonts w:eastAsiaTheme="majorEastAsia" w:cstheme="majorBidi"/>
      <w:spacing w:val="5"/>
      <w:kern w:val="28"/>
      <w:sz w:val="24"/>
      <w:szCs w:val="24"/>
      <w:lang w:val="en-US"/>
    </w:rPr>
  </w:style>
  <w:style w:type="character" w:styleId="Hyperlink">
    <w:name w:val="Hyperlink"/>
    <w:basedOn w:val="DefaultParagraphFont"/>
    <w:uiPriority w:val="99"/>
    <w:unhideWhenUsed/>
    <w:rsid w:val="0014680B"/>
    <w:rPr>
      <w:color w:val="0000FF" w:themeColor="hyperlink"/>
      <w:u w:val="single"/>
    </w:rPr>
  </w:style>
  <w:style w:type="paragraph" w:styleId="Header">
    <w:name w:val="header"/>
    <w:basedOn w:val="Normal"/>
    <w:link w:val="HeaderChar"/>
    <w:uiPriority w:val="99"/>
    <w:semiHidden/>
    <w:unhideWhenUsed/>
    <w:rsid w:val="003C113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C113C"/>
  </w:style>
  <w:style w:type="paragraph" w:styleId="Footer">
    <w:name w:val="footer"/>
    <w:basedOn w:val="Normal"/>
    <w:link w:val="FooterChar"/>
    <w:uiPriority w:val="99"/>
    <w:unhideWhenUsed/>
    <w:rsid w:val="003C11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13C"/>
  </w:style>
  <w:style w:type="paragraph" w:styleId="DocumentMap">
    <w:name w:val="Document Map"/>
    <w:basedOn w:val="Normal"/>
    <w:link w:val="DocumentMapChar"/>
    <w:uiPriority w:val="99"/>
    <w:semiHidden/>
    <w:unhideWhenUsed/>
    <w:rsid w:val="00122A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2AE3"/>
    <w:rPr>
      <w:rFonts w:ascii="Tahoma" w:hAnsi="Tahoma" w:cs="Tahoma"/>
      <w:sz w:val="16"/>
      <w:szCs w:val="16"/>
    </w:rPr>
  </w:style>
  <w:style w:type="character" w:customStyle="1" w:styleId="Heading1Char">
    <w:name w:val="Heading 1 Char"/>
    <w:basedOn w:val="DefaultParagraphFont"/>
    <w:link w:val="Heading1"/>
    <w:uiPriority w:val="9"/>
    <w:rsid w:val="0046380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63803"/>
    <w:pPr>
      <w:spacing w:line="259" w:lineRule="auto"/>
      <w:outlineLvl w:val="9"/>
    </w:pPr>
    <w:rPr>
      <w:lang w:val="en-US"/>
    </w:rPr>
  </w:style>
  <w:style w:type="paragraph" w:styleId="TOC1">
    <w:name w:val="toc 1"/>
    <w:basedOn w:val="Normal"/>
    <w:next w:val="Normal"/>
    <w:autoRedefine/>
    <w:uiPriority w:val="39"/>
    <w:unhideWhenUsed/>
    <w:rsid w:val="00463803"/>
    <w:pPr>
      <w:spacing w:after="100"/>
    </w:pPr>
  </w:style>
  <w:style w:type="character" w:customStyle="1" w:styleId="Heading2Char">
    <w:name w:val="Heading 2 Char"/>
    <w:basedOn w:val="DefaultParagraphFont"/>
    <w:link w:val="Heading2"/>
    <w:uiPriority w:val="9"/>
    <w:rsid w:val="00463803"/>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305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4A3"/>
    <w:rPr>
      <w:sz w:val="20"/>
      <w:szCs w:val="20"/>
    </w:rPr>
  </w:style>
  <w:style w:type="character" w:styleId="FootnoteReference">
    <w:name w:val="footnote reference"/>
    <w:basedOn w:val="DefaultParagraphFont"/>
    <w:uiPriority w:val="99"/>
    <w:semiHidden/>
    <w:unhideWhenUsed/>
    <w:rsid w:val="003054A3"/>
    <w:rPr>
      <w:vertAlign w:val="superscript"/>
    </w:rPr>
  </w:style>
  <w:style w:type="paragraph" w:styleId="TOC2">
    <w:name w:val="toc 2"/>
    <w:basedOn w:val="Normal"/>
    <w:next w:val="Normal"/>
    <w:autoRedefine/>
    <w:uiPriority w:val="39"/>
    <w:unhideWhenUsed/>
    <w:rsid w:val="00CB7A22"/>
    <w:pPr>
      <w:spacing w:after="100"/>
      <w:ind w:left="220"/>
    </w:pPr>
  </w:style>
  <w:style w:type="paragraph" w:styleId="BalloonText">
    <w:name w:val="Balloon Text"/>
    <w:basedOn w:val="Normal"/>
    <w:link w:val="BalloonTextChar"/>
    <w:uiPriority w:val="99"/>
    <w:semiHidden/>
    <w:unhideWhenUsed/>
    <w:rsid w:val="00AB7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5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r.coe.int/Pages/home.aspx?p=home" TargetMode="External"/><Relationship Id="rId13" Type="http://schemas.openxmlformats.org/officeDocument/2006/relationships/hyperlink" Target="http://www.oas.org/en/about/who_we_are.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j-cij.org/homep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chr.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frican-court.org/en/" TargetMode="External"/><Relationship Id="rId4" Type="http://schemas.openxmlformats.org/officeDocument/2006/relationships/settings" Target="settings.xml"/><Relationship Id="rId9" Type="http://schemas.openxmlformats.org/officeDocument/2006/relationships/hyperlink" Target="http://www.corteidh.or.cr/index.php/en" TargetMode="External"/><Relationship Id="rId14" Type="http://schemas.openxmlformats.org/officeDocument/2006/relationships/hyperlink" Target="http://www.echr.coe.int/Documents/Admissibility_guide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A2E2B-666C-4E2F-83E9-DDD74B0F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6664</Words>
  <Characters>35986</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Despoina</cp:lastModifiedBy>
  <cp:revision>12</cp:revision>
  <dcterms:created xsi:type="dcterms:W3CDTF">2015-05-16T16:00:00Z</dcterms:created>
  <dcterms:modified xsi:type="dcterms:W3CDTF">2015-05-16T16:45:00Z</dcterms:modified>
</cp:coreProperties>
</file>